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30097310"/>
      <w:bookmarkStart w:id="1" w:name="_Toc399517418"/>
      <w:bookmarkStart w:id="2" w:name="_Toc387228706"/>
      <w:bookmarkStart w:id="3" w:name="_Toc388541836"/>
      <w:bookmarkStart w:id="4" w:name="_Toc387229283"/>
      <w:bookmarkStart w:id="5" w:name="_Toc388542045"/>
      <w:bookmarkStart w:id="6"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2C321985EEF1419BAF7883393C67B949" style="width:450.65pt;height:393.9pt">
            <v:imagedata r:id="rId12" o:title=""/>
          </v:shape>
        </w:pict>
      </w:r>
    </w:p>
    <w:bookmarkEnd w:id="6"/>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Subtitle"/>
        <w:spacing w:before="0" w:after="240"/>
        <w:rPr>
          <w:noProof/>
          <w:sz w:val="22"/>
          <w:szCs w:val="22"/>
        </w:rPr>
      </w:pPr>
      <w:bookmarkStart w:id="7" w:name="_GoBack"/>
      <w:bookmarkEnd w:id="7"/>
      <w:r>
        <w:rPr>
          <w:noProof/>
          <w:sz w:val="22"/>
        </w:rPr>
        <w:lastRenderedPageBreak/>
        <w:t>ANNEXE</w:t>
      </w:r>
      <w:bookmarkEnd w:id="0"/>
    </w:p>
    <w:p>
      <w:pPr>
        <w:spacing w:after="240"/>
        <w:jc w:val="both"/>
        <w:rPr>
          <w:rFonts w:ascii="Times New Roman" w:hAnsi="Times New Roman" w:cs="Times New Roman"/>
          <w:noProof/>
        </w:rPr>
      </w:pPr>
      <w:r>
        <w:rPr>
          <w:rFonts w:ascii="Times New Roman" w:hAnsi="Times New Roman"/>
          <w:noProof/>
        </w:rPr>
        <w:t>Les fiches ci-après résument, pour chaque instrument, les informations disponibles au 31 décembre 2016 concernant chacun des points stipulés par l’article 140, paragraphe 8, du règlement financier. Des informations plus détaillées figurent dans le document de travail.</w:t>
      </w:r>
    </w:p>
    <w:p>
      <w:pPr>
        <w:spacing w:after="240"/>
        <w:jc w:val="both"/>
        <w:rPr>
          <w:rFonts w:ascii="Times New Roman" w:hAnsi="Times New Roman" w:cs="Times New Roman"/>
          <w:noProof/>
        </w:rPr>
      </w:pPr>
      <w:r>
        <w:rPr>
          <w:rFonts w:ascii="Times New Roman" w:hAnsi="Times New Roman"/>
          <w:noProof/>
        </w:rPr>
        <w:t xml:space="preserve">Il convient de noter que, bien que le point k) de l’article 140, paragraphe 8, exige d’indiquer à la fois l'effet de levier </w:t>
      </w:r>
      <w:r>
        <w:rPr>
          <w:rFonts w:ascii="Times New Roman" w:hAnsi="Times New Roman"/>
          <w:i/>
          <w:noProof/>
        </w:rPr>
        <w:t>visé</w:t>
      </w:r>
      <w:r>
        <w:rPr>
          <w:rFonts w:ascii="Times New Roman" w:hAnsi="Times New Roman"/>
          <w:noProof/>
        </w:rPr>
        <w:t xml:space="preserve"> et l'effet de levier </w:t>
      </w:r>
      <w:r>
        <w:rPr>
          <w:rFonts w:ascii="Times New Roman" w:hAnsi="Times New Roman"/>
          <w:i/>
          <w:noProof/>
        </w:rPr>
        <w:t>atteint</w:t>
      </w:r>
      <w:r>
        <w:rPr>
          <w:rFonts w:ascii="Times New Roman" w:hAnsi="Times New Roman"/>
          <w:noProof/>
        </w:rPr>
        <w:t xml:space="preserve">, aucun </w:t>
      </w:r>
      <w:r>
        <w:rPr>
          <w:rFonts w:ascii="Times New Roman" w:hAnsi="Times New Roman"/>
          <w:i/>
          <w:noProof/>
        </w:rPr>
        <w:t>objectif</w:t>
      </w:r>
      <w:r>
        <w:rPr>
          <w:rFonts w:ascii="Times New Roman" w:hAnsi="Times New Roman"/>
          <w:noProof/>
        </w:rPr>
        <w:t xml:space="preserve"> n’a été fixé pour la plupart des instruments financiers 2007-2013 en ce qui concerne l’effet de levier. Les informations portent donc uniquement sur l'effet de levier </w:t>
      </w:r>
      <w:r>
        <w:rPr>
          <w:rFonts w:ascii="Times New Roman" w:hAnsi="Times New Roman"/>
          <w:i/>
          <w:noProof/>
        </w:rPr>
        <w:t>atteint</w:t>
      </w:r>
      <w:r>
        <w:rPr>
          <w:rFonts w:ascii="Times New Roman" w:hAnsi="Times New Roman"/>
          <w:noProof/>
        </w:rPr>
        <w:t>, dont le calcul est décrit dans la section correspondante du document de travail</w:t>
      </w:r>
      <w:r>
        <w:rPr>
          <w:rStyle w:val="FootnoteReference"/>
          <w:rFonts w:ascii="Times New Roman" w:hAnsi="Times New Roman"/>
          <w:noProof/>
        </w:rPr>
        <w:footnoteReference w:id="2"/>
      </w:r>
      <w:r>
        <w:rPr>
          <w:rFonts w:ascii="Times New Roman" w:hAnsi="Times New Roman"/>
          <w:noProof/>
        </w:rPr>
        <w:t xml:space="preserve">. À ce stade, ce calcul n'est pas encore définitif dans de nombreux cas, le nombre des bénéficiaires finaux continuant d’augmenter. Pour les instruments actuels, les fiches indiquent l’effet de levier </w:t>
      </w:r>
      <w:r>
        <w:rPr>
          <w:rFonts w:ascii="Times New Roman" w:hAnsi="Times New Roman"/>
          <w:i/>
          <w:noProof/>
        </w:rPr>
        <w:t>visé</w:t>
      </w:r>
      <w:r>
        <w:rPr>
          <w:rFonts w:ascii="Times New Roman" w:hAnsi="Times New Roman"/>
          <w:noProof/>
        </w:rPr>
        <w:t xml:space="preserve">, ainsi qu’un effet de levier </w:t>
      </w:r>
      <w:r>
        <w:rPr>
          <w:rFonts w:ascii="Times New Roman" w:hAnsi="Times New Roman"/>
          <w:i/>
          <w:noProof/>
        </w:rPr>
        <w:t>attendu</w:t>
      </w:r>
      <w:r>
        <w:rPr>
          <w:rFonts w:ascii="Times New Roman" w:hAnsi="Times New Roman"/>
          <w:noProof/>
        </w:rPr>
        <w:t xml:space="preserve"> qui repose sur le montant de financement destiné aux bénéficiaires finaux éligibles censé résulter des opérations que l’entité chargée de l’exécution a déjà signées avec des intermédiaires financiers (ou des bénéficiaires finaux).</w:t>
      </w:r>
    </w:p>
    <w:p>
      <w:pPr>
        <w:spacing w:after="240"/>
        <w:jc w:val="both"/>
        <w:rPr>
          <w:rFonts w:ascii="Times New Roman" w:hAnsi="Times New Roman" w:cs="Times New Roman"/>
          <w:noProof/>
        </w:rPr>
        <w:sectPr>
          <w:headerReference w:type="even" r:id="rId19"/>
          <w:headerReference w:type="default" r:id="rId20"/>
          <w:footerReference w:type="even" r:id="rId21"/>
          <w:footerReference w:type="default" r:id="rId22"/>
          <w:headerReference w:type="first" r:id="rId23"/>
          <w:footerReference w:type="first" r:id="rId24"/>
          <w:pgSz w:w="11906" w:h="16838" w:code="9"/>
          <w:pgMar w:top="1417" w:right="1417" w:bottom="1417" w:left="1417" w:header="708" w:footer="708" w:gutter="0"/>
          <w:pgNumType w:start="2"/>
          <w:cols w:space="720"/>
          <w:docGrid w:linePitch="360"/>
        </w:sectPr>
      </w:pPr>
    </w:p>
    <w:p>
      <w:pPr>
        <w:pStyle w:val="Heading4"/>
        <w:spacing w:before="0" w:after="240"/>
        <w:ind w:left="357" w:hanging="357"/>
        <w:rPr>
          <w:noProof/>
          <w:sz w:val="22"/>
          <w:szCs w:val="22"/>
        </w:rPr>
      </w:pPr>
      <w:r>
        <w:rPr>
          <w:noProof/>
          <w:sz w:val="22"/>
        </w:rPr>
        <w:lastRenderedPageBreak/>
        <w:t>INSTRUMENTS DE CAPITAUX PROPRES</w:t>
      </w:r>
      <w:bookmarkEnd w:id="1"/>
    </w:p>
    <w:tbl>
      <w:tblPr>
        <w:tblW w:w="5433" w:type="pct"/>
        <w:tblInd w:w="-601"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694"/>
        <w:gridCol w:w="2693"/>
        <w:gridCol w:w="2552"/>
        <w:gridCol w:w="2409"/>
        <w:gridCol w:w="2552"/>
        <w:gridCol w:w="2551"/>
      </w:tblGrid>
      <w:tr>
        <w:tc>
          <w:tcPr>
            <w:tcW w:w="2694"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after="0"/>
              <w:rPr>
                <w:rFonts w:ascii="Times New Roman" w:hAnsi="Times New Roman" w:cs="Times New Roman"/>
                <w:b/>
                <w:bCs/>
                <w:noProof/>
                <w:color w:val="FFFFFF"/>
                <w:sz w:val="21"/>
                <w:szCs w:val="21"/>
              </w:rPr>
            </w:pPr>
          </w:p>
        </w:tc>
        <w:tc>
          <w:tcPr>
            <w:tcW w:w="2693"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after="0"/>
              <w:rPr>
                <w:rFonts w:ascii="Times New Roman" w:eastAsia="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Mécanisme en faveur des PME innovantes et à forte croissance au titre du PIC —</w:t>
            </w:r>
          </w:p>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MIC</w:t>
            </w:r>
          </w:p>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(point 1.1 document de travail)</w:t>
            </w:r>
          </w:p>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DG responsable: ECFIN / GROW</w:t>
            </w:r>
          </w:p>
        </w:tc>
        <w:tc>
          <w:tcPr>
            <w:tcW w:w="2552"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Mécanisme pour l’interconnexion en Europe — MIE</w:t>
            </w:r>
          </w:p>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(point 1.2 du document de travail)</w:t>
            </w:r>
          </w:p>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DG responsable: CNECT</w:t>
            </w:r>
          </w:p>
        </w:tc>
        <w:tc>
          <w:tcPr>
            <w:tcW w:w="2409"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 xml:space="preserve">Facilité «capital-risque» pour la croissance au titre du programme COSME — </w:t>
            </w:r>
          </w:p>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EFG</w:t>
            </w:r>
          </w:p>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(point 1.3 document de travail)</w:t>
            </w:r>
          </w:p>
          <w:p>
            <w:pPr>
              <w:spacing w:after="0"/>
              <w:ind w:right="-108"/>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DG responsable: GROW</w:t>
            </w:r>
          </w:p>
        </w:tc>
        <w:tc>
          <w:tcPr>
            <w:tcW w:w="2552"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InnovFin Equity (Horizon 2020)</w:t>
            </w:r>
          </w:p>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(point 1.4 du document de travail)</w:t>
            </w:r>
          </w:p>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DG responsable: RTD</w:t>
            </w:r>
          </w:p>
        </w:tc>
        <w:tc>
          <w:tcPr>
            <w:tcW w:w="2551"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 xml:space="preserve">«Investissements pour le renforcement des capacités» de l’EaSI </w:t>
            </w:r>
          </w:p>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 xml:space="preserve">(EaSI CBI) </w:t>
            </w:r>
          </w:p>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2014 à 2020</w:t>
            </w:r>
          </w:p>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(point 1.5 du document de travail)</w:t>
            </w:r>
          </w:p>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DG responsable: EMPL</w:t>
            </w:r>
          </w:p>
        </w:tc>
      </w:tr>
      <w:tr>
        <w:trPr>
          <w:trHeight w:val="1767"/>
        </w:trPr>
        <w:tc>
          <w:tcPr>
            <w:tcW w:w="2694" w:type="dxa"/>
            <w:tcBorders>
              <w:right w:val="single" w:sz="8" w:space="0" w:color="7BA0CD"/>
            </w:tcBorders>
            <w:shd w:val="clear" w:color="auto" w:fill="D3DFEE"/>
          </w:tcPr>
          <w:p>
            <w:pPr>
              <w:spacing w:before="60" w:after="60"/>
              <w:rPr>
                <w:rFonts w:ascii="Times New Roman" w:hAnsi="Times New Roman" w:cs="Times New Roman"/>
                <w:b/>
                <w:bCs/>
                <w:noProof/>
                <w:sz w:val="21"/>
                <w:szCs w:val="21"/>
              </w:rPr>
            </w:pPr>
            <w:r>
              <w:rPr>
                <w:rFonts w:ascii="Times New Roman" w:hAnsi="Times New Roman"/>
                <w:b/>
                <w:noProof/>
                <w:sz w:val="21"/>
              </w:rPr>
              <w:t>a) Identification / acte de base</w:t>
            </w:r>
          </w:p>
        </w:tc>
        <w:tc>
          <w:tcPr>
            <w:tcW w:w="2693"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Décision n° 1639/2006/CE</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Règlement (UE) nº 1316/2013 et règlement (UE) 2015/1017</w:t>
            </w:r>
          </w:p>
        </w:tc>
        <w:tc>
          <w:tcPr>
            <w:tcW w:w="2409" w:type="dxa"/>
            <w:tcBorders>
              <w:top w:val="nil"/>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Règlement (UE) n° 1287/2013</w:t>
            </w:r>
          </w:p>
        </w:tc>
        <w:tc>
          <w:tcPr>
            <w:tcW w:w="2552" w:type="dxa"/>
            <w:tcBorders>
              <w:top w:val="nil"/>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Règlement (UE) n° 1291/2013</w:t>
            </w:r>
          </w:p>
          <w:p>
            <w:pPr>
              <w:spacing w:before="120" w:after="120" w:line="240" w:lineRule="auto"/>
              <w:rPr>
                <w:rFonts w:ascii="Times New Roman" w:hAnsi="Times New Roman" w:cs="Times New Roman"/>
                <w:noProof/>
                <w:sz w:val="21"/>
                <w:szCs w:val="21"/>
              </w:rPr>
            </w:pPr>
            <w:r>
              <w:rPr>
                <w:rFonts w:ascii="Times New Roman" w:hAnsi="Times New Roman"/>
                <w:noProof/>
                <w:sz w:val="21"/>
              </w:rPr>
              <w:t>Règlement (UE) n° 1290/2013</w:t>
            </w:r>
          </w:p>
          <w:p>
            <w:pPr>
              <w:spacing w:before="120" w:after="120" w:line="240" w:lineRule="auto"/>
              <w:rPr>
                <w:rFonts w:ascii="Times New Roman" w:hAnsi="Times New Roman" w:cs="Times New Roman"/>
                <w:noProof/>
                <w:sz w:val="21"/>
                <w:szCs w:val="21"/>
              </w:rPr>
            </w:pPr>
            <w:r>
              <w:rPr>
                <w:rFonts w:ascii="Times New Roman" w:hAnsi="Times New Roman"/>
                <w:noProof/>
                <w:sz w:val="21"/>
              </w:rPr>
              <w:t>Règlement (UE) n° 1296/2013</w:t>
            </w:r>
          </w:p>
        </w:tc>
        <w:tc>
          <w:tcPr>
            <w:tcW w:w="2551" w:type="dxa"/>
            <w:tcBorders>
              <w:top w:val="nil"/>
              <w:lef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Règlement (UE) n° 1296/2013</w:t>
            </w:r>
          </w:p>
        </w:tc>
      </w:tr>
      <w:tr>
        <w:trPr>
          <w:trHeight w:val="2788"/>
        </w:trPr>
        <w:tc>
          <w:tcPr>
            <w:tcW w:w="2694" w:type="dxa"/>
            <w:tcBorders>
              <w:right w:val="single" w:sz="8" w:space="0" w:color="7BA0CD"/>
            </w:tcBorders>
            <w:shd w:val="clear" w:color="auto" w:fill="auto"/>
          </w:tcPr>
          <w:p>
            <w:pPr>
              <w:spacing w:before="60" w:after="60"/>
              <w:rPr>
                <w:rFonts w:ascii="Times New Roman" w:hAnsi="Times New Roman" w:cs="Times New Roman"/>
                <w:b/>
                <w:bCs/>
                <w:noProof/>
                <w:sz w:val="21"/>
                <w:szCs w:val="21"/>
              </w:rPr>
            </w:pPr>
            <w:r>
              <w:rPr>
                <w:rFonts w:ascii="Times New Roman" w:hAnsi="Times New Roman"/>
                <w:b/>
                <w:noProof/>
                <w:sz w:val="21"/>
              </w:rPr>
              <w:t>b) Description</w:t>
            </w:r>
          </w:p>
        </w:tc>
        <w:tc>
          <w:tcPr>
            <w:tcW w:w="2693" w:type="dxa"/>
            <w:tcBorders>
              <w:left w:val="single" w:sz="8" w:space="0" w:color="7BA0CD"/>
              <w:right w:val="single" w:sz="8" w:space="0" w:color="7BA0CD"/>
            </w:tcBorders>
            <w:shd w:val="clear" w:color="auto" w:fill="auto"/>
          </w:tcPr>
          <w:p>
            <w:pPr>
              <w:spacing w:before="120" w:after="120" w:line="240" w:lineRule="auto"/>
              <w:rPr>
                <w:rFonts w:ascii="Times New Roman" w:eastAsia="Times New Roman" w:hAnsi="Times New Roman" w:cs="Times New Roman"/>
                <w:noProof/>
                <w:sz w:val="21"/>
                <w:szCs w:val="21"/>
              </w:rPr>
            </w:pPr>
            <w:r>
              <w:rPr>
                <w:rFonts w:ascii="Times New Roman" w:hAnsi="Times New Roman"/>
                <w:noProof/>
                <w:sz w:val="21"/>
              </w:rPr>
              <w:t>Instrument visant à augmenter l’apport de capitaux propres aux PME innovantes en phase de démarrage ou d’expansion</w:t>
            </w:r>
          </w:p>
        </w:tc>
        <w:tc>
          <w:tcPr>
            <w:tcW w:w="2552" w:type="dxa"/>
            <w:tcBorders>
              <w:left w:val="single" w:sz="8" w:space="0" w:color="7BA0CD"/>
              <w:right w:val="single" w:sz="8" w:space="0" w:color="7BA0CD"/>
            </w:tcBorders>
          </w:tcPr>
          <w:p>
            <w:pPr>
              <w:spacing w:after="60" w:line="240" w:lineRule="auto"/>
              <w:ind w:right="141"/>
              <w:rPr>
                <w:rFonts w:ascii="Times New Roman" w:hAnsi="Times New Roman" w:cs="Times New Roman"/>
                <w:noProof/>
                <w:sz w:val="6"/>
                <w:szCs w:val="21"/>
              </w:rPr>
            </w:pPr>
          </w:p>
          <w:p>
            <w:pPr>
              <w:spacing w:after="60" w:line="240" w:lineRule="auto"/>
              <w:ind w:right="141"/>
              <w:rPr>
                <w:rFonts w:ascii="Times New Roman" w:hAnsi="Times New Roman" w:cs="Times New Roman"/>
                <w:noProof/>
                <w:sz w:val="21"/>
                <w:szCs w:val="21"/>
              </w:rPr>
            </w:pPr>
            <w:r>
              <w:rPr>
                <w:rFonts w:ascii="Times New Roman" w:hAnsi="Times New Roman"/>
                <w:noProof/>
                <w:sz w:val="21"/>
              </w:rPr>
              <w:t>Instrument de capitaux propres permettant d’optimiser l’utilisation des ressources limitées du MIE pour les projets plus petits et plus risqués</w:t>
            </w:r>
          </w:p>
        </w:tc>
        <w:tc>
          <w:tcPr>
            <w:tcW w:w="2409" w:type="dxa"/>
            <w:tcBorders>
              <w:left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noProof/>
                <w:sz w:val="21"/>
              </w:rPr>
              <w:t>Instrument fournissant du capital-risque et des financements mezzanine aux PME en phase d’expansion et de croissance</w:t>
            </w:r>
          </w:p>
        </w:tc>
        <w:tc>
          <w:tcPr>
            <w:tcW w:w="2552" w:type="dxa"/>
            <w:tcBorders>
              <w:left w:val="single" w:sz="8" w:space="0" w:color="7BA0CD"/>
              <w:righ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noProof/>
                <w:sz w:val="21"/>
              </w:rPr>
              <w:t>Instrument favorisant les investissements en capital-risque et en quasi-fonds propres dans les PME et petites entreprises à capitalisation moyenne en phase de démarrage axées sur la recherche et l’innovation (y compris les entreprises sociales)</w:t>
            </w:r>
          </w:p>
        </w:tc>
        <w:tc>
          <w:tcPr>
            <w:tcW w:w="2551" w:type="dxa"/>
            <w:tcBorders>
              <w:lef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noProof/>
                <w:sz w:val="21"/>
              </w:rPr>
              <w:t>Instrument visant à renforcer, au moyen de prêts et d’investissements en fonds propres directs et indirects, les capacités institutionnelles des intermédiaires financiers afin d’étendre leurs activités, tant dans le domaine de la microfinance que dans celui de l’entrepreneuriat social.</w:t>
            </w:r>
          </w:p>
        </w:tc>
      </w:tr>
      <w:tr>
        <w:trPr>
          <w:trHeight w:val="576"/>
        </w:trPr>
        <w:tc>
          <w:tcPr>
            <w:tcW w:w="2694" w:type="dxa"/>
            <w:tcBorders>
              <w:right w:val="single" w:sz="8" w:space="0" w:color="7BA0CD"/>
            </w:tcBorders>
            <w:shd w:val="clear" w:color="auto" w:fill="D3DFEE"/>
          </w:tcPr>
          <w:p>
            <w:pPr>
              <w:spacing w:before="60" w:after="60"/>
              <w:rPr>
                <w:rFonts w:ascii="Times New Roman" w:hAnsi="Times New Roman" w:cs="Times New Roman"/>
                <w:b/>
                <w:bCs/>
                <w:noProof/>
                <w:sz w:val="21"/>
                <w:szCs w:val="21"/>
              </w:rPr>
            </w:pPr>
            <w:r>
              <w:rPr>
                <w:rFonts w:ascii="Times New Roman" w:hAnsi="Times New Roman"/>
                <w:b/>
                <w:noProof/>
                <w:sz w:val="21"/>
              </w:rPr>
              <w:t xml:space="preserve">c) Institution(s) </w:t>
            </w:r>
            <w:r>
              <w:rPr>
                <w:rFonts w:ascii="Times New Roman" w:hAnsi="Times New Roman"/>
                <w:b/>
                <w:noProof/>
                <w:sz w:val="21"/>
              </w:rPr>
              <w:lastRenderedPageBreak/>
              <w:t>financière(s) concernée(s)</w:t>
            </w:r>
          </w:p>
        </w:tc>
        <w:tc>
          <w:tcPr>
            <w:tcW w:w="2693" w:type="dxa"/>
            <w:tcBorders>
              <w:left w:val="single" w:sz="8" w:space="0" w:color="7BA0CD"/>
              <w:right w:val="single" w:sz="8" w:space="0" w:color="7BA0CD"/>
            </w:tcBorders>
            <w:shd w:val="clear" w:color="auto" w:fill="D3DFEE"/>
          </w:tcPr>
          <w:p>
            <w:pPr>
              <w:spacing w:before="120" w:after="120" w:line="240" w:lineRule="auto"/>
              <w:rPr>
                <w:rFonts w:ascii="Times New Roman" w:eastAsia="Times New Roman" w:hAnsi="Times New Roman" w:cs="Times New Roman"/>
                <w:noProof/>
                <w:sz w:val="21"/>
                <w:szCs w:val="21"/>
              </w:rPr>
            </w:pPr>
            <w:r>
              <w:rPr>
                <w:rFonts w:ascii="Times New Roman" w:hAnsi="Times New Roman"/>
                <w:noProof/>
                <w:sz w:val="21"/>
              </w:rPr>
              <w:lastRenderedPageBreak/>
              <w:t>FEI</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Gestion directe</w:t>
            </w:r>
          </w:p>
        </w:tc>
        <w:tc>
          <w:tcPr>
            <w:tcW w:w="2409"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FEI</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FEI</w:t>
            </w:r>
          </w:p>
        </w:tc>
        <w:tc>
          <w:tcPr>
            <w:tcW w:w="2551" w:type="dxa"/>
            <w:tcBorders>
              <w:lef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FEI</w:t>
            </w:r>
          </w:p>
        </w:tc>
      </w:tr>
      <w:tr>
        <w:trPr>
          <w:trHeight w:val="576"/>
        </w:trPr>
        <w:tc>
          <w:tcPr>
            <w:tcW w:w="2694" w:type="dxa"/>
            <w:tcBorders>
              <w:top w:val="single" w:sz="8" w:space="0" w:color="7BA0CD"/>
              <w:left w:val="single" w:sz="8" w:space="0" w:color="7BA0CD"/>
              <w:bottom w:val="single" w:sz="8" w:space="0" w:color="7BA0CD"/>
              <w:right w:val="single" w:sz="8" w:space="0" w:color="7BA0CD"/>
            </w:tcBorders>
            <w:shd w:val="clear" w:color="auto" w:fill="auto"/>
          </w:tcPr>
          <w:p>
            <w:pPr>
              <w:spacing w:before="60" w:after="60"/>
              <w:rPr>
                <w:rFonts w:ascii="Times New Roman" w:hAnsi="Times New Roman" w:cs="Times New Roman"/>
                <w:b/>
                <w:bCs/>
                <w:noProof/>
                <w:sz w:val="21"/>
                <w:szCs w:val="21"/>
              </w:rPr>
            </w:pPr>
            <w:r>
              <w:rPr>
                <w:rFonts w:ascii="Times New Roman" w:hAnsi="Times New Roman"/>
                <w:b/>
                <w:noProof/>
                <w:sz w:val="21"/>
              </w:rPr>
              <w:lastRenderedPageBreak/>
              <w:t>d) Total des engagements et des paiements budgétaires</w:t>
            </w:r>
          </w:p>
        </w:tc>
        <w:tc>
          <w:tcPr>
            <w:tcW w:w="2693" w:type="dxa"/>
            <w:tcBorders>
              <w:top w:val="single" w:sz="8" w:space="0" w:color="7BA0CD"/>
              <w:left w:val="single" w:sz="8" w:space="0" w:color="7BA0CD"/>
              <w:bottom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noProof/>
                <w:sz w:val="21"/>
              </w:rPr>
              <w:t>600,2 Mio EUR</w:t>
            </w:r>
          </w:p>
          <w:p>
            <w:pPr>
              <w:spacing w:before="120" w:after="120" w:line="240" w:lineRule="auto"/>
              <w:rPr>
                <w:rFonts w:ascii="Times New Roman" w:hAnsi="Times New Roman" w:cs="Times New Roman"/>
                <w:noProof/>
                <w:sz w:val="21"/>
                <w:szCs w:val="21"/>
              </w:rPr>
            </w:pPr>
            <w:r>
              <w:rPr>
                <w:rFonts w:ascii="Times New Roman" w:hAnsi="Times New Roman"/>
                <w:noProof/>
                <w:sz w:val="21"/>
              </w:rPr>
              <w:t>464,5 Mio EUR</w:t>
            </w:r>
          </w:p>
        </w:tc>
        <w:tc>
          <w:tcPr>
            <w:tcW w:w="2552" w:type="dxa"/>
            <w:tcBorders>
              <w:top w:val="single" w:sz="8" w:space="0" w:color="7BA0CD"/>
              <w:left w:val="single" w:sz="8" w:space="0" w:color="7BA0CD"/>
              <w:bottom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noProof/>
                <w:sz w:val="21"/>
              </w:rPr>
              <w:t>100 Mio EUR</w:t>
            </w:r>
          </w:p>
          <w:p>
            <w:pPr>
              <w:spacing w:before="120" w:after="120" w:line="240" w:lineRule="auto"/>
              <w:rPr>
                <w:rFonts w:ascii="Times New Roman" w:hAnsi="Times New Roman" w:cs="Times New Roman"/>
                <w:noProof/>
                <w:sz w:val="21"/>
                <w:szCs w:val="21"/>
              </w:rPr>
            </w:pPr>
            <w:r>
              <w:rPr>
                <w:rFonts w:ascii="Times New Roman" w:hAnsi="Times New Roman"/>
                <w:noProof/>
                <w:sz w:val="21"/>
              </w:rPr>
              <w:t>0 EUR</w:t>
            </w:r>
          </w:p>
        </w:tc>
        <w:tc>
          <w:tcPr>
            <w:tcW w:w="2409" w:type="dxa"/>
            <w:tcBorders>
              <w:top w:val="single" w:sz="8" w:space="0" w:color="7BA0CD"/>
              <w:left w:val="single" w:sz="8" w:space="0" w:color="7BA0CD"/>
              <w:bottom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noProof/>
                <w:sz w:val="21"/>
              </w:rPr>
              <w:t>172,9 Mio EUR</w:t>
            </w:r>
          </w:p>
          <w:p>
            <w:pPr>
              <w:spacing w:before="120" w:after="120" w:line="240" w:lineRule="auto"/>
              <w:rPr>
                <w:rFonts w:ascii="Times New Roman" w:hAnsi="Times New Roman" w:cs="Times New Roman"/>
                <w:noProof/>
                <w:sz w:val="21"/>
                <w:szCs w:val="21"/>
              </w:rPr>
            </w:pPr>
            <w:r>
              <w:rPr>
                <w:rFonts w:ascii="Times New Roman" w:hAnsi="Times New Roman"/>
                <w:noProof/>
                <w:sz w:val="21"/>
              </w:rPr>
              <w:t>56,1 Mio EUR</w:t>
            </w:r>
          </w:p>
        </w:tc>
        <w:tc>
          <w:tcPr>
            <w:tcW w:w="2552" w:type="dxa"/>
            <w:tcBorders>
              <w:top w:val="single" w:sz="8" w:space="0" w:color="7BA0CD"/>
              <w:left w:val="single" w:sz="8" w:space="0" w:color="7BA0CD"/>
              <w:bottom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noProof/>
                <w:sz w:val="21"/>
              </w:rPr>
              <w:t>256,1 Mio EUR</w:t>
            </w:r>
          </w:p>
          <w:p>
            <w:pPr>
              <w:spacing w:before="120" w:after="120" w:line="240" w:lineRule="auto"/>
              <w:rPr>
                <w:rFonts w:ascii="Times New Roman" w:hAnsi="Times New Roman" w:cs="Times New Roman"/>
                <w:noProof/>
                <w:sz w:val="21"/>
                <w:szCs w:val="21"/>
              </w:rPr>
            </w:pPr>
            <w:r>
              <w:rPr>
                <w:rFonts w:ascii="Times New Roman" w:hAnsi="Times New Roman"/>
                <w:noProof/>
                <w:sz w:val="21"/>
              </w:rPr>
              <w:t>234,1 Mio EUR</w:t>
            </w:r>
          </w:p>
        </w:tc>
        <w:tc>
          <w:tcPr>
            <w:tcW w:w="2551" w:type="dxa"/>
            <w:tcBorders>
              <w:top w:val="single" w:sz="8" w:space="0" w:color="7BA0CD"/>
              <w:left w:val="single" w:sz="8" w:space="0" w:color="7BA0CD"/>
              <w:bottom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noProof/>
                <w:sz w:val="21"/>
              </w:rPr>
              <w:t>12,7 Mio EUR</w:t>
            </w:r>
          </w:p>
          <w:p>
            <w:pPr>
              <w:spacing w:before="120" w:after="120" w:line="240" w:lineRule="auto"/>
              <w:rPr>
                <w:rFonts w:ascii="Times New Roman" w:hAnsi="Times New Roman" w:cs="Times New Roman"/>
                <w:noProof/>
                <w:sz w:val="21"/>
                <w:szCs w:val="21"/>
              </w:rPr>
            </w:pPr>
            <w:r>
              <w:rPr>
                <w:rFonts w:ascii="Times New Roman" w:hAnsi="Times New Roman"/>
                <w:noProof/>
                <w:sz w:val="21"/>
              </w:rPr>
              <w:t>10,8 Mio EUR</w:t>
            </w:r>
          </w:p>
        </w:tc>
      </w:tr>
      <w:tr>
        <w:tc>
          <w:tcPr>
            <w:tcW w:w="2694"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after="0"/>
              <w:rPr>
                <w:rFonts w:ascii="Times New Roman" w:hAnsi="Times New Roman" w:cs="Times New Roman"/>
                <w:b/>
                <w:bCs/>
                <w:noProof/>
                <w:color w:val="FFFFFF"/>
                <w:sz w:val="21"/>
                <w:szCs w:val="21"/>
              </w:rPr>
            </w:pPr>
          </w:p>
        </w:tc>
        <w:tc>
          <w:tcPr>
            <w:tcW w:w="2693"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Mécanisme en faveur des PME innovantes et à forte croissance au titre du PIC — MIC</w:t>
            </w:r>
          </w:p>
        </w:tc>
        <w:tc>
          <w:tcPr>
            <w:tcW w:w="2552"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Mécanisme pour l’interconnexion en Europe — MIE</w:t>
            </w:r>
          </w:p>
        </w:tc>
        <w:tc>
          <w:tcPr>
            <w:tcW w:w="2409"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 xml:space="preserve">Facilité «capital-risque» pour la croissance au titre du programme COSME — </w:t>
            </w:r>
          </w:p>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EFG</w:t>
            </w:r>
          </w:p>
        </w:tc>
        <w:tc>
          <w:tcPr>
            <w:tcW w:w="2552"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InnovFin Equity (Horizon 2020)</w:t>
            </w:r>
          </w:p>
          <w:p>
            <w:pPr>
              <w:spacing w:after="0"/>
              <w:rPr>
                <w:rFonts w:ascii="Times New Roman" w:hAnsi="Times New Roman" w:cs="Times New Roman"/>
                <w:b/>
                <w:bCs/>
                <w:noProof/>
                <w:color w:val="FFFFFF" w:themeColor="background1"/>
                <w:sz w:val="21"/>
                <w:szCs w:val="21"/>
              </w:rPr>
            </w:pPr>
          </w:p>
        </w:tc>
        <w:tc>
          <w:tcPr>
            <w:tcW w:w="2551"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 xml:space="preserve">«Investissements pour le renforcement des capacités» de l’EaSI </w:t>
            </w:r>
          </w:p>
          <w:p>
            <w:pPr>
              <w:spacing w:after="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(EaSI CBI)</w:t>
            </w:r>
          </w:p>
        </w:tc>
      </w:tr>
      <w:tr>
        <w:trPr>
          <w:trHeight w:val="1533"/>
        </w:trPr>
        <w:tc>
          <w:tcPr>
            <w:tcW w:w="2694" w:type="dxa"/>
            <w:tcBorders>
              <w:right w:val="single" w:sz="8" w:space="0" w:color="7BA0CD"/>
            </w:tcBorders>
            <w:shd w:val="clear" w:color="auto" w:fill="D3DFEE"/>
          </w:tcPr>
          <w:p>
            <w:pPr>
              <w:spacing w:before="60" w:after="60"/>
              <w:rPr>
                <w:rFonts w:ascii="Times New Roman" w:hAnsi="Times New Roman" w:cs="Times New Roman"/>
                <w:b/>
                <w:bCs/>
                <w:noProof/>
                <w:sz w:val="21"/>
                <w:szCs w:val="21"/>
              </w:rPr>
            </w:pPr>
            <w:r>
              <w:rPr>
                <w:rFonts w:ascii="Times New Roman" w:hAnsi="Times New Roman"/>
                <w:b/>
                <w:noProof/>
                <w:sz w:val="21"/>
              </w:rPr>
              <w:t>e) Performances</w:t>
            </w:r>
          </w:p>
        </w:tc>
        <w:tc>
          <w:tcPr>
            <w:tcW w:w="2693"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43 accords signés avec des fonds de capital-risque pour l’octroi d’un financement attendu de 3,08 Mrd EUR en faveur de 516 PME éligibles</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409"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9 accords signés avec des fonds de capital-risque pour l’octroi d’un financement attendu de 470,6 Mio EUR en faveur de 64 PME éligibles</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Accords signés pour l’octroi d’un financement attendu de 565,1 Mio EUR en faveur d’environ 300 PME éligibles</w:t>
            </w:r>
          </w:p>
        </w:tc>
        <w:tc>
          <w:tcPr>
            <w:tcW w:w="2551" w:type="dxa"/>
            <w:tcBorders>
              <w:lef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0</w:t>
            </w:r>
          </w:p>
        </w:tc>
      </w:tr>
      <w:tr>
        <w:trPr>
          <w:trHeight w:val="1114"/>
        </w:trPr>
        <w:tc>
          <w:tcPr>
            <w:tcW w:w="2694" w:type="dxa"/>
            <w:tcBorders>
              <w:right w:val="single" w:sz="8" w:space="0" w:color="7BA0CD"/>
            </w:tcBorders>
            <w:shd w:val="clear" w:color="auto" w:fill="auto"/>
          </w:tcPr>
          <w:p>
            <w:pPr>
              <w:spacing w:before="60" w:after="60"/>
              <w:rPr>
                <w:rFonts w:ascii="Times New Roman" w:hAnsi="Times New Roman" w:cs="Times New Roman"/>
                <w:b/>
                <w:bCs/>
                <w:noProof/>
                <w:sz w:val="21"/>
                <w:szCs w:val="21"/>
              </w:rPr>
            </w:pPr>
            <w:r>
              <w:rPr>
                <w:rFonts w:ascii="Times New Roman" w:hAnsi="Times New Roman"/>
                <w:b/>
                <w:noProof/>
                <w:sz w:val="21"/>
              </w:rPr>
              <w:t>f) Évaluation de l’utilisation des montants remboursés à l’instrument</w:t>
            </w:r>
          </w:p>
        </w:tc>
        <w:tc>
          <w:tcPr>
            <w:tcW w:w="2693" w:type="dxa"/>
            <w:tcBorders>
              <w:left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noProof/>
                <w:sz w:val="21"/>
              </w:rPr>
              <w:t>Plus de 90 %</w:t>
            </w:r>
          </w:p>
        </w:tc>
        <w:tc>
          <w:tcPr>
            <w:tcW w:w="2552" w:type="dxa"/>
            <w:tcBorders>
              <w:left w:val="single" w:sz="8" w:space="0" w:color="7BA0CD"/>
              <w:righ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409" w:type="dxa"/>
            <w:tcBorders>
              <w:left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noProof/>
                <w:sz w:val="21"/>
              </w:rPr>
              <w:t>10,9 Mio EUR</w:t>
            </w:r>
          </w:p>
        </w:tc>
        <w:tc>
          <w:tcPr>
            <w:tcW w:w="2552" w:type="dxa"/>
            <w:tcBorders>
              <w:left w:val="single" w:sz="8" w:space="0" w:color="7BA0CD"/>
              <w:righ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noProof/>
                <w:sz w:val="21"/>
              </w:rPr>
              <w:t>0,4 Mio EUR</w:t>
            </w:r>
          </w:p>
        </w:tc>
        <w:tc>
          <w:tcPr>
            <w:tcW w:w="2551" w:type="dxa"/>
            <w:tcBorders>
              <w:lef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noProof/>
                <w:sz w:val="21"/>
              </w:rPr>
              <w:t>Sans objet</w:t>
            </w:r>
          </w:p>
        </w:tc>
      </w:tr>
      <w:tr>
        <w:trPr>
          <w:trHeight w:val="640"/>
        </w:trPr>
        <w:tc>
          <w:tcPr>
            <w:tcW w:w="2694" w:type="dxa"/>
            <w:tcBorders>
              <w:right w:val="single" w:sz="8" w:space="0" w:color="7BA0CD"/>
            </w:tcBorders>
            <w:shd w:val="clear" w:color="auto" w:fill="D3DFEE"/>
          </w:tcPr>
          <w:p>
            <w:pPr>
              <w:spacing w:before="60" w:after="60"/>
              <w:rPr>
                <w:rFonts w:ascii="Times New Roman" w:hAnsi="Times New Roman" w:cs="Times New Roman"/>
                <w:b/>
                <w:bCs/>
                <w:noProof/>
                <w:sz w:val="21"/>
                <w:szCs w:val="21"/>
              </w:rPr>
            </w:pPr>
            <w:r>
              <w:rPr>
                <w:rFonts w:ascii="Times New Roman" w:hAnsi="Times New Roman"/>
                <w:b/>
                <w:noProof/>
                <w:sz w:val="21"/>
              </w:rPr>
              <w:t>g) Solde du compte fiduciaire</w:t>
            </w:r>
            <w:r>
              <w:rPr>
                <w:rStyle w:val="FootnoteReference"/>
                <w:rFonts w:ascii="Times New Roman" w:hAnsi="Times New Roman"/>
                <w:b/>
                <w:noProof/>
                <w:sz w:val="21"/>
              </w:rPr>
              <w:footnoteReference w:id="3"/>
            </w:r>
          </w:p>
        </w:tc>
        <w:tc>
          <w:tcPr>
            <w:tcW w:w="2693"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423,2 Mio EUR</w:t>
            </w:r>
            <w:r>
              <w:rPr>
                <w:rFonts w:ascii="Times New Roman" w:hAnsi="Times New Roman"/>
                <w:noProof/>
                <w:highlight w:val="green"/>
              </w:rPr>
              <w:t xml:space="preserve"> </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409"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51,3 Mio EUR</w:t>
            </w:r>
            <w:r>
              <w:rPr>
                <w:rFonts w:ascii="Times New Roman" w:hAnsi="Times New Roman"/>
                <w:noProof/>
                <w:highlight w:val="yellow"/>
              </w:rPr>
              <w:t xml:space="preserve"> </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229 Mio EUR</w:t>
            </w:r>
            <w:r>
              <w:rPr>
                <w:rFonts w:ascii="Times New Roman" w:hAnsi="Times New Roman"/>
                <w:noProof/>
                <w:highlight w:val="yellow"/>
              </w:rPr>
              <w:t xml:space="preserve">  </w:t>
            </w:r>
          </w:p>
        </w:tc>
        <w:tc>
          <w:tcPr>
            <w:tcW w:w="2551" w:type="dxa"/>
            <w:tcBorders>
              <w:lef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10,7 Mio EUR</w:t>
            </w:r>
            <w:r>
              <w:rPr>
                <w:rFonts w:ascii="Times New Roman" w:hAnsi="Times New Roman"/>
                <w:noProof/>
                <w:highlight w:val="green"/>
              </w:rPr>
              <w:t xml:space="preserve"> </w:t>
            </w:r>
          </w:p>
        </w:tc>
      </w:tr>
      <w:tr>
        <w:trPr>
          <w:trHeight w:val="669"/>
        </w:trPr>
        <w:tc>
          <w:tcPr>
            <w:tcW w:w="2694" w:type="dxa"/>
            <w:tcBorders>
              <w:right w:val="single" w:sz="8" w:space="0" w:color="7BA0CD"/>
            </w:tcBorders>
            <w:shd w:val="clear" w:color="auto" w:fill="auto"/>
          </w:tcPr>
          <w:p>
            <w:pPr>
              <w:spacing w:before="60" w:after="60"/>
              <w:rPr>
                <w:rFonts w:ascii="Times New Roman" w:hAnsi="Times New Roman" w:cs="Times New Roman"/>
                <w:b/>
                <w:bCs/>
                <w:noProof/>
                <w:sz w:val="21"/>
                <w:szCs w:val="21"/>
              </w:rPr>
            </w:pPr>
            <w:r>
              <w:rPr>
                <w:rFonts w:ascii="Times New Roman" w:hAnsi="Times New Roman"/>
                <w:b/>
                <w:noProof/>
                <w:sz w:val="21"/>
              </w:rPr>
              <w:t>h) Recettes et remboursements</w:t>
            </w:r>
          </w:p>
        </w:tc>
        <w:tc>
          <w:tcPr>
            <w:tcW w:w="2693" w:type="dxa"/>
            <w:tcBorders>
              <w:left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noProof/>
                <w:sz w:val="21"/>
              </w:rPr>
              <w:t>53,2 Mio EUR</w:t>
            </w:r>
          </w:p>
        </w:tc>
        <w:tc>
          <w:tcPr>
            <w:tcW w:w="2552" w:type="dxa"/>
            <w:tcBorders>
              <w:left w:val="single" w:sz="8" w:space="0" w:color="7BA0CD"/>
              <w:righ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noProof/>
                <w:sz w:val="21"/>
              </w:rPr>
              <w:t>-</w:t>
            </w:r>
          </w:p>
        </w:tc>
        <w:tc>
          <w:tcPr>
            <w:tcW w:w="2409" w:type="dxa"/>
            <w:tcBorders>
              <w:left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noProof/>
                <w:sz w:val="21"/>
              </w:rPr>
              <w:t>0,01 Mio EUR</w:t>
            </w:r>
          </w:p>
        </w:tc>
        <w:tc>
          <w:tcPr>
            <w:tcW w:w="2552" w:type="dxa"/>
            <w:tcBorders>
              <w:left w:val="single" w:sz="8" w:space="0" w:color="7BA0CD"/>
              <w:righ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noProof/>
                <w:sz w:val="21"/>
              </w:rPr>
              <w:t>0,4 Mio EUR</w:t>
            </w:r>
          </w:p>
        </w:tc>
        <w:tc>
          <w:tcPr>
            <w:tcW w:w="2551" w:type="dxa"/>
            <w:tcBorders>
              <w:lef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noProof/>
                <w:sz w:val="21"/>
              </w:rPr>
              <w:t>Sans objet</w:t>
            </w:r>
          </w:p>
        </w:tc>
      </w:tr>
      <w:tr>
        <w:tc>
          <w:tcPr>
            <w:tcW w:w="2694" w:type="dxa"/>
            <w:tcBorders>
              <w:right w:val="single" w:sz="8" w:space="0" w:color="7BA0CD"/>
            </w:tcBorders>
            <w:shd w:val="clear" w:color="auto" w:fill="D3DFEE"/>
          </w:tcPr>
          <w:p>
            <w:pPr>
              <w:spacing w:before="60" w:after="60"/>
              <w:rPr>
                <w:rFonts w:ascii="Times New Roman" w:hAnsi="Times New Roman" w:cs="Times New Roman"/>
                <w:b/>
                <w:bCs/>
                <w:noProof/>
                <w:sz w:val="21"/>
                <w:szCs w:val="21"/>
              </w:rPr>
            </w:pPr>
            <w:r>
              <w:rPr>
                <w:rFonts w:ascii="Times New Roman" w:hAnsi="Times New Roman"/>
                <w:b/>
                <w:noProof/>
                <w:sz w:val="21"/>
              </w:rPr>
              <w:t xml:space="preserve">i) Valeur des investissements de fonds </w:t>
            </w:r>
            <w:r>
              <w:rPr>
                <w:rFonts w:ascii="Times New Roman" w:hAnsi="Times New Roman"/>
                <w:b/>
                <w:noProof/>
                <w:sz w:val="21"/>
              </w:rPr>
              <w:lastRenderedPageBreak/>
              <w:t>propres</w:t>
            </w:r>
          </w:p>
        </w:tc>
        <w:tc>
          <w:tcPr>
            <w:tcW w:w="2693"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lastRenderedPageBreak/>
              <w:t>333,5 Mio EUR</w:t>
            </w:r>
            <w:r>
              <w:rPr>
                <w:rFonts w:ascii="Times New Roman" w:hAnsi="Times New Roman"/>
                <w:noProof/>
                <w:highlight w:val="green"/>
              </w:rPr>
              <w:t xml:space="preserve"> </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409"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12,2 Mio EUR</w:t>
            </w:r>
            <w:r>
              <w:rPr>
                <w:rFonts w:ascii="Times New Roman" w:hAnsi="Times New Roman"/>
                <w:noProof/>
                <w:highlight w:val="yellow"/>
              </w:rPr>
              <w:t xml:space="preserve"> </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8,4 Mio EUR</w:t>
            </w:r>
          </w:p>
        </w:tc>
        <w:tc>
          <w:tcPr>
            <w:tcW w:w="2551" w:type="dxa"/>
            <w:tcBorders>
              <w:lef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0</w:t>
            </w:r>
          </w:p>
        </w:tc>
      </w:tr>
      <w:tr>
        <w:tc>
          <w:tcPr>
            <w:tcW w:w="2694" w:type="dxa"/>
            <w:tcBorders>
              <w:right w:val="single" w:sz="8" w:space="0" w:color="7BA0CD"/>
            </w:tcBorders>
            <w:shd w:val="clear" w:color="auto" w:fill="auto"/>
          </w:tcPr>
          <w:p>
            <w:pPr>
              <w:spacing w:before="60" w:after="60"/>
              <w:rPr>
                <w:rFonts w:ascii="Times New Roman" w:hAnsi="Times New Roman" w:cs="Times New Roman"/>
                <w:b/>
                <w:bCs/>
                <w:noProof/>
                <w:sz w:val="21"/>
                <w:szCs w:val="21"/>
              </w:rPr>
            </w:pPr>
            <w:r>
              <w:rPr>
                <w:rFonts w:ascii="Times New Roman" w:hAnsi="Times New Roman"/>
                <w:b/>
                <w:noProof/>
                <w:sz w:val="21"/>
              </w:rPr>
              <w:lastRenderedPageBreak/>
              <w:t>j) Dépréciations / garanties appelées</w:t>
            </w:r>
          </w:p>
        </w:tc>
        <w:tc>
          <w:tcPr>
            <w:tcW w:w="2693" w:type="dxa"/>
            <w:tcBorders>
              <w:left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noProof/>
                <w:sz w:val="21"/>
              </w:rPr>
              <w:t>19,9 Mio EUR</w:t>
            </w:r>
          </w:p>
        </w:tc>
        <w:tc>
          <w:tcPr>
            <w:tcW w:w="2552" w:type="dxa"/>
            <w:tcBorders>
              <w:left w:val="single" w:sz="8" w:space="0" w:color="7BA0CD"/>
              <w:righ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409" w:type="dxa"/>
            <w:tcBorders>
              <w:left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noProof/>
                <w:sz w:val="21"/>
              </w:rPr>
              <w:t>0</w:t>
            </w:r>
          </w:p>
        </w:tc>
        <w:tc>
          <w:tcPr>
            <w:tcW w:w="2552" w:type="dxa"/>
            <w:tcBorders>
              <w:left w:val="single" w:sz="8" w:space="0" w:color="7BA0CD"/>
              <w:righ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551" w:type="dxa"/>
            <w:tcBorders>
              <w:lef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noProof/>
                <w:sz w:val="21"/>
              </w:rPr>
              <w:t>Sans objet</w:t>
            </w:r>
          </w:p>
        </w:tc>
      </w:tr>
      <w:tr>
        <w:trPr>
          <w:trHeight w:val="1338"/>
        </w:trPr>
        <w:tc>
          <w:tcPr>
            <w:tcW w:w="2694" w:type="dxa"/>
            <w:tcBorders>
              <w:right w:val="single" w:sz="8" w:space="0" w:color="7BA0CD"/>
            </w:tcBorders>
            <w:shd w:val="clear" w:color="auto" w:fill="D3DFEE"/>
          </w:tcPr>
          <w:p>
            <w:pPr>
              <w:spacing w:before="60" w:after="60"/>
              <w:rPr>
                <w:rFonts w:ascii="Times New Roman" w:hAnsi="Times New Roman" w:cs="Times New Roman"/>
                <w:b/>
                <w:bCs/>
                <w:noProof/>
                <w:sz w:val="21"/>
                <w:szCs w:val="21"/>
              </w:rPr>
            </w:pPr>
            <w:r>
              <w:rPr>
                <w:rFonts w:ascii="Times New Roman" w:hAnsi="Times New Roman"/>
                <w:b/>
                <w:noProof/>
                <w:sz w:val="21"/>
              </w:rPr>
              <w:t>k) Effet de levier</w:t>
            </w:r>
          </w:p>
        </w:tc>
        <w:tc>
          <w:tcPr>
            <w:tcW w:w="2693"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Attendu: 5</w:t>
            </w:r>
          </w:p>
          <w:p>
            <w:pPr>
              <w:spacing w:before="120" w:after="120" w:line="240" w:lineRule="auto"/>
              <w:rPr>
                <w:rFonts w:ascii="Times New Roman" w:hAnsi="Times New Roman" w:cs="Times New Roman"/>
                <w:noProof/>
                <w:sz w:val="21"/>
                <w:szCs w:val="21"/>
              </w:rPr>
            </w:pPr>
            <w:r>
              <w:rPr>
                <w:rFonts w:ascii="Times New Roman" w:hAnsi="Times New Roman"/>
                <w:noProof/>
                <w:sz w:val="21"/>
              </w:rPr>
              <w:t>Atteint: 5,7</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Visé: 5 à 17</w:t>
            </w:r>
          </w:p>
        </w:tc>
        <w:tc>
          <w:tcPr>
            <w:tcW w:w="2409"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Visé: entre 4 et 6</w:t>
            </w:r>
          </w:p>
          <w:p>
            <w:pPr>
              <w:spacing w:before="120" w:after="120" w:line="240" w:lineRule="auto"/>
              <w:rPr>
                <w:rFonts w:ascii="Times New Roman" w:hAnsi="Times New Roman" w:cs="Times New Roman"/>
                <w:noProof/>
                <w:sz w:val="21"/>
                <w:szCs w:val="21"/>
              </w:rPr>
            </w:pPr>
            <w:r>
              <w:rPr>
                <w:rFonts w:ascii="Times New Roman" w:hAnsi="Times New Roman"/>
                <w:noProof/>
                <w:sz w:val="21"/>
              </w:rPr>
              <w:t>Attendu: 2,7</w:t>
            </w:r>
          </w:p>
          <w:p>
            <w:pPr>
              <w:spacing w:before="120" w:after="120" w:line="240" w:lineRule="auto"/>
              <w:rPr>
                <w:rFonts w:ascii="Times New Roman" w:hAnsi="Times New Roman" w:cs="Times New Roman"/>
                <w:noProof/>
                <w:sz w:val="21"/>
                <w:szCs w:val="21"/>
              </w:rPr>
            </w:pPr>
            <w:r>
              <w:rPr>
                <w:rFonts w:ascii="Times New Roman" w:hAnsi="Times New Roman"/>
                <w:noProof/>
                <w:sz w:val="21"/>
              </w:rPr>
              <w:t>Atteint: 0,4</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Attendu: 2,21</w:t>
            </w:r>
          </w:p>
          <w:p>
            <w:pPr>
              <w:spacing w:before="120" w:after="120" w:line="240" w:lineRule="auto"/>
              <w:rPr>
                <w:rFonts w:ascii="Times New Roman" w:hAnsi="Times New Roman" w:cs="Times New Roman"/>
                <w:noProof/>
                <w:sz w:val="21"/>
                <w:szCs w:val="21"/>
              </w:rPr>
            </w:pPr>
            <w:r>
              <w:rPr>
                <w:rFonts w:ascii="Times New Roman" w:hAnsi="Times New Roman"/>
                <w:noProof/>
                <w:sz w:val="21"/>
              </w:rPr>
              <w:t>Atteint: 0,06</w:t>
            </w:r>
          </w:p>
        </w:tc>
        <w:tc>
          <w:tcPr>
            <w:tcW w:w="2551" w:type="dxa"/>
            <w:tcBorders>
              <w:lef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noProof/>
                <w:sz w:val="21"/>
              </w:rPr>
              <w:t>Visé: 2</w:t>
            </w:r>
            <w:r>
              <w:rPr>
                <w:rStyle w:val="FootnoteReference"/>
                <w:rFonts w:ascii="Times New Roman" w:hAnsi="Times New Roman"/>
                <w:noProof/>
                <w:sz w:val="21"/>
              </w:rPr>
              <w:footnoteReference w:id="4"/>
            </w:r>
          </w:p>
        </w:tc>
      </w:tr>
      <w:tr>
        <w:trPr>
          <w:trHeight w:val="303"/>
        </w:trPr>
        <w:tc>
          <w:tcPr>
            <w:tcW w:w="2694" w:type="dxa"/>
            <w:tcBorders>
              <w:top w:val="single" w:sz="8" w:space="0" w:color="7BA0CD"/>
              <w:left w:val="single" w:sz="8" w:space="0" w:color="7BA0CD"/>
              <w:bottom w:val="single" w:sz="8" w:space="0" w:color="7BA0CD"/>
              <w:right w:val="single" w:sz="8" w:space="0" w:color="7BA0CD"/>
            </w:tcBorders>
            <w:shd w:val="clear" w:color="auto" w:fill="4F81BD"/>
          </w:tcPr>
          <w:p>
            <w:pPr>
              <w:spacing w:after="0"/>
              <w:rPr>
                <w:rFonts w:ascii="Times New Roman" w:hAnsi="Times New Roman" w:cs="Times New Roman"/>
                <w:b/>
                <w:bCs/>
                <w:noProof/>
                <w:color w:val="FFFFFF"/>
                <w:sz w:val="21"/>
                <w:szCs w:val="21"/>
              </w:rPr>
            </w:pPr>
          </w:p>
        </w:tc>
        <w:tc>
          <w:tcPr>
            <w:tcW w:w="2693" w:type="dxa"/>
            <w:tcBorders>
              <w:top w:val="single" w:sz="8" w:space="0" w:color="7BA0CD"/>
              <w:left w:val="single" w:sz="8" w:space="0" w:color="7BA0CD"/>
              <w:bottom w:val="single" w:sz="8" w:space="0" w:color="7BA0CD"/>
              <w:right w:val="single" w:sz="8" w:space="0" w:color="7BA0CD"/>
            </w:tcBorders>
            <w:shd w:val="clear" w:color="auto" w:fill="4F81BD"/>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Mécanisme en faveur des PME innovantes et à forte croissance au titre du PIC — MIC</w:t>
            </w:r>
          </w:p>
        </w:tc>
        <w:tc>
          <w:tcPr>
            <w:tcW w:w="2552" w:type="dxa"/>
            <w:tcBorders>
              <w:top w:val="single" w:sz="8" w:space="0" w:color="7BA0CD"/>
              <w:left w:val="single" w:sz="8" w:space="0" w:color="7BA0CD"/>
              <w:bottom w:val="single" w:sz="8" w:space="0" w:color="7BA0CD"/>
              <w:right w:val="single" w:sz="8" w:space="0" w:color="7BA0CD"/>
            </w:tcBorders>
            <w:shd w:val="clear" w:color="auto" w:fill="4F81BD"/>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Mécanisme pour l’interconnexion en Europe — MIE</w:t>
            </w:r>
          </w:p>
        </w:tc>
        <w:tc>
          <w:tcPr>
            <w:tcW w:w="2409" w:type="dxa"/>
            <w:tcBorders>
              <w:top w:val="single" w:sz="8" w:space="0" w:color="7BA0CD"/>
              <w:left w:val="single" w:sz="8" w:space="0" w:color="7BA0CD"/>
              <w:bottom w:val="single" w:sz="8" w:space="0" w:color="7BA0CD"/>
              <w:right w:val="single" w:sz="8" w:space="0" w:color="7BA0CD"/>
            </w:tcBorders>
            <w:shd w:val="clear" w:color="auto" w:fill="4F81BD"/>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 xml:space="preserve">Facilité «capital-risque» pour la croissance au titre du programme COSME — </w:t>
            </w:r>
          </w:p>
          <w:p>
            <w:pPr>
              <w:spacing w:after="0"/>
              <w:rPr>
                <w:rFonts w:ascii="Times New Roman" w:hAnsi="Times New Roman" w:cs="Times New Roman"/>
                <w:b/>
                <w:bCs/>
                <w:noProof/>
                <w:color w:val="FFFFFF"/>
                <w:sz w:val="21"/>
                <w:szCs w:val="21"/>
              </w:rPr>
            </w:pPr>
            <w:r>
              <w:rPr>
                <w:rFonts w:ascii="Times New Roman" w:hAnsi="Times New Roman"/>
                <w:b/>
                <w:noProof/>
                <w:color w:val="FFFFFF"/>
                <w:sz w:val="21"/>
              </w:rPr>
              <w:t>EFG</w:t>
            </w:r>
          </w:p>
        </w:tc>
        <w:tc>
          <w:tcPr>
            <w:tcW w:w="2552" w:type="dxa"/>
            <w:tcBorders>
              <w:top w:val="single" w:sz="8" w:space="0" w:color="7BA0CD"/>
              <w:left w:val="single" w:sz="8" w:space="0" w:color="7BA0CD"/>
              <w:bottom w:val="single" w:sz="8" w:space="0" w:color="7BA0CD"/>
              <w:right w:val="single" w:sz="8" w:space="0" w:color="7BA0CD"/>
            </w:tcBorders>
            <w:shd w:val="clear" w:color="auto" w:fill="4F81BD"/>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InnovFin Equity (Horizon 2020)</w:t>
            </w:r>
          </w:p>
          <w:p>
            <w:pPr>
              <w:spacing w:after="0"/>
              <w:rPr>
                <w:rFonts w:ascii="Times New Roman" w:hAnsi="Times New Roman" w:cs="Times New Roman"/>
                <w:b/>
                <w:bCs/>
                <w:noProof/>
                <w:color w:val="FFFFFF"/>
                <w:sz w:val="21"/>
                <w:szCs w:val="21"/>
              </w:rPr>
            </w:pPr>
          </w:p>
        </w:tc>
        <w:tc>
          <w:tcPr>
            <w:tcW w:w="2551" w:type="dxa"/>
            <w:tcBorders>
              <w:top w:val="single" w:sz="8" w:space="0" w:color="7BA0CD"/>
              <w:left w:val="single" w:sz="8" w:space="0" w:color="7BA0CD"/>
              <w:bottom w:val="single" w:sz="8" w:space="0" w:color="7BA0CD"/>
              <w:right w:val="single" w:sz="8" w:space="0" w:color="7BA0CD"/>
            </w:tcBorders>
            <w:shd w:val="clear" w:color="auto" w:fill="4F81BD"/>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 xml:space="preserve">«Investissements pour le renforcement des capacités» de l’EaSI </w:t>
            </w:r>
          </w:p>
          <w:p>
            <w:pPr>
              <w:spacing w:after="0"/>
              <w:rPr>
                <w:rFonts w:ascii="Times New Roman" w:hAnsi="Times New Roman" w:cs="Times New Roman"/>
                <w:b/>
                <w:bCs/>
                <w:noProof/>
                <w:color w:val="FFFFFF"/>
                <w:sz w:val="21"/>
                <w:szCs w:val="21"/>
              </w:rPr>
            </w:pPr>
            <w:r>
              <w:rPr>
                <w:rFonts w:ascii="Times New Roman" w:hAnsi="Times New Roman"/>
                <w:b/>
                <w:noProof/>
                <w:color w:val="FFFFFF"/>
                <w:sz w:val="21"/>
              </w:rPr>
              <w:t>(EaSI CBI)</w:t>
            </w:r>
          </w:p>
        </w:tc>
      </w:tr>
      <w:tr>
        <w:trPr>
          <w:trHeight w:val="4540"/>
        </w:trPr>
        <w:tc>
          <w:tcPr>
            <w:tcW w:w="2694" w:type="dxa"/>
            <w:tcBorders>
              <w:right w:val="single" w:sz="8" w:space="0" w:color="7BA0CD"/>
            </w:tcBorders>
            <w:shd w:val="clear" w:color="auto" w:fill="auto"/>
          </w:tcPr>
          <w:p>
            <w:pPr>
              <w:spacing w:before="60" w:after="60"/>
              <w:rPr>
                <w:rFonts w:ascii="Times New Roman" w:hAnsi="Times New Roman" w:cs="Times New Roman"/>
                <w:b/>
                <w:bCs/>
                <w:noProof/>
                <w:sz w:val="21"/>
                <w:szCs w:val="21"/>
              </w:rPr>
            </w:pPr>
            <w:r>
              <w:rPr>
                <w:rFonts w:ascii="Times New Roman" w:hAnsi="Times New Roman"/>
                <w:b/>
                <w:noProof/>
                <w:sz w:val="21"/>
              </w:rPr>
              <w:lastRenderedPageBreak/>
              <w:t>l) Contribution à la réalisation des objectifs du programme</w:t>
            </w:r>
          </w:p>
        </w:tc>
        <w:tc>
          <w:tcPr>
            <w:tcW w:w="2693" w:type="dxa"/>
            <w:tcBorders>
              <w:left w:val="single" w:sz="8" w:space="0" w:color="7BA0CD"/>
              <w:right w:val="single" w:sz="8" w:space="0" w:color="7BA0CD"/>
            </w:tcBorders>
            <w:shd w:val="clear" w:color="auto" w:fill="auto"/>
          </w:tcPr>
          <w:p>
            <w:pPr>
              <w:pStyle w:val="ListParagraph"/>
              <w:spacing w:before="120" w:after="120" w:line="240" w:lineRule="auto"/>
              <w:ind w:left="0"/>
              <w:rPr>
                <w:noProof/>
                <w:sz w:val="21"/>
                <w:szCs w:val="21"/>
              </w:rPr>
            </w:pPr>
            <w:r>
              <w:rPr>
                <w:noProof/>
                <w:sz w:val="21"/>
              </w:rPr>
              <w:t xml:space="preserve">Plus de 1,4 Mrd EUR de financements mobilisés en faveur de 484 PME éligibles; </w:t>
            </w:r>
          </w:p>
          <w:p>
            <w:pPr>
              <w:pStyle w:val="ListParagraph"/>
              <w:spacing w:before="120" w:after="120" w:line="240" w:lineRule="auto"/>
              <w:ind w:left="0"/>
              <w:rPr>
                <w:noProof/>
                <w:sz w:val="21"/>
                <w:szCs w:val="21"/>
              </w:rPr>
            </w:pPr>
          </w:p>
          <w:p>
            <w:pPr>
              <w:pStyle w:val="ListParagraph"/>
              <w:spacing w:before="120" w:after="120" w:line="240" w:lineRule="auto"/>
              <w:ind w:left="0"/>
              <w:rPr>
                <w:noProof/>
                <w:sz w:val="21"/>
                <w:szCs w:val="21"/>
              </w:rPr>
            </w:pPr>
            <w:r>
              <w:rPr>
                <w:noProof/>
                <w:sz w:val="21"/>
              </w:rPr>
              <w:t>Près de 3,6 Mrd EUR d’investissements mobilisés.</w:t>
            </w:r>
          </w:p>
        </w:tc>
        <w:tc>
          <w:tcPr>
            <w:tcW w:w="2552" w:type="dxa"/>
            <w:tcBorders>
              <w:left w:val="single" w:sz="8" w:space="0" w:color="7BA0CD"/>
              <w:right w:val="single" w:sz="8" w:space="0" w:color="7BA0CD"/>
            </w:tcBorders>
          </w:tcPr>
          <w:p>
            <w:pPr>
              <w:pStyle w:val="ListParagraph"/>
              <w:spacing w:before="120" w:after="120" w:line="240" w:lineRule="auto"/>
              <w:ind w:left="0"/>
              <w:rPr>
                <w:noProof/>
                <w:sz w:val="10"/>
                <w:szCs w:val="21"/>
              </w:rPr>
            </w:pPr>
          </w:p>
          <w:p>
            <w:pPr>
              <w:pStyle w:val="ListParagraph"/>
              <w:spacing w:before="120" w:after="120" w:line="240" w:lineRule="auto"/>
              <w:ind w:left="0"/>
              <w:rPr>
                <w:noProof/>
                <w:sz w:val="21"/>
                <w:szCs w:val="21"/>
              </w:rPr>
            </w:pPr>
            <w:r>
              <w:rPr>
                <w:noProof/>
                <w:sz w:val="21"/>
              </w:rPr>
              <w:t>Sans objet</w:t>
            </w:r>
          </w:p>
        </w:tc>
        <w:tc>
          <w:tcPr>
            <w:tcW w:w="2409" w:type="dxa"/>
            <w:tcBorders>
              <w:left w:val="single" w:sz="8" w:space="0" w:color="7BA0CD"/>
              <w:right w:val="single" w:sz="8" w:space="0" w:color="7BA0CD"/>
            </w:tcBorders>
            <w:shd w:val="clear" w:color="auto" w:fill="auto"/>
          </w:tcPr>
          <w:p>
            <w:pPr>
              <w:pStyle w:val="ListParagraph"/>
              <w:spacing w:before="120" w:after="120" w:line="240" w:lineRule="auto"/>
              <w:ind w:left="0"/>
              <w:rPr>
                <w:noProof/>
                <w:sz w:val="10"/>
                <w:szCs w:val="21"/>
              </w:rPr>
            </w:pPr>
          </w:p>
          <w:p>
            <w:pPr>
              <w:pStyle w:val="ListParagraph"/>
              <w:spacing w:before="120" w:after="120" w:line="240" w:lineRule="auto"/>
              <w:ind w:left="0"/>
              <w:rPr>
                <w:noProof/>
                <w:sz w:val="21"/>
                <w:szCs w:val="21"/>
              </w:rPr>
            </w:pPr>
            <w:r>
              <w:rPr>
                <w:noProof/>
                <w:sz w:val="21"/>
              </w:rPr>
              <w:t>Volume escompté d’investissements en fonds propres de 470,6 Mio EUR en faveur de 64 bénéficiaires finaux éligibles;</w:t>
            </w:r>
          </w:p>
          <w:p>
            <w:pPr>
              <w:pStyle w:val="ListParagraph"/>
              <w:spacing w:before="120" w:after="120" w:line="240" w:lineRule="auto"/>
              <w:ind w:left="0"/>
              <w:rPr>
                <w:noProof/>
                <w:sz w:val="21"/>
                <w:szCs w:val="21"/>
              </w:rPr>
            </w:pPr>
            <w:r>
              <w:rPr>
                <w:noProof/>
                <w:sz w:val="21"/>
              </w:rPr>
              <w:t xml:space="preserve"> Investissements de 64 Mio EUR en faveur de 12 PME dans 7 pays d’ici à fin 2016</w:t>
            </w:r>
          </w:p>
        </w:tc>
        <w:tc>
          <w:tcPr>
            <w:tcW w:w="2552" w:type="dxa"/>
            <w:tcBorders>
              <w:left w:val="single" w:sz="8" w:space="0" w:color="7BA0CD"/>
              <w:right w:val="single" w:sz="8" w:space="0" w:color="7BA0CD"/>
            </w:tcBorders>
          </w:tcPr>
          <w:p>
            <w:pPr>
              <w:pStyle w:val="ListParagraph"/>
              <w:spacing w:before="120" w:after="120" w:line="240" w:lineRule="auto"/>
              <w:ind w:left="0"/>
              <w:rPr>
                <w:noProof/>
                <w:sz w:val="10"/>
                <w:szCs w:val="21"/>
              </w:rPr>
            </w:pPr>
          </w:p>
          <w:p>
            <w:pPr>
              <w:pStyle w:val="ListParagraph"/>
              <w:spacing w:before="120" w:after="120" w:line="240" w:lineRule="auto"/>
              <w:ind w:left="0"/>
              <w:rPr>
                <w:noProof/>
                <w:sz w:val="21"/>
                <w:szCs w:val="21"/>
              </w:rPr>
            </w:pPr>
            <w:r>
              <w:rPr>
                <w:noProof/>
                <w:sz w:val="21"/>
              </w:rPr>
              <w:t xml:space="preserve">Le volume cible des investissements dans 1 500 bénéficiaires finaux éligibles envisagés s’élève à 2 900 Mio EUR; </w:t>
            </w:r>
          </w:p>
          <w:p>
            <w:pPr>
              <w:pStyle w:val="ListParagraph"/>
              <w:spacing w:before="120" w:after="120" w:line="240" w:lineRule="auto"/>
              <w:ind w:left="0"/>
              <w:rPr>
                <w:noProof/>
                <w:sz w:val="21"/>
                <w:szCs w:val="21"/>
              </w:rPr>
            </w:pPr>
            <w:r>
              <w:rPr>
                <w:noProof/>
                <w:sz w:val="21"/>
              </w:rPr>
              <w:t xml:space="preserve">Le volume de financement attendu s’élève à 565,1 Mio EUR en faveur de 300 bénéficiaires finaux éligibles; </w:t>
            </w:r>
          </w:p>
          <w:p>
            <w:pPr>
              <w:pStyle w:val="ListParagraph"/>
              <w:spacing w:before="120" w:after="120" w:line="240" w:lineRule="auto"/>
              <w:ind w:left="0"/>
              <w:rPr>
                <w:noProof/>
                <w:sz w:val="21"/>
                <w:szCs w:val="21"/>
              </w:rPr>
            </w:pPr>
            <w:r>
              <w:rPr>
                <w:noProof/>
                <w:sz w:val="21"/>
              </w:rPr>
              <w:t xml:space="preserve">Le volume de financement atteint s’élève à 15 Mio EUR en faveur de 8 bénéficiaires finaux éligibles; </w:t>
            </w:r>
          </w:p>
          <w:p>
            <w:pPr>
              <w:pStyle w:val="ListParagraph"/>
              <w:spacing w:before="120" w:after="120" w:line="240" w:lineRule="auto"/>
              <w:ind w:left="0"/>
              <w:rPr>
                <w:noProof/>
                <w:sz w:val="21"/>
                <w:szCs w:val="21"/>
              </w:rPr>
            </w:pPr>
          </w:p>
          <w:p>
            <w:pPr>
              <w:pStyle w:val="ListParagraph"/>
              <w:spacing w:before="120" w:after="120" w:line="240" w:lineRule="auto"/>
              <w:ind w:left="0"/>
              <w:rPr>
                <w:noProof/>
                <w:sz w:val="21"/>
                <w:szCs w:val="21"/>
              </w:rPr>
            </w:pPr>
            <w:r>
              <w:rPr>
                <w:noProof/>
                <w:sz w:val="21"/>
              </w:rPr>
              <w:t>Les investissements des PME s’élèvent à environ 15 Mio EUR.</w:t>
            </w:r>
          </w:p>
        </w:tc>
        <w:tc>
          <w:tcPr>
            <w:tcW w:w="2551" w:type="dxa"/>
            <w:tcBorders>
              <w:left w:val="single" w:sz="8" w:space="0" w:color="7BA0CD"/>
            </w:tcBorders>
          </w:tcPr>
          <w:p>
            <w:pPr>
              <w:pStyle w:val="ListParagraph"/>
              <w:spacing w:before="120" w:after="120" w:line="240" w:lineRule="auto"/>
              <w:ind w:left="0"/>
              <w:rPr>
                <w:noProof/>
                <w:sz w:val="10"/>
                <w:szCs w:val="21"/>
              </w:rPr>
            </w:pPr>
          </w:p>
          <w:p>
            <w:pPr>
              <w:pStyle w:val="ListParagraph"/>
              <w:spacing w:before="120" w:after="120" w:line="240" w:lineRule="auto"/>
              <w:ind w:left="0"/>
              <w:rPr>
                <w:noProof/>
                <w:sz w:val="21"/>
                <w:szCs w:val="21"/>
              </w:rPr>
            </w:pPr>
            <w:r>
              <w:rPr>
                <w:noProof/>
                <w:sz w:val="21"/>
              </w:rPr>
              <w:t>Le volume attendu des 16 Mio EUR disponibles pour des investissements dans les 8 à 10 intermédiaires financiers éligibles envisagés devrait générer environ 32 Mio EUR d’investissements dans les intermédiaires.</w:t>
            </w:r>
          </w:p>
        </w:tc>
      </w:tr>
    </w:tbl>
    <w:p>
      <w:pPr>
        <w:rPr>
          <w:noProof/>
        </w:rPr>
      </w:pPr>
    </w:p>
    <w:p>
      <w:pPr>
        <w:rPr>
          <w:rFonts w:ascii="Times New Roman" w:eastAsia="Times New Roman" w:hAnsi="Times New Roman" w:cs="Times New Roman"/>
          <w:b/>
          <w:bCs/>
          <w:noProof/>
          <w:u w:val="single"/>
        </w:rPr>
      </w:pPr>
      <w:r>
        <w:rPr>
          <w:noProof/>
        </w:rPr>
        <w:br w:type="page"/>
      </w:r>
    </w:p>
    <w:p>
      <w:pPr>
        <w:pStyle w:val="Heading4"/>
        <w:spacing w:before="0" w:after="240"/>
        <w:ind w:left="357" w:hanging="357"/>
        <w:rPr>
          <w:noProof/>
          <w:sz w:val="22"/>
          <w:szCs w:val="22"/>
        </w:rPr>
      </w:pPr>
      <w:bookmarkStart w:id="8" w:name="_Toc399517419"/>
      <w:r>
        <w:rPr>
          <w:noProof/>
          <w:sz w:val="22"/>
        </w:rPr>
        <w:lastRenderedPageBreak/>
        <w:t>INSTRUMENTS DE GARANTIE</w:t>
      </w:r>
      <w:bookmarkEnd w:id="2"/>
      <w:bookmarkEnd w:id="3"/>
      <w:bookmarkEnd w:id="4"/>
      <w:bookmarkEnd w:id="5"/>
      <w:bookmarkEnd w:id="8"/>
    </w:p>
    <w:tbl>
      <w:tblPr>
        <w:tblW w:w="15451" w:type="dxa"/>
        <w:tblInd w:w="-601"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694"/>
        <w:gridCol w:w="2693"/>
        <w:gridCol w:w="2552"/>
        <w:gridCol w:w="2693"/>
        <w:gridCol w:w="2410"/>
        <w:gridCol w:w="2409"/>
      </w:tblGrid>
      <w:tr>
        <w:tc>
          <w:tcPr>
            <w:tcW w:w="2694" w:type="dxa"/>
            <w:tcBorders>
              <w:top w:val="single" w:sz="8" w:space="0" w:color="7BA0CD"/>
              <w:left w:val="single" w:sz="8" w:space="0" w:color="7BA0CD"/>
              <w:bottom w:val="single" w:sz="8" w:space="0" w:color="7BA0CD"/>
              <w:right w:val="single" w:sz="8" w:space="0" w:color="7BA0CD"/>
            </w:tcBorders>
            <w:shd w:val="clear" w:color="auto" w:fill="4F81BD" w:themeFill="accent1"/>
          </w:tcPr>
          <w:p>
            <w:pPr>
              <w:rPr>
                <w:rFonts w:ascii="Times New Roman" w:eastAsia="Times New Roman" w:hAnsi="Times New Roman" w:cs="Times New Roman"/>
                <w:b/>
                <w:bCs/>
                <w:i/>
                <w:noProof/>
                <w:color w:val="FFFFFF"/>
                <w:sz w:val="21"/>
                <w:szCs w:val="21"/>
              </w:rPr>
            </w:pPr>
          </w:p>
        </w:tc>
        <w:tc>
          <w:tcPr>
            <w:tcW w:w="2693"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eastAsia="Times New Roman" w:hAnsi="Times New Roman" w:cs="Times New Roman"/>
                <w:b/>
                <w:bCs/>
                <w:noProof/>
                <w:color w:val="FFFFFF"/>
                <w:sz w:val="21"/>
                <w:szCs w:val="21"/>
              </w:rPr>
            </w:pPr>
            <w:r>
              <w:rPr>
                <w:rFonts w:ascii="Times New Roman" w:hAnsi="Times New Roman"/>
                <w:b/>
                <w:noProof/>
                <w:color w:val="FFFFFF"/>
                <w:sz w:val="21"/>
              </w:rPr>
              <w:t>Mécanisme de garantie des PME au titre du PIC — GPME07</w:t>
            </w:r>
          </w:p>
          <w:p>
            <w:pPr>
              <w:spacing w:before="60" w:after="120"/>
              <w:rPr>
                <w:rFonts w:ascii="Times New Roman" w:eastAsia="Times New Roman" w:hAnsi="Times New Roman" w:cs="Times New Roman"/>
                <w:b/>
                <w:bCs/>
                <w:noProof/>
                <w:color w:val="FFFFFF"/>
                <w:sz w:val="21"/>
                <w:szCs w:val="21"/>
              </w:rPr>
            </w:pPr>
            <w:r>
              <w:rPr>
                <w:rFonts w:ascii="Times New Roman" w:hAnsi="Times New Roman"/>
                <w:b/>
                <w:noProof/>
                <w:color w:val="FFFFFF"/>
                <w:sz w:val="21"/>
              </w:rPr>
              <w:t>(point 2.1 du document de travail)</w:t>
            </w:r>
          </w:p>
          <w:p>
            <w:pPr>
              <w:spacing w:before="60" w:after="120"/>
              <w:rPr>
                <w:rFonts w:ascii="Times New Roman" w:eastAsia="Times New Roman" w:hAnsi="Times New Roman" w:cs="Times New Roman"/>
                <w:b/>
                <w:bCs/>
                <w:noProof/>
                <w:color w:val="FFFFFF"/>
                <w:sz w:val="21"/>
                <w:szCs w:val="21"/>
              </w:rPr>
            </w:pPr>
            <w:r>
              <w:rPr>
                <w:rFonts w:ascii="Times New Roman" w:hAnsi="Times New Roman"/>
                <w:b/>
                <w:noProof/>
                <w:color w:val="FFFFFF"/>
                <w:sz w:val="21"/>
              </w:rPr>
              <w:t>DG responsable: GROW et ECFIN</w:t>
            </w:r>
          </w:p>
        </w:tc>
        <w:tc>
          <w:tcPr>
            <w:tcW w:w="2552"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Instrument européen Progress de garantie de microfinancements — EPMF-G</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(point 2.2 du document de travail)</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DG responsable: EMPL</w:t>
            </w:r>
          </w:p>
        </w:tc>
        <w:tc>
          <w:tcPr>
            <w:tcW w:w="2693"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Instrument de garantie pilote pour les PME et petites entreprises à capitalisation moyenne axées sur la R&amp;I — IPR</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(point 2.5 du document de travail)</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DG responsable:   RTD</w:t>
            </w:r>
          </w:p>
        </w:tc>
        <w:tc>
          <w:tcPr>
            <w:tcW w:w="2410" w:type="dxa"/>
            <w:tcBorders>
              <w:top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Programme pour l'emploi et l'innovation sociale (volet Microfinance et entrepreneuriat social)</w:t>
            </w:r>
            <w:r>
              <w:rPr>
                <w:rFonts w:ascii="Times New Roman" w:hAnsi="Times New Roman" w:cs="Times New Roman"/>
                <w:b/>
                <w:bCs/>
                <w:noProof/>
                <w:color w:val="FFFFFF"/>
                <w:sz w:val="21"/>
                <w:szCs w:val="21"/>
              </w:rPr>
              <w:br/>
            </w:r>
            <w:r>
              <w:rPr>
                <w:rFonts w:ascii="Times New Roman" w:hAnsi="Times New Roman"/>
                <w:b/>
                <w:noProof/>
                <w:color w:val="FFFFFF"/>
                <w:sz w:val="21"/>
              </w:rPr>
              <w:t>- Garanties — EaSI-G</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(point 2.3 du document de travail)</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DG responsable: EMPL</w:t>
            </w:r>
          </w:p>
        </w:tc>
        <w:tc>
          <w:tcPr>
            <w:tcW w:w="2409"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Mécanisme de garantie de prêts dans le cadre du programme COSME</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(point 2.4 du document de travail)</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 xml:space="preserve">DG responsable: GROW </w:t>
            </w:r>
            <w:r>
              <w:rPr>
                <w:rStyle w:val="FootnoteReference"/>
                <w:rFonts w:ascii="Times New Roman" w:hAnsi="Times New Roman"/>
                <w:b/>
                <w:noProof/>
                <w:color w:val="FFFFFF"/>
                <w:sz w:val="21"/>
              </w:rPr>
              <w:footnoteReference w:id="5"/>
            </w:r>
          </w:p>
        </w:tc>
      </w:tr>
      <w:tr>
        <w:trPr>
          <w:trHeight w:val="763"/>
        </w:trPr>
        <w:tc>
          <w:tcPr>
            <w:tcW w:w="2694" w:type="dxa"/>
            <w:tcBorders>
              <w:right w:val="single" w:sz="8" w:space="0" w:color="7BA0CD"/>
            </w:tcBorders>
            <w:shd w:val="clear" w:color="auto" w:fill="D3DFEE"/>
          </w:tcPr>
          <w:p>
            <w:pPr>
              <w:spacing w:before="120" w:after="120"/>
              <w:rPr>
                <w:rFonts w:ascii="Times New Roman" w:eastAsia="Times New Roman" w:hAnsi="Times New Roman" w:cs="Times New Roman"/>
                <w:b/>
                <w:bCs/>
                <w:noProof/>
                <w:sz w:val="21"/>
                <w:szCs w:val="21"/>
              </w:rPr>
            </w:pPr>
            <w:r>
              <w:rPr>
                <w:rFonts w:ascii="Times New Roman" w:hAnsi="Times New Roman"/>
                <w:b/>
                <w:noProof/>
                <w:sz w:val="21"/>
              </w:rPr>
              <w:t>a) Identification / acte de base</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i/>
                <w:noProof/>
                <w:sz w:val="21"/>
                <w:szCs w:val="21"/>
              </w:rPr>
            </w:pPr>
            <w:r>
              <w:rPr>
                <w:rFonts w:ascii="Times New Roman" w:hAnsi="Times New Roman"/>
                <w:noProof/>
                <w:sz w:val="21"/>
              </w:rPr>
              <w:t>Décision n° 1639/2006/CE</w:t>
            </w:r>
          </w:p>
        </w:tc>
        <w:tc>
          <w:tcPr>
            <w:tcW w:w="2552"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i/>
                <w:noProof/>
                <w:sz w:val="21"/>
                <w:szCs w:val="21"/>
              </w:rPr>
            </w:pPr>
            <w:r>
              <w:rPr>
                <w:rFonts w:ascii="Times New Roman" w:hAnsi="Times New Roman"/>
                <w:noProof/>
                <w:sz w:val="21"/>
              </w:rPr>
              <w:t>Décision n° 283/2010/UE</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Décision n° 1982/2006/CE</w:t>
            </w:r>
          </w:p>
        </w:tc>
        <w:tc>
          <w:tcPr>
            <w:tcW w:w="2410"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Règlement (UE) n° 1296/2013</w:t>
            </w:r>
          </w:p>
        </w:tc>
        <w:tc>
          <w:tcPr>
            <w:tcW w:w="2409" w:type="dxa"/>
            <w:tcBorders>
              <w:lef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Règlement (UE) n° 1287/2013</w:t>
            </w:r>
          </w:p>
        </w:tc>
      </w:tr>
      <w:tr>
        <w:trPr>
          <w:trHeight w:val="1965"/>
        </w:trPr>
        <w:tc>
          <w:tcPr>
            <w:tcW w:w="2694" w:type="dxa"/>
            <w:tcBorders>
              <w:right w:val="single" w:sz="8" w:space="0" w:color="7BA0CD"/>
            </w:tcBorders>
            <w:shd w:val="clear" w:color="auto" w:fill="auto"/>
          </w:tcPr>
          <w:p>
            <w:pPr>
              <w:spacing w:before="120" w:after="120"/>
              <w:rPr>
                <w:rFonts w:ascii="Times New Roman" w:eastAsia="Times New Roman" w:hAnsi="Times New Roman" w:cs="Times New Roman"/>
                <w:b/>
                <w:bCs/>
                <w:noProof/>
                <w:sz w:val="21"/>
                <w:szCs w:val="21"/>
              </w:rPr>
            </w:pPr>
            <w:r>
              <w:rPr>
                <w:rFonts w:ascii="Times New Roman" w:hAnsi="Times New Roman"/>
                <w:b/>
                <w:noProof/>
                <w:sz w:val="21"/>
              </w:rPr>
              <w:t>b) Description</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Instrument de garantie améliorant l’accès des PME au financement</w:t>
            </w:r>
          </w:p>
        </w:tc>
        <w:tc>
          <w:tcPr>
            <w:tcW w:w="2552"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Instrument de garantie améliorant l’accès des personnes et des micro-entreprises aux micro-crédits</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Instrument de garantie améliorant l’accès des investissements en RDI au financement par l'emprunt</w:t>
            </w:r>
          </w:p>
        </w:tc>
        <w:tc>
          <w:tcPr>
            <w:tcW w:w="2410" w:type="dxa"/>
            <w:tcBorders>
              <w:left w:val="single" w:sz="8" w:space="0" w:color="7BA0CD"/>
              <w:righ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noProof/>
                <w:sz w:val="21"/>
              </w:rPr>
              <w:t>Instrument de garantie promouvant l’emploi et l’inclusion sociale en permettant un accès accru aux microcrédits et en soutenant les entreprises sociales</w:t>
            </w:r>
          </w:p>
        </w:tc>
        <w:tc>
          <w:tcPr>
            <w:tcW w:w="2409" w:type="dxa"/>
            <w:tcBorders>
              <w:lef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noProof/>
                <w:sz w:val="21"/>
              </w:rPr>
              <w:t>Instrument fournissant des garanties et d'autres dispositifs de partage des risques pour améliorer l’accès des PME au financement</w:t>
            </w:r>
          </w:p>
        </w:tc>
      </w:tr>
      <w:tr>
        <w:trPr>
          <w:trHeight w:val="761"/>
        </w:trPr>
        <w:tc>
          <w:tcPr>
            <w:tcW w:w="2694" w:type="dxa"/>
            <w:tcBorders>
              <w:right w:val="single" w:sz="8" w:space="0" w:color="7BA0CD"/>
            </w:tcBorders>
            <w:shd w:val="clear" w:color="auto" w:fill="D3DFEE"/>
          </w:tcPr>
          <w:p>
            <w:pPr>
              <w:spacing w:before="120" w:after="120"/>
              <w:rPr>
                <w:rFonts w:ascii="Times New Roman" w:eastAsia="Times New Roman" w:hAnsi="Times New Roman" w:cs="Times New Roman"/>
                <w:b/>
                <w:bCs/>
                <w:noProof/>
                <w:sz w:val="21"/>
                <w:szCs w:val="21"/>
              </w:rPr>
            </w:pPr>
            <w:r>
              <w:rPr>
                <w:rFonts w:ascii="Times New Roman" w:hAnsi="Times New Roman"/>
                <w:b/>
                <w:noProof/>
                <w:sz w:val="21"/>
              </w:rPr>
              <w:t>c) Institution(s) financière(s) concernée(s)</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FEI</w:t>
            </w:r>
          </w:p>
        </w:tc>
        <w:tc>
          <w:tcPr>
            <w:tcW w:w="2552"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FEI</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FEI</w:t>
            </w:r>
          </w:p>
        </w:tc>
        <w:tc>
          <w:tcPr>
            <w:tcW w:w="2410"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FEI</w:t>
            </w:r>
          </w:p>
        </w:tc>
        <w:tc>
          <w:tcPr>
            <w:tcW w:w="2409" w:type="dxa"/>
            <w:tcBorders>
              <w:lef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FEI</w:t>
            </w:r>
          </w:p>
        </w:tc>
      </w:tr>
      <w:tr>
        <w:trPr>
          <w:trHeight w:val="1154"/>
        </w:trPr>
        <w:tc>
          <w:tcPr>
            <w:tcW w:w="2694" w:type="dxa"/>
            <w:tcBorders>
              <w:right w:val="single" w:sz="8" w:space="0" w:color="7BA0CD"/>
            </w:tcBorders>
            <w:shd w:val="clear" w:color="auto" w:fill="auto"/>
          </w:tcPr>
          <w:p>
            <w:pPr>
              <w:spacing w:before="120" w:after="120"/>
              <w:rPr>
                <w:rFonts w:ascii="Times New Roman" w:eastAsia="Times New Roman" w:hAnsi="Times New Roman" w:cs="Times New Roman"/>
                <w:b/>
                <w:bCs/>
                <w:noProof/>
                <w:sz w:val="21"/>
                <w:szCs w:val="21"/>
              </w:rPr>
            </w:pPr>
            <w:r>
              <w:rPr>
                <w:rFonts w:ascii="Times New Roman" w:hAnsi="Times New Roman"/>
                <w:b/>
                <w:noProof/>
                <w:sz w:val="21"/>
              </w:rPr>
              <w:lastRenderedPageBreak/>
              <w:t>d) Total des engagements et des paiements budgétaires</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649,9 Mio EUR</w:t>
            </w:r>
          </w:p>
          <w:p>
            <w:pPr>
              <w:pStyle w:val="ListParagraph"/>
              <w:keepNext/>
              <w:keepLines/>
              <w:spacing w:after="120" w:line="240" w:lineRule="auto"/>
              <w:ind w:left="0"/>
              <w:rPr>
                <w:noProof/>
                <w:sz w:val="21"/>
                <w:szCs w:val="21"/>
              </w:rPr>
            </w:pPr>
            <w:r>
              <w:rPr>
                <w:noProof/>
                <w:sz w:val="21"/>
              </w:rPr>
              <w:t>424,7 Mio EUR</w:t>
            </w:r>
          </w:p>
        </w:tc>
        <w:tc>
          <w:tcPr>
            <w:tcW w:w="2552"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23,6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22,5 Mio EUR</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270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270 Mio EUR</w:t>
            </w:r>
          </w:p>
        </w:tc>
        <w:tc>
          <w:tcPr>
            <w:tcW w:w="2410" w:type="dxa"/>
            <w:tcBorders>
              <w:left w:val="single" w:sz="8" w:space="0" w:color="7BA0CD"/>
              <w:right w:val="single" w:sz="8" w:space="0" w:color="7BA0CD"/>
            </w:tcBorders>
          </w:tcPr>
          <w:p>
            <w:pPr>
              <w:spacing w:before="60" w:after="120" w:line="240" w:lineRule="auto"/>
              <w:rPr>
                <w:noProof/>
                <w:sz w:val="21"/>
                <w:szCs w:val="21"/>
              </w:rPr>
            </w:pPr>
            <w:r>
              <w:rPr>
                <w:rFonts w:ascii="Times New Roman" w:hAnsi="Times New Roman"/>
                <w:noProof/>
                <w:sz w:val="21"/>
              </w:rPr>
              <w:t>68,8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42,2 Mio EUR</w:t>
            </w:r>
          </w:p>
        </w:tc>
        <w:tc>
          <w:tcPr>
            <w:tcW w:w="2409" w:type="dxa"/>
            <w:tcBorders>
              <w:lef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noProof/>
                <w:sz w:val="21"/>
              </w:rPr>
              <w:t>375,5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183,0 Mio EUR</w:t>
            </w:r>
          </w:p>
        </w:tc>
      </w:tr>
      <w:tr>
        <w:trPr>
          <w:trHeight w:val="968"/>
        </w:trPr>
        <w:tc>
          <w:tcPr>
            <w:tcW w:w="2694" w:type="dxa"/>
            <w:tcBorders>
              <w:top w:val="single" w:sz="8" w:space="0" w:color="7BA0CD"/>
              <w:left w:val="single" w:sz="8" w:space="0" w:color="7BA0CD"/>
              <w:bottom w:val="single" w:sz="8" w:space="0" w:color="7BA0CD"/>
              <w:right w:val="single" w:sz="8" w:space="0" w:color="7BA0CD"/>
            </w:tcBorders>
            <w:shd w:val="clear" w:color="auto" w:fill="4F81BD" w:themeFill="accent1"/>
          </w:tcPr>
          <w:p>
            <w:pPr>
              <w:rPr>
                <w:rFonts w:ascii="Times New Roman" w:eastAsia="Times New Roman" w:hAnsi="Times New Roman" w:cs="Times New Roman"/>
                <w:b/>
                <w:bCs/>
                <w:i/>
                <w:noProof/>
                <w:color w:val="FFFFFF"/>
                <w:sz w:val="21"/>
                <w:szCs w:val="21"/>
              </w:rPr>
            </w:pPr>
          </w:p>
        </w:tc>
        <w:tc>
          <w:tcPr>
            <w:tcW w:w="2693"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eastAsia="Times New Roman" w:hAnsi="Times New Roman" w:cs="Times New Roman"/>
                <w:b/>
                <w:bCs/>
                <w:noProof/>
                <w:color w:val="FFFFFF"/>
                <w:sz w:val="21"/>
                <w:szCs w:val="21"/>
              </w:rPr>
            </w:pPr>
            <w:r>
              <w:rPr>
                <w:rFonts w:ascii="Times New Roman" w:hAnsi="Times New Roman"/>
                <w:b/>
                <w:noProof/>
                <w:color w:val="FFFFFF"/>
                <w:sz w:val="21"/>
              </w:rPr>
              <w:t>Mécanisme de garantie des PME au titre du PIC — GPME07</w:t>
            </w:r>
          </w:p>
        </w:tc>
        <w:tc>
          <w:tcPr>
            <w:tcW w:w="2552"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Instrument européen Progress de garantie de microfinancements — EPMF-G</w:t>
            </w:r>
          </w:p>
        </w:tc>
        <w:tc>
          <w:tcPr>
            <w:tcW w:w="2693"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Instrument de garantie pilote pour les PME et petites entreprises à capitalisation moyenne axées sur la R&amp;I — IPR</w:t>
            </w:r>
          </w:p>
        </w:tc>
        <w:tc>
          <w:tcPr>
            <w:tcW w:w="2410" w:type="dxa"/>
            <w:tcBorders>
              <w:top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Programme pour l'emploi et l'innovation sociale (volet Microfinance et entrepreneuriat social)</w:t>
            </w:r>
            <w:r>
              <w:rPr>
                <w:rFonts w:ascii="Times New Roman" w:hAnsi="Times New Roman" w:cs="Times New Roman"/>
                <w:b/>
                <w:bCs/>
                <w:noProof/>
                <w:color w:val="FFFFFF"/>
                <w:sz w:val="21"/>
                <w:szCs w:val="21"/>
              </w:rPr>
              <w:br/>
            </w:r>
            <w:r>
              <w:rPr>
                <w:rFonts w:ascii="Times New Roman" w:hAnsi="Times New Roman"/>
                <w:b/>
                <w:noProof/>
                <w:color w:val="FFFFFF"/>
                <w:sz w:val="21"/>
              </w:rPr>
              <w:t>- Garanties — EaSI-G</w:t>
            </w:r>
          </w:p>
        </w:tc>
        <w:tc>
          <w:tcPr>
            <w:tcW w:w="2409"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Mécanisme de garantie de prêts dans le cadre du programme COSME</w:t>
            </w:r>
          </w:p>
        </w:tc>
      </w:tr>
      <w:tr>
        <w:tc>
          <w:tcPr>
            <w:tcW w:w="2694" w:type="dxa"/>
            <w:tcBorders>
              <w:right w:val="single" w:sz="8" w:space="0" w:color="7BA0CD"/>
            </w:tcBorders>
            <w:shd w:val="clear" w:color="auto" w:fill="D3DFEE"/>
          </w:tcPr>
          <w:p>
            <w:pPr>
              <w:spacing w:before="120" w:after="120"/>
              <w:rPr>
                <w:rFonts w:ascii="Times New Roman" w:eastAsia="Times New Roman" w:hAnsi="Times New Roman" w:cs="Times New Roman"/>
                <w:b/>
                <w:bCs/>
                <w:noProof/>
                <w:sz w:val="21"/>
                <w:szCs w:val="21"/>
              </w:rPr>
            </w:pPr>
            <w:r>
              <w:rPr>
                <w:rFonts w:ascii="Times New Roman" w:hAnsi="Times New Roman"/>
                <w:b/>
                <w:noProof/>
                <w:sz w:val="21"/>
              </w:rPr>
              <w:t>e) Performances</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70 accords signés avec 52 intermédiaires financiers pour l'octroi d'un financement attendu de 23,1 Mrd EUR soutenu par</w:t>
            </w:r>
            <w:r>
              <w:rPr>
                <w:noProof/>
              </w:rPr>
              <w:tab/>
            </w:r>
            <w:r>
              <w:rPr>
                <w:rFonts w:ascii="Times New Roman" w:hAnsi="Times New Roman" w:cs="Times New Roman"/>
                <w:noProof/>
                <w:sz w:val="21"/>
                <w:szCs w:val="21"/>
              </w:rPr>
              <w:br/>
            </w:r>
            <w:r>
              <w:rPr>
                <w:rFonts w:ascii="Times New Roman" w:hAnsi="Times New Roman"/>
                <w:noProof/>
                <w:sz w:val="21"/>
              </w:rPr>
              <w:t xml:space="preserve">un volume de garanties de 523,4 Mio EUR </w:t>
            </w:r>
          </w:p>
        </w:tc>
        <w:tc>
          <w:tcPr>
            <w:tcW w:w="2552"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36 accords signés pour l'octroi d'un financement attendu de 286,48 Mio EUR soutenu par</w:t>
            </w:r>
            <w:r>
              <w:rPr>
                <w:noProof/>
              </w:rPr>
              <w:tab/>
            </w:r>
            <w:r>
              <w:rPr>
                <w:rFonts w:ascii="Times New Roman" w:hAnsi="Times New Roman" w:cs="Times New Roman"/>
                <w:noProof/>
                <w:sz w:val="21"/>
                <w:szCs w:val="21"/>
              </w:rPr>
              <w:br/>
            </w:r>
            <w:r>
              <w:rPr>
                <w:rFonts w:ascii="Times New Roman" w:hAnsi="Times New Roman"/>
                <w:noProof/>
                <w:sz w:val="21"/>
              </w:rPr>
              <w:t xml:space="preserve">un volume de garanties de 20,96 Mio EUR </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 xml:space="preserve">35 accords signés; un financement attendu de 3,3 Mrd EUR en faveur de 3 000 bénéficiaires finaux éligibles; un financement atteint de 2,33 Mrd EUR en faveur de 4 146 bénéficiaires finaux éligibles </w:t>
            </w:r>
            <w:r>
              <w:rPr>
                <w:rFonts w:ascii="Times New Roman" w:hAnsi="Times New Roman" w:cs="Times New Roman"/>
                <w:noProof/>
                <w:sz w:val="21"/>
                <w:szCs w:val="21"/>
              </w:rPr>
              <w:br/>
            </w:r>
          </w:p>
        </w:tc>
        <w:tc>
          <w:tcPr>
            <w:tcW w:w="2410"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40 accords signés pour l’octroi d’un financement attendu de 753,58 Mio EUR au profit de 55 815 bénéficiaires finaux éligibles, soutenus par</w:t>
            </w:r>
            <w:r>
              <w:rPr>
                <w:noProof/>
              </w:rPr>
              <w:tab/>
            </w:r>
            <w:r>
              <w:rPr>
                <w:rFonts w:ascii="Times New Roman" w:hAnsi="Times New Roman" w:cs="Times New Roman"/>
                <w:noProof/>
                <w:sz w:val="21"/>
                <w:szCs w:val="21"/>
              </w:rPr>
              <w:br/>
            </w:r>
            <w:r>
              <w:rPr>
                <w:rFonts w:ascii="Times New Roman" w:hAnsi="Times New Roman"/>
                <w:noProof/>
                <w:sz w:val="21"/>
              </w:rPr>
              <w:t>un volume de garanties de 59,41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40 accords signés pour l’octroi d’un financement atteint de 157,96 Mio EUR au profit de 12 804 bénéficiaires finaux éligibles, soutenus par</w:t>
            </w:r>
            <w:r>
              <w:rPr>
                <w:noProof/>
              </w:rPr>
              <w:tab/>
            </w:r>
            <w:r>
              <w:rPr>
                <w:rFonts w:ascii="Times New Roman" w:hAnsi="Times New Roman" w:cs="Times New Roman"/>
                <w:noProof/>
                <w:sz w:val="21"/>
                <w:szCs w:val="21"/>
              </w:rPr>
              <w:br/>
            </w:r>
            <w:r>
              <w:rPr>
                <w:rFonts w:ascii="Times New Roman" w:hAnsi="Times New Roman"/>
                <w:noProof/>
                <w:sz w:val="21"/>
              </w:rPr>
              <w:t>un volume de garanties de 59,41 Mio EUR</w:t>
            </w:r>
          </w:p>
        </w:tc>
        <w:tc>
          <w:tcPr>
            <w:tcW w:w="2409" w:type="dxa"/>
            <w:tcBorders>
              <w:lef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 xml:space="preserve">67 accords signés avec 61 intermédiaires financiers pour l'octroi d'un financement attendu de 18,9 Mrd EUR au profit d’environ 291 000 PME   </w:t>
            </w:r>
          </w:p>
        </w:tc>
      </w:tr>
      <w:tr>
        <w:tc>
          <w:tcPr>
            <w:tcW w:w="2694" w:type="dxa"/>
            <w:tcBorders>
              <w:right w:val="single" w:sz="8" w:space="0" w:color="7BA0CD"/>
            </w:tcBorders>
            <w:shd w:val="clear" w:color="auto" w:fill="auto"/>
          </w:tcPr>
          <w:p>
            <w:pPr>
              <w:spacing w:before="120" w:after="120"/>
              <w:rPr>
                <w:rFonts w:ascii="Times New Roman" w:eastAsia="Times New Roman" w:hAnsi="Times New Roman" w:cs="Times New Roman"/>
                <w:b/>
                <w:bCs/>
                <w:noProof/>
                <w:sz w:val="21"/>
                <w:szCs w:val="21"/>
              </w:rPr>
            </w:pPr>
            <w:r>
              <w:rPr>
                <w:rFonts w:ascii="Times New Roman" w:hAnsi="Times New Roman"/>
                <w:b/>
                <w:noProof/>
                <w:sz w:val="21"/>
              </w:rPr>
              <w:t>f) Évaluation de l’utilisation des montants remboursés à l’instrument</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Plus de 60 %</w:t>
            </w:r>
          </w:p>
        </w:tc>
        <w:tc>
          <w:tcPr>
            <w:tcW w:w="2552"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Tous les fonds reçus ont été utilisés</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64,1 Mio EUR</w:t>
            </w:r>
          </w:p>
        </w:tc>
        <w:tc>
          <w:tcPr>
            <w:tcW w:w="2410" w:type="dxa"/>
            <w:tcBorders>
              <w:left w:val="single" w:sz="8" w:space="0" w:color="7BA0CD"/>
              <w:righ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409" w:type="dxa"/>
            <w:tcBorders>
              <w:lef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r>
      <w:tr>
        <w:trPr>
          <w:trHeight w:val="625"/>
        </w:trPr>
        <w:tc>
          <w:tcPr>
            <w:tcW w:w="2694" w:type="dxa"/>
            <w:tcBorders>
              <w:right w:val="single" w:sz="8" w:space="0" w:color="7BA0CD"/>
            </w:tcBorders>
            <w:shd w:val="clear" w:color="auto" w:fill="D3DFEE"/>
          </w:tcPr>
          <w:p>
            <w:pPr>
              <w:spacing w:before="120" w:after="120"/>
              <w:rPr>
                <w:rFonts w:ascii="Times New Roman" w:eastAsia="Times New Roman" w:hAnsi="Times New Roman" w:cs="Times New Roman"/>
                <w:b/>
                <w:bCs/>
                <w:noProof/>
                <w:sz w:val="21"/>
                <w:szCs w:val="21"/>
              </w:rPr>
            </w:pPr>
            <w:r>
              <w:rPr>
                <w:rFonts w:ascii="Times New Roman" w:hAnsi="Times New Roman"/>
                <w:b/>
                <w:noProof/>
                <w:sz w:val="21"/>
              </w:rPr>
              <w:lastRenderedPageBreak/>
              <w:t>g) Solde du compte fiduciaire</w:t>
            </w:r>
            <w:r>
              <w:rPr>
                <w:rStyle w:val="FootnoteReference"/>
                <w:rFonts w:ascii="Times New Roman" w:hAnsi="Times New Roman"/>
                <w:b/>
                <w:noProof/>
                <w:sz w:val="21"/>
              </w:rPr>
              <w:footnoteReference w:id="6"/>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99,6 Mio EUR</w:t>
            </w:r>
          </w:p>
        </w:tc>
        <w:tc>
          <w:tcPr>
            <w:tcW w:w="2552"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9,59 Mio EUR</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181,8 Mio EUR</w:t>
            </w:r>
            <w:r>
              <w:rPr>
                <w:rStyle w:val="FootnoteReference"/>
                <w:rFonts w:ascii="Times New Roman" w:hAnsi="Times New Roman"/>
                <w:noProof/>
                <w:sz w:val="21"/>
              </w:rPr>
              <w:footnoteReference w:id="7"/>
            </w:r>
          </w:p>
        </w:tc>
        <w:tc>
          <w:tcPr>
            <w:tcW w:w="2410"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38,8 Mio EUR</w:t>
            </w:r>
          </w:p>
        </w:tc>
        <w:tc>
          <w:tcPr>
            <w:tcW w:w="2409" w:type="dxa"/>
            <w:tcBorders>
              <w:lef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160,3 Mio EUR</w:t>
            </w:r>
          </w:p>
        </w:tc>
      </w:tr>
      <w:tr>
        <w:trPr>
          <w:trHeight w:val="623"/>
        </w:trPr>
        <w:tc>
          <w:tcPr>
            <w:tcW w:w="2694" w:type="dxa"/>
            <w:tcBorders>
              <w:right w:val="single" w:sz="8" w:space="0" w:color="7BA0CD"/>
            </w:tcBorders>
            <w:shd w:val="clear" w:color="auto" w:fill="auto"/>
          </w:tcPr>
          <w:p>
            <w:pPr>
              <w:spacing w:before="120" w:after="120"/>
              <w:rPr>
                <w:rFonts w:ascii="Times New Roman" w:eastAsia="Times New Roman" w:hAnsi="Times New Roman" w:cs="Times New Roman"/>
                <w:b/>
                <w:bCs/>
                <w:noProof/>
                <w:sz w:val="21"/>
                <w:szCs w:val="21"/>
              </w:rPr>
            </w:pPr>
            <w:r>
              <w:rPr>
                <w:rFonts w:ascii="Times New Roman" w:hAnsi="Times New Roman"/>
                <w:b/>
                <w:noProof/>
                <w:sz w:val="21"/>
              </w:rPr>
              <w:t>h) Recettes et remboursements</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21,8 Mio EUR</w:t>
            </w:r>
          </w:p>
        </w:tc>
        <w:tc>
          <w:tcPr>
            <w:tcW w:w="2552"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 xml:space="preserve">1,0 Mio EUR de recettes cumulées </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65,9 Mio EUR</w:t>
            </w:r>
          </w:p>
        </w:tc>
        <w:tc>
          <w:tcPr>
            <w:tcW w:w="2410" w:type="dxa"/>
            <w:tcBorders>
              <w:left w:val="single" w:sz="8" w:space="0" w:color="7BA0CD"/>
              <w:righ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noProof/>
                <w:sz w:val="21"/>
              </w:rPr>
              <w:t>0,02 Mio EUR de recettes cumulées</w:t>
            </w:r>
          </w:p>
        </w:tc>
        <w:tc>
          <w:tcPr>
            <w:tcW w:w="2409" w:type="dxa"/>
            <w:tcBorders>
              <w:lef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noProof/>
                <w:sz w:val="21"/>
              </w:rPr>
              <w:t>0,29 Mio EUR</w:t>
            </w:r>
          </w:p>
        </w:tc>
      </w:tr>
      <w:tr>
        <w:trPr>
          <w:trHeight w:val="826"/>
        </w:trPr>
        <w:tc>
          <w:tcPr>
            <w:tcW w:w="2694" w:type="dxa"/>
            <w:tcBorders>
              <w:top w:val="single" w:sz="8" w:space="0" w:color="7BA0CD"/>
              <w:left w:val="single" w:sz="8" w:space="0" w:color="7BA0CD"/>
              <w:bottom w:val="single" w:sz="8" w:space="0" w:color="7BA0CD"/>
              <w:right w:val="single" w:sz="8" w:space="0" w:color="7BA0CD"/>
            </w:tcBorders>
            <w:shd w:val="clear" w:color="auto" w:fill="4F81BD"/>
          </w:tcPr>
          <w:p>
            <w:pPr>
              <w:rPr>
                <w:rFonts w:ascii="Times New Roman" w:eastAsia="Times New Roman" w:hAnsi="Times New Roman" w:cs="Times New Roman"/>
                <w:b/>
                <w:bCs/>
                <w:noProof/>
                <w:color w:val="FFFFFF"/>
                <w:sz w:val="21"/>
                <w:szCs w:val="21"/>
              </w:rPr>
            </w:pPr>
          </w:p>
        </w:tc>
        <w:tc>
          <w:tcPr>
            <w:tcW w:w="2693" w:type="dxa"/>
            <w:tcBorders>
              <w:top w:val="single" w:sz="8" w:space="0" w:color="7BA0CD"/>
              <w:left w:val="single" w:sz="8" w:space="0" w:color="7BA0CD"/>
              <w:bottom w:val="single" w:sz="8" w:space="0" w:color="7BA0CD"/>
              <w:right w:val="single" w:sz="8" w:space="0" w:color="7BA0CD"/>
            </w:tcBorders>
            <w:shd w:val="clear" w:color="auto" w:fill="4F81BD"/>
          </w:tcPr>
          <w:p>
            <w:pPr>
              <w:rPr>
                <w:rFonts w:ascii="Times New Roman" w:eastAsia="Times New Roman" w:hAnsi="Times New Roman" w:cs="Times New Roman"/>
                <w:b/>
                <w:bCs/>
                <w:noProof/>
                <w:color w:val="FFFFFF"/>
                <w:sz w:val="21"/>
                <w:szCs w:val="21"/>
              </w:rPr>
            </w:pPr>
            <w:r>
              <w:rPr>
                <w:rFonts w:ascii="Times New Roman" w:hAnsi="Times New Roman"/>
                <w:b/>
                <w:noProof/>
                <w:color w:val="FFFFFF"/>
                <w:sz w:val="21"/>
              </w:rPr>
              <w:t>Mécanisme de garantie des PME au titre du PIC — GPME07</w:t>
            </w:r>
          </w:p>
        </w:tc>
        <w:tc>
          <w:tcPr>
            <w:tcW w:w="2552" w:type="dxa"/>
            <w:tcBorders>
              <w:top w:val="single" w:sz="8" w:space="0" w:color="7BA0CD"/>
              <w:left w:val="single" w:sz="8" w:space="0" w:color="7BA0CD"/>
              <w:bottom w:val="single" w:sz="8" w:space="0" w:color="7BA0CD"/>
              <w:right w:val="single" w:sz="8" w:space="0" w:color="7BA0CD"/>
            </w:tcBorders>
            <w:shd w:val="clear" w:color="auto" w:fill="4F81BD"/>
          </w:tcPr>
          <w:p>
            <w:pPr>
              <w:rPr>
                <w:rFonts w:ascii="Times New Roman" w:eastAsia="Times New Roman" w:hAnsi="Times New Roman" w:cs="Times New Roman"/>
                <w:b/>
                <w:bCs/>
                <w:noProof/>
                <w:color w:val="FFFFFF"/>
                <w:sz w:val="21"/>
                <w:szCs w:val="21"/>
              </w:rPr>
            </w:pPr>
            <w:r>
              <w:rPr>
                <w:rFonts w:ascii="Times New Roman" w:hAnsi="Times New Roman"/>
                <w:b/>
                <w:noProof/>
                <w:color w:val="FFFFFF"/>
                <w:sz w:val="21"/>
              </w:rPr>
              <w:t>Instrument européen Progress de garantie de microfinancements — EPMF-G</w:t>
            </w:r>
          </w:p>
        </w:tc>
        <w:tc>
          <w:tcPr>
            <w:tcW w:w="2693" w:type="dxa"/>
            <w:tcBorders>
              <w:top w:val="single" w:sz="8" w:space="0" w:color="7BA0CD"/>
              <w:left w:val="single" w:sz="8" w:space="0" w:color="7BA0CD"/>
              <w:bottom w:val="single" w:sz="8" w:space="0" w:color="7BA0CD"/>
              <w:right w:val="single" w:sz="8" w:space="0" w:color="7BA0CD"/>
            </w:tcBorders>
            <w:shd w:val="clear" w:color="auto" w:fill="4F81BD"/>
          </w:tcPr>
          <w:p>
            <w:pPr>
              <w:rPr>
                <w:rFonts w:ascii="Times New Roman" w:eastAsia="Times New Roman" w:hAnsi="Times New Roman" w:cs="Times New Roman"/>
                <w:b/>
                <w:bCs/>
                <w:noProof/>
                <w:color w:val="FFFFFF"/>
                <w:sz w:val="21"/>
                <w:szCs w:val="21"/>
              </w:rPr>
            </w:pPr>
            <w:r>
              <w:rPr>
                <w:rFonts w:ascii="Times New Roman" w:hAnsi="Times New Roman"/>
                <w:b/>
                <w:noProof/>
                <w:color w:val="FFFFFF"/>
                <w:sz w:val="21"/>
              </w:rPr>
              <w:t>Instrument de garantie pilote pour les PME et petites entreprises à capitalisation moyenne axées sur la R&amp;I — IPR</w:t>
            </w:r>
          </w:p>
        </w:tc>
        <w:tc>
          <w:tcPr>
            <w:tcW w:w="2410" w:type="dxa"/>
            <w:tcBorders>
              <w:top w:val="single" w:sz="8" w:space="0" w:color="7BA0CD"/>
              <w:left w:val="single" w:sz="8" w:space="0" w:color="7BA0CD"/>
              <w:bottom w:val="single" w:sz="8" w:space="0" w:color="7BA0CD"/>
              <w:right w:val="single" w:sz="8" w:space="0" w:color="7BA0CD"/>
            </w:tcBorders>
            <w:shd w:val="clear" w:color="auto" w:fill="4F81BD"/>
          </w:tcPr>
          <w:p>
            <w:pPr>
              <w:rPr>
                <w:rFonts w:ascii="Times New Roman" w:eastAsia="Times New Roman" w:hAnsi="Times New Roman" w:cs="Times New Roman"/>
                <w:b/>
                <w:bCs/>
                <w:noProof/>
                <w:color w:val="FFFFFF"/>
                <w:sz w:val="21"/>
                <w:szCs w:val="21"/>
              </w:rPr>
            </w:pPr>
            <w:r>
              <w:rPr>
                <w:rFonts w:ascii="Times New Roman" w:hAnsi="Times New Roman"/>
                <w:b/>
                <w:noProof/>
                <w:color w:val="FFFFFF"/>
                <w:sz w:val="21"/>
              </w:rPr>
              <w:t>Programme pour l'emploi et l'innovation sociale (volet Microfinance et entrepreneuriat social)</w:t>
            </w:r>
            <w:r>
              <w:rPr>
                <w:rFonts w:ascii="Times New Roman" w:eastAsia="Times New Roman" w:hAnsi="Times New Roman" w:cs="Times New Roman"/>
                <w:b/>
                <w:bCs/>
                <w:noProof/>
                <w:color w:val="FFFFFF"/>
                <w:sz w:val="21"/>
                <w:szCs w:val="21"/>
              </w:rPr>
              <w:br/>
            </w:r>
            <w:r>
              <w:rPr>
                <w:rFonts w:ascii="Times New Roman" w:hAnsi="Times New Roman"/>
                <w:b/>
                <w:noProof/>
                <w:color w:val="FFFFFF"/>
                <w:sz w:val="21"/>
              </w:rPr>
              <w:t>- Garanties — EaSI-G</w:t>
            </w:r>
          </w:p>
        </w:tc>
        <w:tc>
          <w:tcPr>
            <w:tcW w:w="2409" w:type="dxa"/>
            <w:tcBorders>
              <w:top w:val="single" w:sz="8" w:space="0" w:color="7BA0CD"/>
              <w:left w:val="single" w:sz="8" w:space="0" w:color="7BA0CD"/>
              <w:bottom w:val="single" w:sz="8" w:space="0" w:color="7BA0CD"/>
              <w:right w:val="single" w:sz="8" w:space="0" w:color="7BA0CD"/>
            </w:tcBorders>
            <w:shd w:val="clear" w:color="auto" w:fill="4F81BD"/>
          </w:tcPr>
          <w:p>
            <w:pPr>
              <w:rPr>
                <w:rFonts w:ascii="Times New Roman" w:eastAsia="Times New Roman" w:hAnsi="Times New Roman" w:cs="Times New Roman"/>
                <w:b/>
                <w:bCs/>
                <w:noProof/>
                <w:color w:val="FFFFFF"/>
                <w:sz w:val="21"/>
                <w:szCs w:val="21"/>
              </w:rPr>
            </w:pPr>
            <w:r>
              <w:rPr>
                <w:rFonts w:ascii="Times New Roman" w:hAnsi="Times New Roman"/>
                <w:b/>
                <w:noProof/>
                <w:color w:val="FFFFFF"/>
                <w:sz w:val="21"/>
              </w:rPr>
              <w:t>Mécanisme de garantie de prêts dans le cadre du programme COSME</w:t>
            </w:r>
          </w:p>
        </w:tc>
      </w:tr>
      <w:tr>
        <w:trPr>
          <w:trHeight w:val="647"/>
        </w:trPr>
        <w:tc>
          <w:tcPr>
            <w:tcW w:w="2694" w:type="dxa"/>
            <w:tcBorders>
              <w:top w:val="single" w:sz="8" w:space="0" w:color="7BA0CD"/>
              <w:left w:val="single" w:sz="8" w:space="0" w:color="7BA0CD"/>
              <w:bottom w:val="single" w:sz="8" w:space="0" w:color="7BA0CD"/>
              <w:right w:val="single" w:sz="8" w:space="0" w:color="7BA0CD"/>
            </w:tcBorders>
            <w:shd w:val="clear" w:color="auto" w:fill="D3DFEE"/>
          </w:tcPr>
          <w:p>
            <w:pPr>
              <w:rPr>
                <w:rFonts w:ascii="Times New Roman" w:eastAsia="Times New Roman" w:hAnsi="Times New Roman" w:cs="Times New Roman"/>
                <w:b/>
                <w:bCs/>
                <w:noProof/>
                <w:sz w:val="21"/>
                <w:szCs w:val="21"/>
              </w:rPr>
            </w:pPr>
            <w:r>
              <w:rPr>
                <w:rFonts w:ascii="Times New Roman" w:hAnsi="Times New Roman"/>
                <w:b/>
                <w:noProof/>
                <w:sz w:val="21"/>
              </w:rPr>
              <w:t>i) Valeur des investissements de fonds propres</w:t>
            </w:r>
          </w:p>
        </w:tc>
        <w:tc>
          <w:tcPr>
            <w:tcW w:w="2693" w:type="dxa"/>
            <w:tcBorders>
              <w:top w:val="single" w:sz="8" w:space="0" w:color="7BA0CD"/>
              <w:left w:val="single" w:sz="8" w:space="0" w:color="7BA0CD"/>
              <w:bottom w:val="single" w:sz="8" w:space="0" w:color="7BA0CD"/>
              <w:right w:val="single" w:sz="8" w:space="0" w:color="7BA0CD"/>
            </w:tcBorders>
            <w:shd w:val="clear" w:color="auto" w:fill="D3DFEE"/>
          </w:tcPr>
          <w:p>
            <w:pPr>
              <w:spacing w:line="240" w:lineRule="auto"/>
              <w:rPr>
                <w:rFonts w:ascii="Times New Roman" w:eastAsia="Times New Roman" w:hAnsi="Times New Roman" w:cs="Times New Roman"/>
                <w:bCs/>
                <w:noProof/>
                <w:sz w:val="21"/>
                <w:szCs w:val="21"/>
              </w:rPr>
            </w:pPr>
            <w:r>
              <w:rPr>
                <w:rFonts w:ascii="Times New Roman" w:hAnsi="Times New Roman"/>
                <w:noProof/>
                <w:sz w:val="21"/>
              </w:rPr>
              <w:t>Sans objet</w:t>
            </w:r>
          </w:p>
        </w:tc>
        <w:tc>
          <w:tcPr>
            <w:tcW w:w="2552" w:type="dxa"/>
            <w:tcBorders>
              <w:top w:val="single" w:sz="8" w:space="0" w:color="7BA0CD"/>
              <w:left w:val="single" w:sz="8" w:space="0" w:color="7BA0CD"/>
              <w:bottom w:val="single" w:sz="8" w:space="0" w:color="7BA0CD"/>
              <w:right w:val="single" w:sz="8" w:space="0" w:color="7BA0CD"/>
            </w:tcBorders>
            <w:shd w:val="clear" w:color="auto" w:fill="D3DFEE"/>
          </w:tcPr>
          <w:p>
            <w:pPr>
              <w:spacing w:line="240" w:lineRule="auto"/>
              <w:rPr>
                <w:rFonts w:ascii="Times New Roman" w:eastAsia="Times New Roman" w:hAnsi="Times New Roman" w:cs="Times New Roman"/>
                <w:bCs/>
                <w:noProof/>
                <w:sz w:val="21"/>
                <w:szCs w:val="21"/>
              </w:rPr>
            </w:pPr>
            <w:r>
              <w:rPr>
                <w:rFonts w:ascii="Times New Roman" w:hAnsi="Times New Roman"/>
                <w:noProof/>
                <w:sz w:val="21"/>
              </w:rPr>
              <w:t>Sans objet</w:t>
            </w:r>
          </w:p>
        </w:tc>
        <w:tc>
          <w:tcPr>
            <w:tcW w:w="2693" w:type="dxa"/>
            <w:tcBorders>
              <w:top w:val="single" w:sz="8" w:space="0" w:color="7BA0CD"/>
              <w:left w:val="single" w:sz="8" w:space="0" w:color="7BA0CD"/>
              <w:bottom w:val="single" w:sz="8" w:space="0" w:color="7BA0CD"/>
              <w:right w:val="single" w:sz="8" w:space="0" w:color="7BA0CD"/>
            </w:tcBorders>
            <w:shd w:val="clear" w:color="auto" w:fill="D3DFEE"/>
          </w:tcPr>
          <w:p>
            <w:pPr>
              <w:spacing w:line="240" w:lineRule="auto"/>
              <w:rPr>
                <w:rFonts w:ascii="Times New Roman" w:eastAsia="Times New Roman" w:hAnsi="Times New Roman" w:cs="Times New Roman"/>
                <w:bCs/>
                <w:noProof/>
                <w:sz w:val="21"/>
                <w:szCs w:val="21"/>
              </w:rPr>
            </w:pPr>
            <w:r>
              <w:rPr>
                <w:rFonts w:ascii="Times New Roman" w:hAnsi="Times New Roman"/>
                <w:noProof/>
                <w:sz w:val="21"/>
              </w:rPr>
              <w:t>Sans objet</w:t>
            </w:r>
          </w:p>
        </w:tc>
        <w:tc>
          <w:tcPr>
            <w:tcW w:w="2410" w:type="dxa"/>
            <w:tcBorders>
              <w:top w:val="single" w:sz="8" w:space="0" w:color="7BA0CD"/>
              <w:left w:val="single" w:sz="8" w:space="0" w:color="7BA0CD"/>
              <w:bottom w:val="single" w:sz="8" w:space="0" w:color="7BA0CD"/>
              <w:right w:val="single" w:sz="8" w:space="0" w:color="7BA0CD"/>
            </w:tcBorders>
            <w:shd w:val="clear" w:color="auto" w:fill="D3DFEE"/>
          </w:tcPr>
          <w:p>
            <w:pPr>
              <w:spacing w:line="240" w:lineRule="auto"/>
              <w:rPr>
                <w:rFonts w:ascii="Times New Roman" w:eastAsia="Times New Roman" w:hAnsi="Times New Roman" w:cs="Times New Roman"/>
                <w:bCs/>
                <w:noProof/>
                <w:sz w:val="21"/>
                <w:szCs w:val="21"/>
              </w:rPr>
            </w:pPr>
            <w:r>
              <w:rPr>
                <w:rFonts w:ascii="Times New Roman" w:hAnsi="Times New Roman"/>
                <w:noProof/>
                <w:sz w:val="21"/>
              </w:rPr>
              <w:t>Sans objet</w:t>
            </w:r>
          </w:p>
        </w:tc>
        <w:tc>
          <w:tcPr>
            <w:tcW w:w="2409" w:type="dxa"/>
            <w:tcBorders>
              <w:top w:val="single" w:sz="8" w:space="0" w:color="7BA0CD"/>
              <w:left w:val="single" w:sz="8" w:space="0" w:color="7BA0CD"/>
              <w:bottom w:val="single" w:sz="8" w:space="0" w:color="7BA0CD"/>
              <w:right w:val="single" w:sz="8" w:space="0" w:color="7BA0CD"/>
            </w:tcBorders>
            <w:shd w:val="clear" w:color="auto" w:fill="D3DFEE"/>
          </w:tcPr>
          <w:p>
            <w:pPr>
              <w:spacing w:line="240" w:lineRule="auto"/>
              <w:rPr>
                <w:rFonts w:ascii="Times New Roman" w:eastAsia="Times New Roman" w:hAnsi="Times New Roman" w:cs="Times New Roman"/>
                <w:bCs/>
                <w:noProof/>
                <w:sz w:val="21"/>
                <w:szCs w:val="21"/>
              </w:rPr>
            </w:pPr>
            <w:r>
              <w:rPr>
                <w:rFonts w:ascii="Times New Roman" w:hAnsi="Times New Roman"/>
                <w:noProof/>
                <w:sz w:val="21"/>
              </w:rPr>
              <w:t>Sans objet</w:t>
            </w:r>
          </w:p>
        </w:tc>
      </w:tr>
      <w:tr>
        <w:trPr>
          <w:trHeight w:val="686"/>
        </w:trPr>
        <w:tc>
          <w:tcPr>
            <w:tcW w:w="2694" w:type="dxa"/>
            <w:tcBorders>
              <w:right w:val="single" w:sz="8" w:space="0" w:color="7BA0CD"/>
            </w:tcBorders>
            <w:shd w:val="clear" w:color="auto" w:fill="auto"/>
          </w:tcPr>
          <w:p>
            <w:pPr>
              <w:spacing w:before="120" w:after="120"/>
              <w:rPr>
                <w:rFonts w:ascii="Times New Roman" w:eastAsia="Times New Roman" w:hAnsi="Times New Roman" w:cs="Times New Roman"/>
                <w:b/>
                <w:bCs/>
                <w:noProof/>
                <w:sz w:val="21"/>
                <w:szCs w:val="21"/>
              </w:rPr>
            </w:pPr>
            <w:r>
              <w:rPr>
                <w:rFonts w:ascii="Times New Roman" w:hAnsi="Times New Roman"/>
                <w:b/>
                <w:noProof/>
                <w:sz w:val="21"/>
              </w:rPr>
              <w:t>j) Dépréciations / garanties appelées</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292,6 Mio EUR</w:t>
            </w:r>
          </w:p>
        </w:tc>
        <w:tc>
          <w:tcPr>
            <w:tcW w:w="2552"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12,1 Mio EUR</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14,7 Mio EUR</w:t>
            </w:r>
          </w:p>
        </w:tc>
        <w:tc>
          <w:tcPr>
            <w:tcW w:w="2410" w:type="dxa"/>
            <w:tcBorders>
              <w:left w:val="single" w:sz="8" w:space="0" w:color="7BA0CD"/>
              <w:righ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noProof/>
                <w:sz w:val="21"/>
              </w:rPr>
              <w:t>0,55 Mio EUR</w:t>
            </w:r>
          </w:p>
        </w:tc>
        <w:tc>
          <w:tcPr>
            <w:tcW w:w="2409" w:type="dxa"/>
            <w:tcBorders>
              <w:lef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noProof/>
                <w:sz w:val="21"/>
              </w:rPr>
              <w:t>4,8 Mio EUR</w:t>
            </w:r>
          </w:p>
        </w:tc>
      </w:tr>
      <w:tr>
        <w:trPr>
          <w:trHeight w:val="1080"/>
        </w:trPr>
        <w:tc>
          <w:tcPr>
            <w:tcW w:w="2694" w:type="dxa"/>
            <w:tcBorders>
              <w:right w:val="single" w:sz="8" w:space="0" w:color="7BA0CD"/>
            </w:tcBorders>
            <w:shd w:val="clear" w:color="auto" w:fill="D3DFEE"/>
          </w:tcPr>
          <w:p>
            <w:pPr>
              <w:spacing w:before="120" w:after="120"/>
              <w:rPr>
                <w:rFonts w:ascii="Times New Roman" w:eastAsia="Times New Roman" w:hAnsi="Times New Roman" w:cs="Times New Roman"/>
                <w:b/>
                <w:bCs/>
                <w:noProof/>
                <w:sz w:val="21"/>
                <w:szCs w:val="21"/>
              </w:rPr>
            </w:pPr>
            <w:r>
              <w:rPr>
                <w:rFonts w:ascii="Times New Roman" w:hAnsi="Times New Roman"/>
                <w:b/>
                <w:noProof/>
                <w:sz w:val="21"/>
              </w:rPr>
              <w:t>k) Effet de levier</w:t>
            </w:r>
          </w:p>
        </w:tc>
        <w:tc>
          <w:tcPr>
            <w:tcW w:w="2693" w:type="dxa"/>
            <w:tcBorders>
              <w:left w:val="single" w:sz="8" w:space="0" w:color="7BA0CD"/>
              <w:right w:val="single" w:sz="8" w:space="0" w:color="7BA0CD"/>
            </w:tcBorders>
            <w:shd w:val="clear" w:color="auto" w:fill="D3DFEE"/>
          </w:tcPr>
          <w:p>
            <w:pPr>
              <w:tabs>
                <w:tab w:val="num" w:pos="1080"/>
              </w:tabs>
              <w:spacing w:before="60" w:after="120" w:line="240" w:lineRule="auto"/>
              <w:rPr>
                <w:rFonts w:ascii="Times New Roman" w:hAnsi="Times New Roman" w:cs="Times New Roman"/>
                <w:noProof/>
                <w:sz w:val="21"/>
                <w:szCs w:val="21"/>
              </w:rPr>
            </w:pPr>
            <w:r>
              <w:rPr>
                <w:rFonts w:ascii="Times New Roman" w:hAnsi="Times New Roman"/>
                <w:noProof/>
                <w:sz w:val="21"/>
              </w:rPr>
              <w:t>Attendu: 44</w:t>
            </w:r>
          </w:p>
          <w:p>
            <w:pPr>
              <w:tabs>
                <w:tab w:val="num" w:pos="1080"/>
              </w:tabs>
              <w:spacing w:before="60" w:after="120" w:line="240" w:lineRule="auto"/>
              <w:rPr>
                <w:rFonts w:ascii="Times New Roman" w:hAnsi="Times New Roman" w:cs="Times New Roman"/>
                <w:noProof/>
                <w:sz w:val="21"/>
                <w:szCs w:val="21"/>
              </w:rPr>
            </w:pPr>
            <w:r>
              <w:rPr>
                <w:rFonts w:ascii="Times New Roman" w:hAnsi="Times New Roman"/>
                <w:noProof/>
                <w:sz w:val="21"/>
              </w:rPr>
              <w:t>Atteint: 40</w:t>
            </w:r>
          </w:p>
        </w:tc>
        <w:tc>
          <w:tcPr>
            <w:tcW w:w="2552"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Visé: 6,67</w:t>
            </w:r>
          </w:p>
          <w:p>
            <w:pPr>
              <w:spacing w:before="60" w:after="120" w:line="240" w:lineRule="auto"/>
              <w:rPr>
                <w:rFonts w:ascii="Times New Roman" w:hAnsi="Times New Roman" w:cs="Times New Roman"/>
                <w:noProof/>
                <w:sz w:val="21"/>
                <w:szCs w:val="21"/>
              </w:rPr>
            </w:pPr>
            <w:r>
              <w:rPr>
                <w:rFonts w:ascii="Times New Roman" w:hAnsi="Times New Roman"/>
                <w:noProof/>
                <w:sz w:val="21"/>
              </w:rPr>
              <w:t>Attendu: 12,1</w:t>
            </w:r>
          </w:p>
          <w:p>
            <w:pPr>
              <w:spacing w:before="60" w:after="120" w:line="240" w:lineRule="auto"/>
              <w:rPr>
                <w:rFonts w:ascii="Times New Roman" w:hAnsi="Times New Roman" w:cs="Times New Roman"/>
                <w:noProof/>
                <w:sz w:val="21"/>
                <w:szCs w:val="21"/>
              </w:rPr>
            </w:pPr>
            <w:r>
              <w:rPr>
                <w:rFonts w:ascii="Times New Roman" w:hAnsi="Times New Roman"/>
                <w:noProof/>
                <w:sz w:val="21"/>
              </w:rPr>
              <w:t>Atteint: 9,98</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Attendu: 12</w:t>
            </w:r>
          </w:p>
          <w:p>
            <w:pPr>
              <w:spacing w:before="60" w:after="120" w:line="240" w:lineRule="auto"/>
              <w:rPr>
                <w:rFonts w:ascii="Times New Roman" w:hAnsi="Times New Roman" w:cs="Times New Roman"/>
                <w:noProof/>
                <w:sz w:val="21"/>
                <w:szCs w:val="21"/>
              </w:rPr>
            </w:pPr>
            <w:r>
              <w:rPr>
                <w:rFonts w:ascii="Times New Roman" w:hAnsi="Times New Roman"/>
                <w:noProof/>
                <w:sz w:val="21"/>
              </w:rPr>
              <w:t>Atteint: 8,5</w:t>
            </w:r>
          </w:p>
        </w:tc>
        <w:tc>
          <w:tcPr>
            <w:tcW w:w="2410"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Visé: 5,5</w:t>
            </w:r>
          </w:p>
          <w:p>
            <w:pPr>
              <w:spacing w:before="60" w:after="120" w:line="240" w:lineRule="auto"/>
              <w:rPr>
                <w:rFonts w:ascii="Times New Roman" w:hAnsi="Times New Roman" w:cs="Times New Roman"/>
                <w:noProof/>
                <w:sz w:val="21"/>
                <w:szCs w:val="21"/>
              </w:rPr>
            </w:pPr>
            <w:r>
              <w:rPr>
                <w:rFonts w:ascii="Times New Roman" w:hAnsi="Times New Roman"/>
                <w:noProof/>
                <w:sz w:val="21"/>
              </w:rPr>
              <w:t>Attendu: 11</w:t>
            </w:r>
          </w:p>
          <w:p>
            <w:pPr>
              <w:spacing w:before="60" w:after="120" w:line="240" w:lineRule="auto"/>
              <w:rPr>
                <w:rFonts w:ascii="Times New Roman" w:hAnsi="Times New Roman" w:cs="Times New Roman"/>
                <w:noProof/>
                <w:sz w:val="21"/>
                <w:szCs w:val="21"/>
              </w:rPr>
            </w:pPr>
            <w:r>
              <w:rPr>
                <w:rFonts w:ascii="Times New Roman" w:hAnsi="Times New Roman"/>
                <w:noProof/>
                <w:sz w:val="21"/>
              </w:rPr>
              <w:t>Atteint: 2,3</w:t>
            </w:r>
          </w:p>
        </w:tc>
        <w:tc>
          <w:tcPr>
            <w:tcW w:w="2409" w:type="dxa"/>
            <w:tcBorders>
              <w:lef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Visé: 20 à 30</w:t>
            </w:r>
          </w:p>
          <w:p>
            <w:pPr>
              <w:spacing w:before="60" w:after="120" w:line="240" w:lineRule="auto"/>
              <w:rPr>
                <w:rFonts w:ascii="Times New Roman" w:hAnsi="Times New Roman" w:cs="Times New Roman"/>
                <w:noProof/>
                <w:sz w:val="21"/>
                <w:szCs w:val="21"/>
              </w:rPr>
            </w:pPr>
            <w:r>
              <w:rPr>
                <w:rFonts w:ascii="Times New Roman" w:hAnsi="Times New Roman"/>
                <w:noProof/>
                <w:sz w:val="21"/>
              </w:rPr>
              <w:t>Attendu: 32,9</w:t>
            </w:r>
          </w:p>
          <w:p>
            <w:pPr>
              <w:spacing w:before="60" w:after="120" w:line="240" w:lineRule="auto"/>
              <w:rPr>
                <w:rFonts w:ascii="Times New Roman" w:hAnsi="Times New Roman" w:cs="Times New Roman"/>
                <w:noProof/>
                <w:sz w:val="21"/>
                <w:szCs w:val="21"/>
              </w:rPr>
            </w:pPr>
            <w:r>
              <w:rPr>
                <w:rFonts w:ascii="Times New Roman" w:hAnsi="Times New Roman"/>
                <w:noProof/>
                <w:sz w:val="21"/>
              </w:rPr>
              <w:t>Atteint: 9,7</w:t>
            </w:r>
          </w:p>
        </w:tc>
      </w:tr>
      <w:tr>
        <w:trPr>
          <w:trHeight w:val="3200"/>
        </w:trPr>
        <w:tc>
          <w:tcPr>
            <w:tcW w:w="2694" w:type="dxa"/>
            <w:tcBorders>
              <w:right w:val="single" w:sz="8" w:space="0" w:color="7BA0CD"/>
            </w:tcBorders>
            <w:shd w:val="clear" w:color="auto" w:fill="auto"/>
          </w:tcPr>
          <w:p>
            <w:pPr>
              <w:spacing w:before="120" w:after="120"/>
              <w:rPr>
                <w:rFonts w:ascii="Times New Roman" w:eastAsia="Times New Roman" w:hAnsi="Times New Roman" w:cs="Times New Roman"/>
                <w:b/>
                <w:bCs/>
                <w:noProof/>
                <w:sz w:val="21"/>
                <w:szCs w:val="21"/>
              </w:rPr>
            </w:pPr>
            <w:r>
              <w:rPr>
                <w:rFonts w:ascii="Times New Roman" w:hAnsi="Times New Roman"/>
                <w:b/>
                <w:noProof/>
                <w:sz w:val="21"/>
              </w:rPr>
              <w:t>l) Contribution à la réalisation des objectifs du programme</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21,1 Mrd EUR de nouveaux financements mobilisés, sous forme de 469 269 prêts au profit de 385 772 PME;</w:t>
            </w:r>
          </w:p>
          <w:p>
            <w:pPr>
              <w:spacing w:before="60" w:after="120" w:line="240" w:lineRule="auto"/>
              <w:rPr>
                <w:rFonts w:ascii="Times New Roman" w:hAnsi="Times New Roman" w:cs="Times New Roman"/>
                <w:noProof/>
                <w:sz w:val="21"/>
                <w:szCs w:val="21"/>
              </w:rPr>
            </w:pPr>
            <w:r>
              <w:rPr>
                <w:rFonts w:ascii="Times New Roman" w:hAnsi="Times New Roman"/>
                <w:noProof/>
                <w:sz w:val="21"/>
              </w:rPr>
              <w:t>30,9 Mrd EUR d’investissements mobilisés;</w:t>
            </w:r>
          </w:p>
          <w:p>
            <w:pPr>
              <w:spacing w:before="60" w:after="120" w:line="240" w:lineRule="auto"/>
              <w:rPr>
                <w:rFonts w:ascii="Times New Roman" w:hAnsi="Times New Roman" w:cs="Times New Roman"/>
                <w:noProof/>
                <w:sz w:val="21"/>
                <w:szCs w:val="21"/>
              </w:rPr>
            </w:pPr>
            <w:r>
              <w:rPr>
                <w:rFonts w:ascii="Times New Roman" w:hAnsi="Times New Roman"/>
                <w:noProof/>
                <w:sz w:val="21"/>
              </w:rPr>
              <w:t>23 pays couverts;</w:t>
            </w:r>
          </w:p>
          <w:p>
            <w:pPr>
              <w:spacing w:before="60" w:after="120" w:line="240" w:lineRule="auto"/>
              <w:rPr>
                <w:rFonts w:ascii="Times New Roman" w:hAnsi="Times New Roman" w:cs="Times New Roman"/>
                <w:noProof/>
                <w:sz w:val="21"/>
                <w:szCs w:val="21"/>
              </w:rPr>
            </w:pPr>
            <w:r>
              <w:rPr>
                <w:rFonts w:ascii="Times New Roman" w:hAnsi="Times New Roman"/>
                <w:noProof/>
                <w:sz w:val="21"/>
              </w:rPr>
              <w:t>385 772 emplois créés ou préservés.</w:t>
            </w:r>
          </w:p>
        </w:tc>
        <w:tc>
          <w:tcPr>
            <w:tcW w:w="2552"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235,63 Mio EUR de nouveaux micro-financements mobilisés, sous forme de 20 980 prêts au profit de 19 713 bénéficiaires finaux éligibles;</w:t>
            </w:r>
          </w:p>
          <w:p>
            <w:pPr>
              <w:spacing w:before="60" w:after="120" w:line="240" w:lineRule="auto"/>
              <w:rPr>
                <w:rFonts w:ascii="Times New Roman" w:hAnsi="Times New Roman" w:cs="Times New Roman"/>
                <w:noProof/>
                <w:sz w:val="21"/>
                <w:szCs w:val="21"/>
              </w:rPr>
            </w:pPr>
            <w:r>
              <w:rPr>
                <w:rFonts w:ascii="Times New Roman" w:hAnsi="Times New Roman"/>
                <w:noProof/>
                <w:sz w:val="21"/>
              </w:rPr>
              <w:t xml:space="preserve">336,5 Mio EUR d’investissements mobilisés; </w:t>
            </w:r>
          </w:p>
          <w:p>
            <w:pPr>
              <w:spacing w:before="60" w:after="120" w:line="240" w:lineRule="auto"/>
              <w:rPr>
                <w:rFonts w:ascii="Times New Roman" w:hAnsi="Times New Roman" w:cs="Times New Roman"/>
                <w:noProof/>
                <w:sz w:val="21"/>
                <w:szCs w:val="21"/>
              </w:rPr>
            </w:pPr>
            <w:r>
              <w:rPr>
                <w:rFonts w:ascii="Times New Roman" w:hAnsi="Times New Roman"/>
                <w:noProof/>
                <w:sz w:val="21"/>
              </w:rPr>
              <w:t>18 États membres couverts;</w:t>
            </w:r>
          </w:p>
          <w:p>
            <w:pPr>
              <w:spacing w:before="60" w:after="120" w:line="240" w:lineRule="auto"/>
              <w:rPr>
                <w:rFonts w:ascii="Times New Roman" w:hAnsi="Times New Roman" w:cs="Times New Roman"/>
                <w:noProof/>
                <w:sz w:val="21"/>
                <w:szCs w:val="21"/>
              </w:rPr>
            </w:pPr>
            <w:r>
              <w:rPr>
                <w:rFonts w:ascii="Times New Roman" w:hAnsi="Times New Roman"/>
                <w:noProof/>
                <w:sz w:val="21"/>
              </w:rPr>
              <w:t>37 038 emplois soutenus.</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 xml:space="preserve">2,3 Mrd EUR de nouveaux prêts mobilisés au profit de 4 146 bénéficiaires finaux éligibles; </w:t>
            </w:r>
          </w:p>
          <w:p>
            <w:pPr>
              <w:spacing w:before="60" w:after="120" w:line="240" w:lineRule="auto"/>
              <w:rPr>
                <w:rFonts w:ascii="Times New Roman" w:hAnsi="Times New Roman" w:cs="Times New Roman"/>
                <w:noProof/>
                <w:sz w:val="21"/>
                <w:szCs w:val="21"/>
              </w:rPr>
            </w:pPr>
            <w:r>
              <w:rPr>
                <w:rFonts w:ascii="Times New Roman" w:hAnsi="Times New Roman"/>
                <w:noProof/>
                <w:sz w:val="21"/>
              </w:rPr>
              <w:t>Près de 4,7 Mrd EUR d’investissements mobilisés;</w:t>
            </w:r>
          </w:p>
          <w:p>
            <w:pPr>
              <w:spacing w:before="60" w:after="120" w:line="240" w:lineRule="auto"/>
              <w:rPr>
                <w:rFonts w:ascii="Times New Roman" w:hAnsi="Times New Roman" w:cs="Times New Roman"/>
                <w:noProof/>
                <w:sz w:val="21"/>
                <w:szCs w:val="21"/>
              </w:rPr>
            </w:pPr>
            <w:r>
              <w:rPr>
                <w:rFonts w:ascii="Times New Roman" w:hAnsi="Times New Roman"/>
                <w:noProof/>
                <w:sz w:val="21"/>
              </w:rPr>
              <w:t>17 pays couverts;</w:t>
            </w:r>
          </w:p>
        </w:tc>
        <w:tc>
          <w:tcPr>
            <w:tcW w:w="2410" w:type="dxa"/>
            <w:tcBorders>
              <w:left w:val="single" w:sz="8" w:space="0" w:color="7BA0CD"/>
              <w:righ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noProof/>
                <w:sz w:val="21"/>
              </w:rPr>
              <w:t>157,9 Mio EUR de nouveaux financements mobilisés au profit de 12 804 bénéficiaires finaux;</w:t>
            </w:r>
          </w:p>
          <w:p>
            <w:pPr>
              <w:spacing w:before="60" w:after="120" w:line="240" w:lineRule="auto"/>
              <w:rPr>
                <w:rFonts w:ascii="Times New Roman" w:hAnsi="Times New Roman" w:cs="Times New Roman"/>
                <w:noProof/>
                <w:sz w:val="21"/>
                <w:szCs w:val="21"/>
              </w:rPr>
            </w:pPr>
            <w:r>
              <w:rPr>
                <w:rFonts w:ascii="Times New Roman" w:hAnsi="Times New Roman"/>
                <w:noProof/>
                <w:sz w:val="21"/>
              </w:rPr>
              <w:t>225,6 Mio EUR d’investissements mobilisés;</w:t>
            </w:r>
          </w:p>
          <w:p>
            <w:pPr>
              <w:spacing w:before="60" w:after="120" w:line="240" w:lineRule="auto"/>
              <w:rPr>
                <w:rFonts w:ascii="Times New Roman" w:hAnsi="Times New Roman" w:cs="Times New Roman"/>
                <w:noProof/>
                <w:sz w:val="21"/>
                <w:szCs w:val="21"/>
              </w:rPr>
            </w:pPr>
            <w:r>
              <w:rPr>
                <w:rFonts w:ascii="Times New Roman" w:hAnsi="Times New Roman"/>
                <w:noProof/>
                <w:sz w:val="21"/>
              </w:rPr>
              <w:t>20 pays couverts;</w:t>
            </w:r>
          </w:p>
          <w:p>
            <w:pPr>
              <w:spacing w:before="60" w:after="120" w:line="240" w:lineRule="auto"/>
              <w:rPr>
                <w:rFonts w:ascii="Times New Roman" w:hAnsi="Times New Roman" w:cs="Times New Roman"/>
                <w:noProof/>
                <w:sz w:val="21"/>
                <w:szCs w:val="21"/>
              </w:rPr>
            </w:pPr>
          </w:p>
        </w:tc>
        <w:tc>
          <w:tcPr>
            <w:tcW w:w="2409" w:type="dxa"/>
            <w:tcBorders>
              <w:lef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noProof/>
                <w:sz w:val="21"/>
              </w:rPr>
              <w:t>5,5 Mrd EUR de nouveaux financements mobilisés au profit de 143 344 bénéficiaires finaux;</w:t>
            </w:r>
          </w:p>
          <w:p>
            <w:pPr>
              <w:spacing w:before="60" w:after="120" w:line="240" w:lineRule="auto"/>
              <w:rPr>
                <w:rFonts w:ascii="Times New Roman" w:hAnsi="Times New Roman" w:cs="Times New Roman"/>
                <w:noProof/>
                <w:sz w:val="21"/>
                <w:szCs w:val="21"/>
              </w:rPr>
            </w:pPr>
            <w:r>
              <w:rPr>
                <w:rFonts w:ascii="Times New Roman" w:hAnsi="Times New Roman"/>
                <w:noProof/>
                <w:sz w:val="21"/>
              </w:rPr>
              <w:t>7,8 Mrd EUR d’investissements mobilisés;</w:t>
            </w:r>
          </w:p>
          <w:p>
            <w:pPr>
              <w:spacing w:before="60" w:after="120" w:line="240" w:lineRule="auto"/>
              <w:rPr>
                <w:rFonts w:ascii="Times New Roman" w:hAnsi="Times New Roman" w:cs="Times New Roman"/>
                <w:noProof/>
                <w:sz w:val="21"/>
                <w:szCs w:val="21"/>
              </w:rPr>
            </w:pPr>
            <w:r>
              <w:rPr>
                <w:rFonts w:ascii="Times New Roman" w:hAnsi="Times New Roman"/>
                <w:noProof/>
                <w:sz w:val="21"/>
              </w:rPr>
              <w:t>21 pays couverts;</w:t>
            </w:r>
          </w:p>
          <w:p>
            <w:pPr>
              <w:spacing w:before="60" w:after="120" w:line="240" w:lineRule="auto"/>
              <w:rPr>
                <w:rFonts w:ascii="Times New Roman" w:hAnsi="Times New Roman" w:cs="Times New Roman"/>
                <w:noProof/>
                <w:sz w:val="21"/>
                <w:szCs w:val="21"/>
              </w:rPr>
            </w:pPr>
          </w:p>
        </w:tc>
      </w:tr>
    </w:tbl>
    <w:p>
      <w:pPr>
        <w:rPr>
          <w:rFonts w:ascii="Times New Roman" w:hAnsi="Times New Roman" w:cs="Times New Roman"/>
          <w:noProof/>
        </w:rPr>
      </w:pPr>
    </w:p>
    <w:tbl>
      <w:tblPr>
        <w:tblW w:w="15451" w:type="dxa"/>
        <w:tblInd w:w="-60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3606"/>
        <w:gridCol w:w="3199"/>
        <w:gridCol w:w="2976"/>
        <w:gridCol w:w="2840"/>
        <w:gridCol w:w="2830"/>
      </w:tblGrid>
      <w:tr>
        <w:trPr>
          <w:trHeight w:val="1960"/>
        </w:trPr>
        <w:tc>
          <w:tcPr>
            <w:tcW w:w="3606" w:type="dxa"/>
            <w:shd w:val="clear" w:color="auto" w:fill="4F81BD" w:themeFill="accent1"/>
          </w:tcPr>
          <w:p>
            <w:pPr>
              <w:rPr>
                <w:rFonts w:ascii="Times New Roman" w:hAnsi="Times New Roman" w:cs="Times New Roman"/>
                <w:b/>
                <w:bCs/>
                <w:noProof/>
                <w:color w:val="FFFFFF"/>
                <w:sz w:val="21"/>
                <w:szCs w:val="21"/>
              </w:rPr>
            </w:pPr>
          </w:p>
        </w:tc>
        <w:tc>
          <w:tcPr>
            <w:tcW w:w="3199" w:type="dxa"/>
            <w:shd w:val="clear" w:color="auto" w:fill="4F81BD" w:themeFill="accent1"/>
          </w:tcPr>
          <w:p>
            <w:pPr>
              <w:spacing w:before="60" w:after="120"/>
              <w:rPr>
                <w:rFonts w:ascii="Times New Roman" w:hAnsi="Times New Roman" w:cs="Times New Roman"/>
                <w:b/>
                <w:bCs/>
                <w:noProof/>
                <w:color w:val="FFFFFF"/>
                <w:sz w:val="21"/>
                <w:szCs w:val="21"/>
              </w:rPr>
            </w:pPr>
            <w:bookmarkStart w:id="9" w:name="_Ref387223784"/>
            <w:bookmarkStart w:id="10" w:name="_Toc387228829"/>
            <w:bookmarkStart w:id="11" w:name="_Toc388541891"/>
            <w:bookmarkStart w:id="12" w:name="_Toc393281937"/>
            <w:bookmarkStart w:id="13" w:name="_Toc400446066"/>
            <w:r>
              <w:rPr>
                <w:rFonts w:ascii="Times New Roman" w:hAnsi="Times New Roman"/>
                <w:b/>
                <w:noProof/>
                <w:color w:val="FFFFFF"/>
                <w:sz w:val="21"/>
              </w:rPr>
              <w:t>Service de prêts aux PME et petites entreprises à capitalisation moyenne pour la R&amp;I dans le cadre d’Horizon 2020 — InnovFin GPME</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(point 2.6 du document de travail)</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DG responsable: RTD</w:t>
            </w:r>
            <w:r>
              <w:rPr>
                <w:rStyle w:val="FootnoteReference"/>
                <w:rFonts w:ascii="Times New Roman" w:hAnsi="Times New Roman"/>
                <w:b/>
                <w:noProof/>
                <w:color w:val="FFFFFF"/>
                <w:sz w:val="21"/>
              </w:rPr>
              <w:footnoteReference w:id="8"/>
            </w:r>
            <w:bookmarkEnd w:id="9"/>
            <w:bookmarkEnd w:id="10"/>
            <w:bookmarkEnd w:id="11"/>
            <w:bookmarkEnd w:id="12"/>
            <w:bookmarkEnd w:id="13"/>
          </w:p>
        </w:tc>
        <w:tc>
          <w:tcPr>
            <w:tcW w:w="2976" w:type="dxa"/>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Mécanisme de garantie en faveur des secteurs culturels et créatifs</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(point 2.7 du document de travail)</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DG responsables: CNECT et EAC</w:t>
            </w:r>
          </w:p>
        </w:tc>
        <w:tc>
          <w:tcPr>
            <w:tcW w:w="2840" w:type="dxa"/>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Mécanisme de garantie de prêts aux étudiants (Erasmus+) — SLGF</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(point 2.8 du document de travail)</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DG responsable: EAC</w:t>
            </w:r>
          </w:p>
        </w:tc>
        <w:tc>
          <w:tcPr>
            <w:tcW w:w="2830" w:type="dxa"/>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Instruments de financement privé pour l’efficacité énergétique (PF4EE)</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(point 2.9 du document de travail)</w:t>
            </w:r>
          </w:p>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DG responsable: CLIMA</w:t>
            </w:r>
          </w:p>
        </w:tc>
      </w:tr>
      <w:tr>
        <w:trPr>
          <w:trHeight w:val="558"/>
        </w:trPr>
        <w:tc>
          <w:tcPr>
            <w:tcW w:w="3606"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a) Identification / acte de base</w:t>
            </w:r>
          </w:p>
        </w:tc>
        <w:tc>
          <w:tcPr>
            <w:tcW w:w="3199"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Règlements (UE) n° 1291/2013 et (UE) n° 1290/2013</w:t>
            </w:r>
          </w:p>
        </w:tc>
        <w:tc>
          <w:tcPr>
            <w:tcW w:w="297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Règlement (UE) n° 1295/2013</w:t>
            </w:r>
          </w:p>
        </w:tc>
        <w:tc>
          <w:tcPr>
            <w:tcW w:w="284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Règlement (UE) n° 1288/2013</w:t>
            </w:r>
          </w:p>
        </w:tc>
        <w:tc>
          <w:tcPr>
            <w:tcW w:w="283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Règlement (UE) n° 1293/2013</w:t>
            </w:r>
          </w:p>
        </w:tc>
      </w:tr>
      <w:tr>
        <w:trPr>
          <w:trHeight w:val="1432"/>
        </w:trPr>
        <w:tc>
          <w:tcPr>
            <w:tcW w:w="3606"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b) Description</w:t>
            </w:r>
          </w:p>
        </w:tc>
        <w:tc>
          <w:tcPr>
            <w:tcW w:w="3199"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Instrument de garantie favorisant l'accès au capital-risque des PME et petites entreprises à capitalisation moyenne axées sur la R&amp;I</w:t>
            </w:r>
          </w:p>
        </w:tc>
        <w:tc>
          <w:tcPr>
            <w:tcW w:w="297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Instrument de garantie visant à renforcer la compétitivité du secteur culturel et créatif par un soutien aux prêts octroyés par des établissements financiers aux PME actives dans ce secteur</w:t>
            </w:r>
          </w:p>
        </w:tc>
        <w:tc>
          <w:tcPr>
            <w:tcW w:w="2840"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Instrument de garantie promouvant la mobilité, l’équité et l’excellence académique par un soutien à l'octroi de prêts aux étudiants souhaitant suivre des études de niveau master à l'étranger</w:t>
            </w:r>
          </w:p>
        </w:tc>
        <w:tc>
          <w:tcPr>
            <w:tcW w:w="2830"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Instrument de garantie (initiative pilote) visant à faciliter l'accès à un financement commercial adéquat et abordable des investissements éligibles en matière d’efficacité énergétique</w:t>
            </w:r>
          </w:p>
        </w:tc>
      </w:tr>
      <w:tr>
        <w:trPr>
          <w:trHeight w:val="506"/>
        </w:trPr>
        <w:tc>
          <w:tcPr>
            <w:tcW w:w="3606"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c) Institution(s) financière(s) concernée(s)</w:t>
            </w:r>
          </w:p>
        </w:tc>
        <w:tc>
          <w:tcPr>
            <w:tcW w:w="3199"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FEI</w:t>
            </w:r>
          </w:p>
        </w:tc>
        <w:tc>
          <w:tcPr>
            <w:tcW w:w="297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FEI</w:t>
            </w:r>
          </w:p>
        </w:tc>
        <w:tc>
          <w:tcPr>
            <w:tcW w:w="284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FEI</w:t>
            </w:r>
          </w:p>
        </w:tc>
        <w:tc>
          <w:tcPr>
            <w:tcW w:w="283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BEI</w:t>
            </w:r>
          </w:p>
        </w:tc>
      </w:tr>
      <w:tr>
        <w:trPr>
          <w:trHeight w:val="684"/>
        </w:trPr>
        <w:tc>
          <w:tcPr>
            <w:tcW w:w="3606"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d) Total des engagements et des paiements budgétaires</w:t>
            </w:r>
          </w:p>
        </w:tc>
        <w:tc>
          <w:tcPr>
            <w:tcW w:w="3199"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534,5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478,2 Mio EUR</w:t>
            </w:r>
          </w:p>
        </w:tc>
        <w:tc>
          <w:tcPr>
            <w:tcW w:w="297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14,8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5,98 Mio EUR</w:t>
            </w:r>
          </w:p>
        </w:tc>
        <w:tc>
          <w:tcPr>
            <w:tcW w:w="2840"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115,7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21,2 Mio EUR</w:t>
            </w:r>
          </w:p>
        </w:tc>
        <w:tc>
          <w:tcPr>
            <w:tcW w:w="2830"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70,0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19,1 Mio EUR</w:t>
            </w:r>
          </w:p>
        </w:tc>
      </w:tr>
      <w:tr>
        <w:trPr>
          <w:trHeight w:val="684"/>
        </w:trPr>
        <w:tc>
          <w:tcPr>
            <w:tcW w:w="3606"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e) Performances</w:t>
            </w:r>
          </w:p>
        </w:tc>
        <w:tc>
          <w:tcPr>
            <w:tcW w:w="3199"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109 accords signés avec 71 intermédiaires financiers; 8,6 Mrd EUR de financement attendu au profit d’environ 24 000 PME et petites entreprises à capitalisation moyenne; 1,94 Mrd EUR de financement atteint au profit de 5 682 PME et petites entreprises à capitalisation moyenne.</w:t>
            </w:r>
          </w:p>
        </w:tc>
        <w:tc>
          <w:tcPr>
            <w:tcW w:w="2976"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840"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6 accords signés pour l’octroi d’un financement attendu de 160,0 Mio EUR au profit de 11 500 bénéficiaires finaux, soutenus par</w:t>
            </w:r>
            <w:r>
              <w:rPr>
                <w:noProof/>
              </w:rPr>
              <w:tab/>
            </w:r>
            <w:r>
              <w:rPr>
                <w:rFonts w:ascii="Times New Roman" w:hAnsi="Times New Roman" w:cs="Times New Roman"/>
                <w:noProof/>
                <w:sz w:val="21"/>
                <w:szCs w:val="21"/>
              </w:rPr>
              <w:br/>
            </w:r>
            <w:r>
              <w:rPr>
                <w:rFonts w:ascii="Times New Roman" w:hAnsi="Times New Roman"/>
                <w:noProof/>
                <w:sz w:val="21"/>
              </w:rPr>
              <w:t>un volume de garanties de 25,9 Mio EUR</w:t>
            </w:r>
          </w:p>
        </w:tc>
        <w:tc>
          <w:tcPr>
            <w:tcW w:w="2830"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 (6 bénéficiaires finaux; 6 accords signés)</w:t>
            </w:r>
          </w:p>
        </w:tc>
      </w:tr>
      <w:tr>
        <w:trPr>
          <w:trHeight w:val="1110"/>
        </w:trPr>
        <w:tc>
          <w:tcPr>
            <w:tcW w:w="3606" w:type="dxa"/>
            <w:shd w:val="clear" w:color="auto" w:fill="4F81BD" w:themeFill="accent1"/>
          </w:tcPr>
          <w:p>
            <w:pPr>
              <w:rPr>
                <w:rFonts w:ascii="Times New Roman" w:hAnsi="Times New Roman" w:cs="Times New Roman"/>
                <w:b/>
                <w:bCs/>
                <w:noProof/>
                <w:color w:val="FFFFFF"/>
                <w:sz w:val="21"/>
                <w:szCs w:val="21"/>
              </w:rPr>
            </w:pPr>
          </w:p>
        </w:tc>
        <w:tc>
          <w:tcPr>
            <w:tcW w:w="3199" w:type="dxa"/>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Service de prêts aux PME et petites entreprises à capitalisation moyenne pour la R&amp;I dans le cadre d’Horizon 2020 — InnovFin GPME</w:t>
            </w:r>
            <w:r>
              <w:rPr>
                <w:rStyle w:val="FootnoteReference"/>
                <w:rFonts w:ascii="Times New Roman" w:hAnsi="Times New Roman"/>
                <w:b/>
                <w:noProof/>
                <w:color w:val="FFFFFF"/>
                <w:sz w:val="21"/>
              </w:rPr>
              <w:footnoteReference w:id="9"/>
            </w:r>
          </w:p>
        </w:tc>
        <w:tc>
          <w:tcPr>
            <w:tcW w:w="2976" w:type="dxa"/>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Mécanisme de garantie en faveur des secteurs culturels et créatifs – CCSG</w:t>
            </w:r>
          </w:p>
        </w:tc>
        <w:tc>
          <w:tcPr>
            <w:tcW w:w="2840" w:type="dxa"/>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Mécanisme de garantie de prêts aux étudiants (Erasmus+) — SLGF</w:t>
            </w:r>
          </w:p>
        </w:tc>
        <w:tc>
          <w:tcPr>
            <w:tcW w:w="2830" w:type="dxa"/>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b/>
                <w:noProof/>
                <w:color w:val="FFFFFF"/>
                <w:sz w:val="21"/>
              </w:rPr>
              <w:t>Instruments de financement privé pour l’efficacité énergétique (PF4EE)</w:t>
            </w:r>
          </w:p>
        </w:tc>
      </w:tr>
      <w:tr>
        <w:tc>
          <w:tcPr>
            <w:tcW w:w="3606"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f) Évaluation de l’utilisation des montants remboursés à l’instrument</w:t>
            </w:r>
          </w:p>
        </w:tc>
        <w:tc>
          <w:tcPr>
            <w:tcW w:w="3199"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1,89 Mio EUR</w:t>
            </w:r>
          </w:p>
        </w:tc>
        <w:tc>
          <w:tcPr>
            <w:tcW w:w="297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840"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830"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r>
      <w:tr>
        <w:tc>
          <w:tcPr>
            <w:tcW w:w="3606"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g) Solde du compte fiduciaire</w:t>
            </w:r>
            <w:r>
              <w:rPr>
                <w:rStyle w:val="FootnoteReference"/>
                <w:rFonts w:ascii="Times New Roman" w:hAnsi="Times New Roman"/>
                <w:b/>
                <w:noProof/>
                <w:sz w:val="21"/>
              </w:rPr>
              <w:footnoteReference w:id="10"/>
            </w:r>
          </w:p>
        </w:tc>
        <w:tc>
          <w:tcPr>
            <w:tcW w:w="3199"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467 Mio EUR</w:t>
            </w:r>
          </w:p>
        </w:tc>
        <w:tc>
          <w:tcPr>
            <w:tcW w:w="297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5,67 Mio EUR</w:t>
            </w:r>
          </w:p>
        </w:tc>
        <w:tc>
          <w:tcPr>
            <w:tcW w:w="284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15,9 Mio EUR</w:t>
            </w:r>
          </w:p>
        </w:tc>
        <w:tc>
          <w:tcPr>
            <w:tcW w:w="283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17,99 Mio EUR</w:t>
            </w:r>
            <w:r>
              <w:rPr>
                <w:rFonts w:ascii="Times New Roman" w:hAnsi="Times New Roman"/>
                <w:noProof/>
                <w:highlight w:val="yellow"/>
              </w:rPr>
              <w:t xml:space="preserve"> </w:t>
            </w:r>
          </w:p>
        </w:tc>
      </w:tr>
      <w:tr>
        <w:tc>
          <w:tcPr>
            <w:tcW w:w="3606"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h) Recettes et remboursements</w:t>
            </w:r>
          </w:p>
        </w:tc>
        <w:tc>
          <w:tcPr>
            <w:tcW w:w="3199"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2,17 Mio EUR</w:t>
            </w:r>
          </w:p>
        </w:tc>
        <w:tc>
          <w:tcPr>
            <w:tcW w:w="297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0 EUR</w:t>
            </w:r>
          </w:p>
        </w:tc>
        <w:tc>
          <w:tcPr>
            <w:tcW w:w="2840"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0,1 Mio EUR</w:t>
            </w:r>
          </w:p>
        </w:tc>
        <w:tc>
          <w:tcPr>
            <w:tcW w:w="2830"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0,006 Mio EUR</w:t>
            </w:r>
          </w:p>
        </w:tc>
      </w:tr>
      <w:tr>
        <w:tc>
          <w:tcPr>
            <w:tcW w:w="3606"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i) Valeur des investissements de fonds propres</w:t>
            </w:r>
          </w:p>
        </w:tc>
        <w:tc>
          <w:tcPr>
            <w:tcW w:w="3199"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97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84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83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r>
      <w:tr>
        <w:tc>
          <w:tcPr>
            <w:tcW w:w="3606"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j) Dépréciations / garanties appelées</w:t>
            </w:r>
          </w:p>
        </w:tc>
        <w:tc>
          <w:tcPr>
            <w:tcW w:w="3199"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2,3 Mio EUR</w:t>
            </w:r>
          </w:p>
        </w:tc>
        <w:tc>
          <w:tcPr>
            <w:tcW w:w="297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0 EUR</w:t>
            </w:r>
          </w:p>
        </w:tc>
        <w:tc>
          <w:tcPr>
            <w:tcW w:w="2840"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0 EUR</w:t>
            </w:r>
          </w:p>
        </w:tc>
        <w:tc>
          <w:tcPr>
            <w:tcW w:w="2830"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0 EUR</w:t>
            </w:r>
          </w:p>
        </w:tc>
      </w:tr>
      <w:tr>
        <w:tc>
          <w:tcPr>
            <w:tcW w:w="3606"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k) Effet de levier</w:t>
            </w:r>
          </w:p>
        </w:tc>
        <w:tc>
          <w:tcPr>
            <w:tcW w:w="3199"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Visé: 9</w:t>
            </w:r>
          </w:p>
          <w:p>
            <w:pPr>
              <w:spacing w:before="60" w:after="120" w:line="240" w:lineRule="auto"/>
              <w:rPr>
                <w:rFonts w:ascii="Times New Roman" w:hAnsi="Times New Roman" w:cs="Times New Roman"/>
                <w:noProof/>
                <w:sz w:val="21"/>
                <w:szCs w:val="21"/>
              </w:rPr>
            </w:pPr>
            <w:r>
              <w:rPr>
                <w:rFonts w:ascii="Times New Roman" w:hAnsi="Times New Roman"/>
                <w:noProof/>
                <w:sz w:val="21"/>
              </w:rPr>
              <w:t>Attendu: 9,6</w:t>
            </w:r>
          </w:p>
          <w:p>
            <w:pPr>
              <w:autoSpaceDE w:val="0"/>
              <w:autoSpaceDN w:val="0"/>
              <w:adjustRightInd w:val="0"/>
              <w:spacing w:before="60" w:after="120" w:line="240" w:lineRule="auto"/>
              <w:rPr>
                <w:rFonts w:ascii="Times New Roman" w:hAnsi="Times New Roman" w:cs="Times New Roman"/>
                <w:noProof/>
                <w:sz w:val="21"/>
                <w:szCs w:val="21"/>
              </w:rPr>
            </w:pPr>
            <w:r>
              <w:rPr>
                <w:rFonts w:ascii="Times New Roman" w:hAnsi="Times New Roman"/>
                <w:noProof/>
                <w:sz w:val="21"/>
              </w:rPr>
              <w:t>Atteint: 2,2</w:t>
            </w:r>
          </w:p>
        </w:tc>
        <w:tc>
          <w:tcPr>
            <w:tcW w:w="297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Visé: 5,7</w:t>
            </w:r>
          </w:p>
        </w:tc>
        <w:tc>
          <w:tcPr>
            <w:tcW w:w="284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Visé: 5,7</w:t>
            </w:r>
          </w:p>
          <w:p>
            <w:pPr>
              <w:spacing w:before="60" w:after="120" w:line="240" w:lineRule="auto"/>
              <w:rPr>
                <w:rFonts w:ascii="Times New Roman" w:hAnsi="Times New Roman" w:cs="Times New Roman"/>
                <w:noProof/>
                <w:sz w:val="21"/>
                <w:szCs w:val="21"/>
              </w:rPr>
            </w:pPr>
            <w:r>
              <w:rPr>
                <w:rFonts w:ascii="Times New Roman" w:hAnsi="Times New Roman"/>
                <w:noProof/>
                <w:sz w:val="21"/>
              </w:rPr>
              <w:t>Attendu: 1,4</w:t>
            </w:r>
          </w:p>
          <w:p>
            <w:pPr>
              <w:spacing w:before="60" w:after="120" w:line="240" w:lineRule="auto"/>
              <w:rPr>
                <w:rFonts w:ascii="Times New Roman" w:hAnsi="Times New Roman" w:cs="Times New Roman"/>
                <w:noProof/>
                <w:sz w:val="21"/>
                <w:szCs w:val="21"/>
              </w:rPr>
            </w:pPr>
            <w:r>
              <w:rPr>
                <w:rFonts w:ascii="Times New Roman" w:hAnsi="Times New Roman"/>
                <w:noProof/>
                <w:sz w:val="21"/>
              </w:rPr>
              <w:t>Atteint: 0,03</w:t>
            </w:r>
          </w:p>
        </w:tc>
        <w:tc>
          <w:tcPr>
            <w:tcW w:w="283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Visé: 8</w:t>
            </w:r>
          </w:p>
          <w:p>
            <w:pPr>
              <w:spacing w:before="60" w:after="120" w:line="240" w:lineRule="auto"/>
              <w:rPr>
                <w:rFonts w:ascii="Times New Roman" w:hAnsi="Times New Roman" w:cs="Times New Roman"/>
                <w:noProof/>
                <w:sz w:val="21"/>
                <w:szCs w:val="21"/>
              </w:rPr>
            </w:pPr>
            <w:r>
              <w:rPr>
                <w:rFonts w:ascii="Times New Roman" w:hAnsi="Times New Roman"/>
                <w:noProof/>
                <w:sz w:val="21"/>
              </w:rPr>
              <w:t>Atteint: 13</w:t>
            </w:r>
          </w:p>
        </w:tc>
      </w:tr>
      <w:tr>
        <w:trPr>
          <w:trHeight w:val="761"/>
        </w:trPr>
        <w:tc>
          <w:tcPr>
            <w:tcW w:w="3606" w:type="dxa"/>
            <w:shd w:val="clear" w:color="auto" w:fill="auto"/>
          </w:tcPr>
          <w:p>
            <w:pPr>
              <w:spacing w:before="60" w:after="120"/>
              <w:rPr>
                <w:rFonts w:ascii="Times New Roman" w:hAnsi="Times New Roman" w:cs="Times New Roman"/>
                <w:b/>
                <w:bCs/>
                <w:i/>
                <w:noProof/>
                <w:sz w:val="21"/>
                <w:szCs w:val="21"/>
              </w:rPr>
            </w:pPr>
            <w:r>
              <w:rPr>
                <w:rFonts w:ascii="Times New Roman" w:hAnsi="Times New Roman"/>
                <w:b/>
                <w:noProof/>
                <w:sz w:val="21"/>
              </w:rPr>
              <w:t>l) Contribution à la réalisation des objectifs du programme</w:t>
            </w:r>
          </w:p>
        </w:tc>
        <w:tc>
          <w:tcPr>
            <w:tcW w:w="3199"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1 944 Mio EUR de nouveaux prêts mobilisés en faveur de 5 682 bénéficiaires finaux;</w:t>
            </w:r>
          </w:p>
          <w:p>
            <w:pPr>
              <w:spacing w:before="60" w:after="120" w:line="240" w:lineRule="auto"/>
              <w:rPr>
                <w:rFonts w:ascii="Times New Roman" w:hAnsi="Times New Roman" w:cs="Times New Roman"/>
                <w:noProof/>
                <w:sz w:val="21"/>
                <w:szCs w:val="21"/>
              </w:rPr>
            </w:pPr>
            <w:r>
              <w:rPr>
                <w:rFonts w:ascii="Times New Roman" w:hAnsi="Times New Roman"/>
                <w:noProof/>
                <w:sz w:val="21"/>
              </w:rPr>
              <w:t>2,8 Mrd EUR d’investissements mobilisés;</w:t>
            </w:r>
          </w:p>
          <w:p>
            <w:pPr>
              <w:spacing w:before="60" w:after="120" w:line="240" w:lineRule="auto"/>
              <w:rPr>
                <w:rFonts w:ascii="Times New Roman" w:hAnsi="Times New Roman" w:cs="Times New Roman"/>
                <w:noProof/>
                <w:sz w:val="21"/>
                <w:szCs w:val="21"/>
              </w:rPr>
            </w:pPr>
          </w:p>
        </w:tc>
        <w:tc>
          <w:tcPr>
            <w:tcW w:w="297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689 Mio EUR de nouveaux financements visés pour les industries culturelles et créatives.</w:t>
            </w:r>
          </w:p>
        </w:tc>
        <w:tc>
          <w:tcPr>
            <w:tcW w:w="2840"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3,1 Mio EUR de financements déjà octroyés au profit de 247 étudiants en master;</w:t>
            </w:r>
          </w:p>
          <w:p>
            <w:pPr>
              <w:spacing w:before="60" w:after="120" w:line="240" w:lineRule="auto"/>
              <w:rPr>
                <w:rFonts w:ascii="Times New Roman" w:hAnsi="Times New Roman" w:cs="Times New Roman"/>
                <w:noProof/>
                <w:sz w:val="21"/>
                <w:szCs w:val="21"/>
              </w:rPr>
            </w:pPr>
            <w:r>
              <w:rPr>
                <w:rFonts w:ascii="Times New Roman" w:hAnsi="Times New Roman"/>
                <w:noProof/>
                <w:sz w:val="21"/>
              </w:rPr>
              <w:t>Soutien à la mobilité transnationale des étudiants de master.</w:t>
            </w:r>
          </w:p>
        </w:tc>
        <w:tc>
          <w:tcPr>
            <w:tcW w:w="2830"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Le montant de financements visé par la BEI s’élève à 430 Mio EUR, pour un objectif d’investissements associés dans l’efficacité énergétique d’environ 540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Constitue également une expérience pilote avant un passage éventuel à plus grande échelle.</w:t>
            </w:r>
          </w:p>
        </w:tc>
      </w:tr>
    </w:tbl>
    <w:p>
      <w:pPr>
        <w:rPr>
          <w:rFonts w:ascii="Times New Roman" w:hAnsi="Times New Roman" w:cs="Times New Roman"/>
          <w:noProof/>
        </w:rPr>
      </w:pPr>
      <w:r>
        <w:rPr>
          <w:noProof/>
        </w:rPr>
        <w:br w:type="page"/>
      </w:r>
    </w:p>
    <w:p>
      <w:pPr>
        <w:pStyle w:val="Heading4"/>
        <w:spacing w:before="120"/>
        <w:rPr>
          <w:noProof/>
          <w:sz w:val="22"/>
          <w:szCs w:val="22"/>
        </w:rPr>
      </w:pPr>
      <w:bookmarkStart w:id="14" w:name="_Toc399517420"/>
      <w:r>
        <w:rPr>
          <w:noProof/>
          <w:sz w:val="22"/>
        </w:rPr>
        <w:t>INSTRUMENTS DE PARTAGE DES RISQUES</w:t>
      </w:r>
      <w:bookmarkEnd w:id="14"/>
    </w:p>
    <w:tbl>
      <w:tblPr>
        <w:tblStyle w:val="MediumShading1-Accent1"/>
        <w:tblW w:w="5433" w:type="pct"/>
        <w:tblInd w:w="-601" w:type="dxa"/>
        <w:tblBorders>
          <w:insideH w:val="none" w:sz="0" w:space="0" w:color="auto"/>
          <w:insideV w:val="single" w:sz="8" w:space="0" w:color="7BA0CD"/>
        </w:tblBorders>
        <w:tblLook w:val="04A0" w:firstRow="1" w:lastRow="0" w:firstColumn="1" w:lastColumn="0" w:noHBand="0" w:noVBand="1"/>
      </w:tblPr>
      <w:tblGrid>
        <w:gridCol w:w="3353"/>
        <w:gridCol w:w="2176"/>
        <w:gridCol w:w="2410"/>
        <w:gridCol w:w="2551"/>
        <w:gridCol w:w="2268"/>
        <w:gridCol w:w="2693"/>
      </w:tblGrid>
      <w:tr>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4F81BD" w:themeFill="accent1"/>
          </w:tcPr>
          <w:p>
            <w:pPr>
              <w:spacing w:line="276" w:lineRule="auto"/>
              <w:rPr>
                <w:rFonts w:ascii="Times New Roman" w:hAnsi="Times New Roman"/>
                <w:b w:val="0"/>
                <w:bCs w:val="0"/>
                <w:noProof/>
                <w:sz w:val="21"/>
                <w:szCs w:val="21"/>
              </w:rPr>
            </w:pPr>
          </w:p>
        </w:tc>
        <w:tc>
          <w:tcPr>
            <w:tcW w:w="2176" w:type="dxa"/>
            <w:tcBorders>
              <w:left w:val="single" w:sz="8" w:space="0" w:color="7BA0CD"/>
              <w:right w:val="single" w:sz="8" w:space="0" w:color="7BA0CD"/>
            </w:tcBorders>
            <w:shd w:val="clear" w:color="auto" w:fill="4F81BD" w:themeFill="accent1"/>
          </w:tcPr>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Mécanisme de financement avec partage des risques — MFPR</w:t>
            </w:r>
          </w:p>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(point 3.1 du document de travail)</w:t>
            </w:r>
          </w:p>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DG responsable: RTD</w:t>
            </w:r>
          </w:p>
        </w:tc>
        <w:tc>
          <w:tcPr>
            <w:tcW w:w="2410" w:type="dxa"/>
            <w:tcBorders>
              <w:left w:val="single" w:sz="8" w:space="0" w:color="7BA0CD"/>
              <w:right w:val="single" w:sz="8" w:space="0" w:color="7BA0CD"/>
            </w:tcBorders>
            <w:shd w:val="clear" w:color="auto" w:fill="4F81BD" w:themeFill="accent1"/>
          </w:tcPr>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Service de prêts pour la R&amp;I au titre d'Horizon 2020 — InnovFin</w:t>
            </w:r>
          </w:p>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(point 3.2 du document de travail)</w:t>
            </w:r>
          </w:p>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DG responsable: RTD</w:t>
            </w:r>
          </w:p>
        </w:tc>
        <w:tc>
          <w:tcPr>
            <w:tcW w:w="2551" w:type="dxa"/>
            <w:tcBorders>
              <w:left w:val="single" w:sz="8" w:space="0" w:color="7BA0CD"/>
              <w:right w:val="single" w:sz="8" w:space="0" w:color="7BA0CD"/>
            </w:tcBorders>
            <w:shd w:val="clear" w:color="auto" w:fill="4F81BD" w:themeFill="accent1"/>
          </w:tcPr>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Instrument de partage des risques du mécanisme pour l'interconnexion en Europe («CEF DI»)</w:t>
            </w:r>
          </w:p>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(point 3.3 du document de travail)</w:t>
            </w:r>
          </w:p>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DG responsables:</w:t>
            </w:r>
          </w:p>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MOVE, ENER, CNECT</w:t>
            </w:r>
          </w:p>
        </w:tc>
        <w:tc>
          <w:tcPr>
            <w:tcW w:w="2268" w:type="dxa"/>
            <w:tcBorders>
              <w:left w:val="single" w:sz="8" w:space="0" w:color="7BA0CD"/>
              <w:right w:val="single" w:sz="8" w:space="0" w:color="7BA0CD"/>
            </w:tcBorders>
            <w:shd w:val="clear" w:color="auto" w:fill="4F81BD" w:themeFill="accent1"/>
          </w:tcPr>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Mécanisme de financement du capital naturel — NCFF</w:t>
            </w:r>
          </w:p>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(point 3.4 du document de travail)</w:t>
            </w:r>
            <w:r>
              <w:rPr>
                <w:rFonts w:ascii="Times New Roman" w:hAnsi="Times New Roman"/>
                <w:bCs w:val="0"/>
                <w:noProof/>
                <w:sz w:val="21"/>
                <w:szCs w:val="21"/>
              </w:rPr>
              <w:br/>
            </w:r>
            <w:r>
              <w:rPr>
                <w:rFonts w:ascii="Times New Roman" w:hAnsi="Times New Roman"/>
                <w:noProof/>
                <w:sz w:val="21"/>
              </w:rPr>
              <w:t>DG responsables: ENV/CLIMA</w:t>
            </w:r>
          </w:p>
        </w:tc>
        <w:tc>
          <w:tcPr>
            <w:tcW w:w="2693" w:type="dxa"/>
            <w:tcBorders>
              <w:left w:val="single" w:sz="8" w:space="0" w:color="7BA0CD"/>
            </w:tcBorders>
            <w:shd w:val="clear" w:color="auto" w:fill="4F81BD" w:themeFill="accent1"/>
          </w:tcPr>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color w:val="FFFFFF" w:themeColor="background1"/>
                <w:sz w:val="21"/>
                <w:szCs w:val="21"/>
              </w:rPr>
            </w:pPr>
            <w:r>
              <w:rPr>
                <w:rFonts w:ascii="Times New Roman" w:hAnsi="Times New Roman"/>
                <w:noProof/>
                <w:color w:val="FFFFFF" w:themeColor="background1"/>
                <w:sz w:val="21"/>
              </w:rPr>
              <w:t>L'initiative en faveur des PME</w:t>
            </w:r>
          </w:p>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color w:val="FFFFFF" w:themeColor="background1"/>
                <w:sz w:val="21"/>
                <w:szCs w:val="21"/>
              </w:rPr>
            </w:pPr>
            <w:r>
              <w:rPr>
                <w:rFonts w:ascii="Times New Roman" w:hAnsi="Times New Roman"/>
                <w:noProof/>
                <w:color w:val="FFFFFF" w:themeColor="background1"/>
                <w:sz w:val="21"/>
              </w:rPr>
              <w:t>(point 3.5 du document de travail)</w:t>
            </w:r>
          </w:p>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color w:val="FFFFFF" w:themeColor="background1"/>
                <w:sz w:val="21"/>
              </w:rPr>
              <w:t>DG responsables: ECFIN, RTD, GROW, REGIO, AGRI</w:t>
            </w:r>
          </w:p>
        </w:tc>
      </w:tr>
      <w:tr>
        <w:trPr>
          <w:cnfStyle w:val="000000100000" w:firstRow="0" w:lastRow="0" w:firstColumn="0" w:lastColumn="0" w:oddVBand="0" w:evenVBand="0" w:oddHBand="1" w:evenHBand="0" w:firstRowFirstColumn="0" w:firstRowLastColumn="0" w:lastRowFirstColumn="0" w:lastRowLastColumn="0"/>
          <w:trHeight w:val="1217"/>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tcPr>
          <w:p>
            <w:pPr>
              <w:spacing w:before="60" w:line="276" w:lineRule="auto"/>
              <w:rPr>
                <w:rFonts w:ascii="Times New Roman" w:hAnsi="Times New Roman"/>
                <w:bCs w:val="0"/>
                <w:noProof/>
                <w:sz w:val="21"/>
                <w:szCs w:val="21"/>
              </w:rPr>
            </w:pPr>
            <w:r>
              <w:rPr>
                <w:rFonts w:ascii="Times New Roman" w:hAnsi="Times New Roman"/>
                <w:noProof/>
                <w:sz w:val="21"/>
              </w:rPr>
              <w:t>a) Identification / acte de base</w:t>
            </w:r>
          </w:p>
        </w:tc>
        <w:tc>
          <w:tcPr>
            <w:tcW w:w="2176"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Décision n° 1982/2006/CE</w:t>
            </w:r>
          </w:p>
        </w:tc>
        <w:tc>
          <w:tcPr>
            <w:tcW w:w="2410"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Règlements (UE) n° 1291/2013 et (UE) n° 1290/2013</w:t>
            </w:r>
          </w:p>
        </w:tc>
        <w:tc>
          <w:tcPr>
            <w:tcW w:w="2551"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Règlement (UE)</w:t>
            </w:r>
            <w:r>
              <w:rPr>
                <w:rFonts w:ascii="Times New Roman" w:hAnsi="Times New Roman"/>
                <w:noProof/>
                <w:sz w:val="21"/>
                <w:szCs w:val="21"/>
              </w:rPr>
              <w:br/>
            </w:r>
            <w:r>
              <w:rPr>
                <w:rFonts w:ascii="Times New Roman" w:hAnsi="Times New Roman"/>
                <w:noProof/>
                <w:sz w:val="21"/>
              </w:rPr>
              <w:t>Nº 1316/2013</w:t>
            </w:r>
          </w:p>
        </w:tc>
        <w:tc>
          <w:tcPr>
            <w:tcW w:w="2268"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Règlement (UE) n° 1293/2013</w:t>
            </w:r>
          </w:p>
        </w:tc>
        <w:tc>
          <w:tcPr>
            <w:tcW w:w="2693" w:type="dxa"/>
            <w:tcBorders>
              <w:lef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lang w:val="pt-PT"/>
              </w:rPr>
            </w:pPr>
            <w:r>
              <w:rPr>
                <w:rFonts w:ascii="Times New Roman" w:hAnsi="Times New Roman"/>
                <w:noProof/>
                <w:sz w:val="21"/>
                <w:lang w:val="pt-PT"/>
              </w:rPr>
              <w:t>Règlements (UE) n° 1287/2013, (UE) nº 1291/2013 et (UE) nº 1303/2013</w:t>
            </w:r>
          </w:p>
        </w:tc>
      </w:tr>
      <w:tr>
        <w:trPr>
          <w:cnfStyle w:val="000000010000" w:firstRow="0" w:lastRow="0" w:firstColumn="0" w:lastColumn="0" w:oddVBand="0" w:evenVBand="0" w:oddHBand="0" w:evenHBand="1"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tcPr>
          <w:p>
            <w:pPr>
              <w:spacing w:before="60" w:line="276" w:lineRule="auto"/>
              <w:rPr>
                <w:rFonts w:ascii="Times New Roman" w:hAnsi="Times New Roman"/>
                <w:bCs w:val="0"/>
                <w:noProof/>
                <w:sz w:val="21"/>
                <w:szCs w:val="21"/>
              </w:rPr>
            </w:pPr>
            <w:r>
              <w:rPr>
                <w:rFonts w:ascii="Times New Roman" w:hAnsi="Times New Roman"/>
                <w:noProof/>
                <w:sz w:val="21"/>
              </w:rPr>
              <w:t>b) Description</w:t>
            </w:r>
          </w:p>
        </w:tc>
        <w:tc>
          <w:tcPr>
            <w:tcW w:w="2176" w:type="dxa"/>
            <w:tcBorders>
              <w:left w:val="single" w:sz="8" w:space="0" w:color="7BA0CD"/>
              <w:righ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Instrument de financement par l’emprunt améliorant l’accès au capital-risque des bénéficiaires finaux pour des projets de RDI</w:t>
            </w:r>
          </w:p>
        </w:tc>
        <w:tc>
          <w:tcPr>
            <w:tcW w:w="2410" w:type="dxa"/>
            <w:tcBorders>
              <w:left w:val="single" w:sz="8" w:space="0" w:color="7BA0CD"/>
              <w:righ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Instrument de financement améliorant l’accès à l'emprunt des bénéficiaires finaux investissant dans la R&amp;I</w:t>
            </w:r>
          </w:p>
        </w:tc>
        <w:tc>
          <w:tcPr>
            <w:tcW w:w="2551" w:type="dxa"/>
            <w:tcBorders>
              <w:left w:val="single" w:sz="8" w:space="0" w:color="7BA0CD"/>
              <w:righ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Instrument de partage des risques concernant des prêts/garanties/emprunts obligataires visant à faciliter le financement de projets d'infrastructures</w:t>
            </w:r>
          </w:p>
        </w:tc>
        <w:tc>
          <w:tcPr>
            <w:tcW w:w="2268" w:type="dxa"/>
            <w:tcBorders>
              <w:left w:val="single" w:sz="8" w:space="0" w:color="7BA0CD"/>
              <w:righ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Instrument de partage des risques finançant des investissements dans le capital naturel générateurs de recettes</w:t>
            </w:r>
          </w:p>
        </w:tc>
        <w:tc>
          <w:tcPr>
            <w:tcW w:w="2693" w:type="dxa"/>
            <w:tcBorders>
              <w:lef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Instrument de partage des risques visant à compléter et exploiter les synergies entre les programmes nationaux et européens existants de soutien aux PME, encourageant l’octroi de prêts supplémentaires aux PME</w:t>
            </w:r>
          </w:p>
        </w:tc>
      </w:tr>
      <w:tr>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tcPr>
          <w:p>
            <w:pPr>
              <w:spacing w:before="60" w:line="276" w:lineRule="auto"/>
              <w:rPr>
                <w:rFonts w:ascii="Times New Roman" w:hAnsi="Times New Roman"/>
                <w:bCs w:val="0"/>
                <w:noProof/>
                <w:sz w:val="21"/>
                <w:szCs w:val="21"/>
              </w:rPr>
            </w:pPr>
            <w:r>
              <w:rPr>
                <w:rFonts w:ascii="Times New Roman" w:hAnsi="Times New Roman"/>
                <w:noProof/>
                <w:sz w:val="21"/>
              </w:rPr>
              <w:t>c) Institution(s) financière(s) concernée(s)</w:t>
            </w:r>
          </w:p>
        </w:tc>
        <w:tc>
          <w:tcPr>
            <w:tcW w:w="2176"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BEI</w:t>
            </w:r>
          </w:p>
        </w:tc>
        <w:tc>
          <w:tcPr>
            <w:tcW w:w="2410"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BEI</w:t>
            </w:r>
          </w:p>
        </w:tc>
        <w:tc>
          <w:tcPr>
            <w:tcW w:w="2551"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BEI</w:t>
            </w:r>
          </w:p>
        </w:tc>
        <w:tc>
          <w:tcPr>
            <w:tcW w:w="2268"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BEI</w:t>
            </w:r>
          </w:p>
        </w:tc>
        <w:tc>
          <w:tcPr>
            <w:tcW w:w="2693" w:type="dxa"/>
            <w:tcBorders>
              <w:lef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BEI, FEI</w:t>
            </w:r>
          </w:p>
        </w:tc>
      </w:tr>
      <w:tr>
        <w:trPr>
          <w:cnfStyle w:val="000000010000" w:firstRow="0" w:lastRow="0" w:firstColumn="0" w:lastColumn="0" w:oddVBand="0" w:evenVBand="0" w:oddHBand="0" w:evenHBand="1"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tcPr>
          <w:p>
            <w:pPr>
              <w:spacing w:before="60" w:line="276" w:lineRule="auto"/>
              <w:rPr>
                <w:rFonts w:ascii="Times New Roman" w:hAnsi="Times New Roman"/>
                <w:bCs w:val="0"/>
                <w:noProof/>
                <w:sz w:val="21"/>
                <w:szCs w:val="21"/>
              </w:rPr>
            </w:pPr>
            <w:r>
              <w:rPr>
                <w:rFonts w:ascii="Times New Roman" w:hAnsi="Times New Roman"/>
                <w:noProof/>
                <w:sz w:val="21"/>
              </w:rPr>
              <w:t>d) Total des engagements et des paiements budgétaires</w:t>
            </w:r>
          </w:p>
        </w:tc>
        <w:tc>
          <w:tcPr>
            <w:tcW w:w="2176" w:type="dxa"/>
            <w:tcBorders>
              <w:left w:val="single" w:sz="8" w:space="0" w:color="7BA0CD"/>
              <w:righ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960,7  Mio EUR</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960,7 Mio EUR</w:t>
            </w:r>
          </w:p>
        </w:tc>
        <w:tc>
          <w:tcPr>
            <w:tcW w:w="2410" w:type="dxa"/>
            <w:tcBorders>
              <w:left w:val="single" w:sz="8" w:space="0" w:color="7BA0CD"/>
              <w:righ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796 Mio EUR</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786 Mio EUR</w:t>
            </w:r>
          </w:p>
        </w:tc>
        <w:tc>
          <w:tcPr>
            <w:tcW w:w="2551" w:type="dxa"/>
            <w:tcBorders>
              <w:left w:val="single" w:sz="8" w:space="0" w:color="7BA0CD"/>
              <w:righ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688,7 Mio EUR</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 xml:space="preserve">479,4 Mio EUR </w:t>
            </w:r>
          </w:p>
        </w:tc>
        <w:tc>
          <w:tcPr>
            <w:tcW w:w="2268" w:type="dxa"/>
            <w:tcBorders>
              <w:left w:val="single" w:sz="8" w:space="0" w:color="7BA0CD"/>
              <w:righ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50 Mio EUR</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11,7 Mio EUR</w:t>
            </w:r>
          </w:p>
        </w:tc>
        <w:tc>
          <w:tcPr>
            <w:tcW w:w="2693" w:type="dxa"/>
            <w:tcBorders>
              <w:lef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23,3 Mio EUR</w:t>
            </w:r>
            <w:r>
              <w:rPr>
                <w:rStyle w:val="FootnoteReference"/>
                <w:rFonts w:ascii="Times New Roman" w:hAnsi="Times New Roman"/>
                <w:noProof/>
                <w:sz w:val="21"/>
              </w:rPr>
              <w:footnoteReference w:id="11"/>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19,3 Mio EUR</w:t>
            </w:r>
          </w:p>
        </w:tc>
      </w:tr>
      <w:tr>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4F81BD" w:themeFill="accent1"/>
          </w:tcPr>
          <w:p>
            <w:pPr>
              <w:spacing w:before="60" w:line="276" w:lineRule="auto"/>
              <w:rPr>
                <w:rFonts w:ascii="Times New Roman" w:hAnsi="Times New Roman"/>
                <w:b w:val="0"/>
                <w:bCs w:val="0"/>
                <w:noProof/>
                <w:sz w:val="21"/>
                <w:szCs w:val="21"/>
              </w:rPr>
            </w:pPr>
          </w:p>
        </w:tc>
        <w:tc>
          <w:tcPr>
            <w:tcW w:w="2176" w:type="dxa"/>
            <w:tcBorders>
              <w:left w:val="single" w:sz="8" w:space="0" w:color="7BA0CD"/>
              <w:right w:val="single" w:sz="8" w:space="0" w:color="7BA0CD"/>
            </w:tcBorders>
            <w:shd w:val="clear" w:color="auto" w:fill="4F81BD" w:themeFill="accent1"/>
          </w:tcPr>
          <w:p>
            <w:pPr>
              <w:spacing w:before="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rPr>
              <w:t>Mécanisme de financement avec partage des risques — MFPR</w:t>
            </w:r>
          </w:p>
        </w:tc>
        <w:tc>
          <w:tcPr>
            <w:tcW w:w="2410" w:type="dxa"/>
            <w:tcBorders>
              <w:left w:val="single" w:sz="8" w:space="0" w:color="7BA0CD"/>
              <w:right w:val="single" w:sz="8" w:space="0" w:color="7BA0CD"/>
            </w:tcBorders>
            <w:shd w:val="clear" w:color="auto" w:fill="4F81BD" w:themeFill="accent1"/>
          </w:tcPr>
          <w:p>
            <w:pPr>
              <w:spacing w:before="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rPr>
              <w:t>Service de prêts pour la R&amp;I au titre d'Horizon 2020 — InnovFin</w:t>
            </w:r>
          </w:p>
          <w:p>
            <w:pPr>
              <w:spacing w:before="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FFFFFF"/>
                <w:sz w:val="21"/>
                <w:szCs w:val="21"/>
              </w:rPr>
            </w:pPr>
          </w:p>
        </w:tc>
        <w:tc>
          <w:tcPr>
            <w:tcW w:w="2551" w:type="dxa"/>
            <w:tcBorders>
              <w:left w:val="single" w:sz="8" w:space="0" w:color="7BA0CD"/>
              <w:right w:val="single" w:sz="8" w:space="0" w:color="7BA0CD"/>
            </w:tcBorders>
            <w:shd w:val="clear" w:color="auto" w:fill="4F81BD" w:themeFill="accent1"/>
          </w:tcPr>
          <w:p>
            <w:pPr>
              <w:spacing w:before="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rPr>
              <w:t>Instrument de partage des risques du mécanisme pour l'interconnexion en Europe («CEF DI»)</w:t>
            </w:r>
          </w:p>
        </w:tc>
        <w:tc>
          <w:tcPr>
            <w:tcW w:w="2268" w:type="dxa"/>
            <w:tcBorders>
              <w:left w:val="single" w:sz="8" w:space="0" w:color="7BA0CD"/>
              <w:right w:val="single" w:sz="8" w:space="0" w:color="7BA0CD"/>
            </w:tcBorders>
            <w:shd w:val="clear" w:color="auto" w:fill="4F81BD" w:themeFill="accent1"/>
          </w:tcPr>
          <w:p>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rPr>
              <w:t>Mécanisme de financement du capital naturel — NCFF</w:t>
            </w:r>
          </w:p>
        </w:tc>
        <w:tc>
          <w:tcPr>
            <w:tcW w:w="2693" w:type="dxa"/>
            <w:tcBorders>
              <w:left w:val="single" w:sz="8" w:space="0" w:color="7BA0CD"/>
            </w:tcBorders>
            <w:shd w:val="clear" w:color="auto" w:fill="4F81BD" w:themeFill="accent1"/>
          </w:tcPr>
          <w:p>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FFFFFF" w:themeColor="background1"/>
                <w:sz w:val="22"/>
                <w:szCs w:val="22"/>
                <w:highlight w:val="red"/>
              </w:rPr>
            </w:pPr>
            <w:r>
              <w:rPr>
                <w:rFonts w:ascii="Times New Roman" w:hAnsi="Times New Roman"/>
                <w:b/>
                <w:noProof/>
                <w:color w:val="FFFFFF"/>
                <w:sz w:val="21"/>
              </w:rPr>
              <w:t xml:space="preserve">L'initiative en faveur des PME </w:t>
            </w:r>
          </w:p>
          <w:p>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FFFFFF"/>
                <w:sz w:val="21"/>
                <w:szCs w:val="21"/>
              </w:rPr>
            </w:pPr>
          </w:p>
        </w:tc>
      </w:tr>
      <w:tr>
        <w:trPr>
          <w:cnfStyle w:val="000000010000" w:firstRow="0" w:lastRow="0" w:firstColumn="0" w:lastColumn="0" w:oddVBand="0" w:evenVBand="0" w:oddHBand="0" w:evenHBand="1" w:firstRowFirstColumn="0" w:firstRowLastColumn="0" w:lastRowFirstColumn="0" w:lastRowLastColumn="0"/>
          <w:trHeight w:val="3149"/>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D3DFEE"/>
          </w:tcPr>
          <w:p>
            <w:pPr>
              <w:spacing w:before="60" w:line="276" w:lineRule="auto"/>
              <w:rPr>
                <w:rFonts w:ascii="Times New Roman" w:hAnsi="Times New Roman"/>
                <w:bCs w:val="0"/>
                <w:noProof/>
                <w:sz w:val="21"/>
                <w:szCs w:val="21"/>
              </w:rPr>
            </w:pPr>
            <w:r>
              <w:rPr>
                <w:rFonts w:ascii="Times New Roman" w:hAnsi="Times New Roman"/>
                <w:noProof/>
                <w:sz w:val="21"/>
              </w:rPr>
              <w:t>e) Performances</w:t>
            </w:r>
          </w:p>
        </w:tc>
        <w:tc>
          <w:tcPr>
            <w:tcW w:w="2176"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Accords signés pour l’octroi d’un financement attendu de 11,3 Mrd EUR en faveur de 114 bénéficiaires finaux éligibles; le volume de financement atteint s’élève à 10,2 Mrd EUR en faveur de 112 bénéficiaires finaux éligibles;</w:t>
            </w:r>
          </w:p>
        </w:tc>
        <w:tc>
          <w:tcPr>
            <w:tcW w:w="2410"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Accords signés pour l’octroi d’un financement attendu de 5,9 Mrd EUR en faveur de 97 bénéficiaires finaux éligibles; le financement atteint s’élève à 3,5 Mrd EUR en faveur de 72 bénéficiaires finaux éligibles.</w:t>
            </w:r>
          </w:p>
        </w:tc>
        <w:tc>
          <w:tcPr>
            <w:tcW w:w="2551"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Projets à partir d’instruments fusionnés – GPTT et initiative relative aux emprunts obligataires (accords signés pour un montant de 13,8 Mrd EUR en faveur de 11 bénéficiaires finaux); 1 projet de transport (à partir de l’ancien instrument GPTT) refinancé, 1 accord de garantie signé avec une banque (nov. 2016) pour un montant de 150 Mio EUR, mais pas encore de nouveaux investissements.</w:t>
            </w:r>
          </w:p>
        </w:tc>
        <w:tc>
          <w:tcPr>
            <w:tcW w:w="2268"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 (pas encore d’opérations)</w:t>
            </w:r>
          </w:p>
        </w:tc>
        <w:tc>
          <w:tcPr>
            <w:tcW w:w="2693" w:type="dxa"/>
            <w:tcBorders>
              <w:lef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Pas encore applicable</w:t>
            </w:r>
          </w:p>
        </w:tc>
      </w:tr>
      <w:tr>
        <w:trPr>
          <w:cnfStyle w:val="000000100000" w:firstRow="0" w:lastRow="0" w:firstColumn="0" w:lastColumn="0" w:oddVBand="0" w:evenVBand="0" w:oddHBand="1"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FFFFFF" w:themeFill="background1"/>
          </w:tcPr>
          <w:p>
            <w:pPr>
              <w:spacing w:before="60" w:line="276" w:lineRule="auto"/>
              <w:rPr>
                <w:rFonts w:ascii="Times New Roman" w:hAnsi="Times New Roman"/>
                <w:bCs w:val="0"/>
                <w:noProof/>
                <w:sz w:val="21"/>
                <w:szCs w:val="21"/>
              </w:rPr>
            </w:pPr>
            <w:r>
              <w:rPr>
                <w:rFonts w:ascii="Times New Roman" w:hAnsi="Times New Roman"/>
                <w:noProof/>
                <w:sz w:val="21"/>
              </w:rPr>
              <w:t>f) Évaluation de l’utilisation des montants remboursés à l’instrument</w:t>
            </w:r>
          </w:p>
        </w:tc>
        <w:tc>
          <w:tcPr>
            <w:tcW w:w="2176"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476 Mio EUR ont été alloués au service de prêts pour la R&amp;I au titre d'Horizon 2020, InnovFin</w:t>
            </w:r>
          </w:p>
        </w:tc>
        <w:tc>
          <w:tcPr>
            <w:tcW w:w="2410"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 xml:space="preserve">6 Mio EUR ont été alloués au service de prêts pour la R&amp;I au titre d'Horizon 2020, InnovFin </w:t>
            </w:r>
          </w:p>
        </w:tc>
        <w:tc>
          <w:tcPr>
            <w:tcW w:w="2551"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c>
          <w:tcPr>
            <w:tcW w:w="2268"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c>
          <w:tcPr>
            <w:tcW w:w="2693" w:type="dxa"/>
            <w:tcBorders>
              <w:lef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r>
      <w:tr>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D3DFEE"/>
          </w:tcPr>
          <w:p>
            <w:pPr>
              <w:spacing w:before="60" w:line="276" w:lineRule="auto"/>
              <w:rPr>
                <w:rFonts w:ascii="Times New Roman" w:hAnsi="Times New Roman"/>
                <w:bCs w:val="0"/>
                <w:noProof/>
                <w:sz w:val="21"/>
                <w:szCs w:val="21"/>
              </w:rPr>
            </w:pPr>
            <w:r>
              <w:rPr>
                <w:rFonts w:ascii="Times New Roman" w:hAnsi="Times New Roman"/>
                <w:noProof/>
                <w:sz w:val="21"/>
              </w:rPr>
              <w:t>g) Solde du compte fiduciaire</w:t>
            </w:r>
            <w:r>
              <w:rPr>
                <w:rStyle w:val="FootnoteReference"/>
                <w:rFonts w:ascii="Times New Roman" w:hAnsi="Times New Roman"/>
                <w:noProof/>
                <w:sz w:val="21"/>
              </w:rPr>
              <w:footnoteReference w:id="12"/>
            </w:r>
          </w:p>
        </w:tc>
        <w:tc>
          <w:tcPr>
            <w:tcW w:w="2176"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712,3 Mio EUR</w:t>
            </w:r>
            <w:r>
              <w:rPr>
                <w:rStyle w:val="FootnoteReference"/>
                <w:rFonts w:ascii="Times New Roman" w:hAnsi="Times New Roman"/>
                <w:noProof/>
                <w:sz w:val="21"/>
              </w:rPr>
              <w:footnoteReference w:id="13"/>
            </w:r>
            <w:r>
              <w:rPr>
                <w:rFonts w:ascii="Times New Roman" w:hAnsi="Times New Roman"/>
                <w:noProof/>
                <w:highlight w:val="yellow"/>
              </w:rPr>
              <w:t xml:space="preserve"> </w:t>
            </w:r>
          </w:p>
        </w:tc>
        <w:tc>
          <w:tcPr>
            <w:tcW w:w="2410"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698  Mio EUR</w:t>
            </w:r>
          </w:p>
        </w:tc>
        <w:tc>
          <w:tcPr>
            <w:tcW w:w="2551"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492,9 Mio EUR</w:t>
            </w:r>
          </w:p>
        </w:tc>
        <w:tc>
          <w:tcPr>
            <w:tcW w:w="2268"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10,25 Mio EUR</w:t>
            </w:r>
          </w:p>
        </w:tc>
        <w:tc>
          <w:tcPr>
            <w:tcW w:w="2693" w:type="dxa"/>
            <w:tcBorders>
              <w:lef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r>
      <w:tr>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FFFFFF" w:themeFill="background1"/>
          </w:tcPr>
          <w:p>
            <w:pPr>
              <w:spacing w:before="60" w:line="276" w:lineRule="auto"/>
              <w:rPr>
                <w:rFonts w:ascii="Times New Roman" w:hAnsi="Times New Roman"/>
                <w:bCs w:val="0"/>
                <w:noProof/>
                <w:sz w:val="21"/>
                <w:szCs w:val="21"/>
              </w:rPr>
            </w:pPr>
            <w:r>
              <w:rPr>
                <w:rFonts w:ascii="Times New Roman" w:hAnsi="Times New Roman"/>
                <w:noProof/>
                <w:sz w:val="21"/>
              </w:rPr>
              <w:t>h) Recettes et remboursements</w:t>
            </w:r>
          </w:p>
        </w:tc>
        <w:tc>
          <w:tcPr>
            <w:tcW w:w="2176"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476 Mio EUR</w:t>
            </w:r>
          </w:p>
        </w:tc>
        <w:tc>
          <w:tcPr>
            <w:tcW w:w="2410"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31,5 Mio EUR</w:t>
            </w:r>
          </w:p>
        </w:tc>
        <w:tc>
          <w:tcPr>
            <w:tcW w:w="2551"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13,4 Mio EUR</w:t>
            </w:r>
          </w:p>
        </w:tc>
        <w:tc>
          <w:tcPr>
            <w:tcW w:w="2268"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c>
          <w:tcPr>
            <w:tcW w:w="2693" w:type="dxa"/>
            <w:tcBorders>
              <w:lef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r>
      <w:tr>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D3DFEE"/>
          </w:tcPr>
          <w:p>
            <w:pPr>
              <w:spacing w:before="60" w:line="276" w:lineRule="auto"/>
              <w:rPr>
                <w:rFonts w:ascii="Times New Roman" w:hAnsi="Times New Roman"/>
                <w:bCs w:val="0"/>
                <w:noProof/>
                <w:sz w:val="21"/>
                <w:szCs w:val="21"/>
              </w:rPr>
            </w:pPr>
            <w:r>
              <w:rPr>
                <w:rFonts w:ascii="Times New Roman" w:hAnsi="Times New Roman"/>
                <w:noProof/>
                <w:sz w:val="21"/>
              </w:rPr>
              <w:t>i) Valeur des investissements de fonds propres</w:t>
            </w:r>
          </w:p>
        </w:tc>
        <w:tc>
          <w:tcPr>
            <w:tcW w:w="2176"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c>
          <w:tcPr>
            <w:tcW w:w="2410"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c>
          <w:tcPr>
            <w:tcW w:w="2551"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c>
          <w:tcPr>
            <w:tcW w:w="2268"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c>
          <w:tcPr>
            <w:tcW w:w="2693" w:type="dxa"/>
            <w:tcBorders>
              <w:lef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r>
      <w:tr>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FFFFFF" w:themeFill="background1"/>
          </w:tcPr>
          <w:p>
            <w:pPr>
              <w:spacing w:before="60" w:line="276" w:lineRule="auto"/>
              <w:rPr>
                <w:rFonts w:ascii="Times New Roman" w:hAnsi="Times New Roman"/>
                <w:bCs w:val="0"/>
                <w:noProof/>
                <w:sz w:val="21"/>
                <w:szCs w:val="21"/>
              </w:rPr>
            </w:pPr>
            <w:r>
              <w:rPr>
                <w:rFonts w:ascii="Times New Roman" w:hAnsi="Times New Roman"/>
                <w:noProof/>
                <w:sz w:val="21"/>
              </w:rPr>
              <w:t>j) Dépréciations / garanties appelées</w:t>
            </w:r>
          </w:p>
        </w:tc>
        <w:tc>
          <w:tcPr>
            <w:tcW w:w="2176"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10,7 Mio EUR</w:t>
            </w:r>
          </w:p>
        </w:tc>
        <w:tc>
          <w:tcPr>
            <w:tcW w:w="2410"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91,43 Mio EUR</w:t>
            </w:r>
          </w:p>
        </w:tc>
        <w:tc>
          <w:tcPr>
            <w:tcW w:w="2551"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c>
          <w:tcPr>
            <w:tcW w:w="2268"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c>
          <w:tcPr>
            <w:tcW w:w="2693" w:type="dxa"/>
            <w:tcBorders>
              <w:lef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0,8 Mio EUR</w:t>
            </w:r>
            <w:r>
              <w:rPr>
                <w:rFonts w:ascii="Times New Roman" w:hAnsi="Times New Roman"/>
                <w:noProof/>
                <w:highlight w:val="yellow"/>
              </w:rPr>
              <w:t xml:space="preserve"> </w:t>
            </w:r>
          </w:p>
        </w:tc>
      </w:tr>
      <w:tr>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4F81BD" w:themeFill="accent1"/>
          </w:tcPr>
          <w:p>
            <w:pPr>
              <w:spacing w:before="60" w:line="276" w:lineRule="auto"/>
              <w:rPr>
                <w:rFonts w:ascii="Times New Roman" w:hAnsi="Times New Roman"/>
                <w:b w:val="0"/>
                <w:bCs w:val="0"/>
                <w:noProof/>
                <w:sz w:val="21"/>
                <w:szCs w:val="21"/>
              </w:rPr>
            </w:pPr>
          </w:p>
        </w:tc>
        <w:tc>
          <w:tcPr>
            <w:tcW w:w="2176" w:type="dxa"/>
            <w:tcBorders>
              <w:left w:val="single" w:sz="8" w:space="0" w:color="7BA0CD"/>
              <w:right w:val="single" w:sz="8" w:space="0" w:color="7BA0CD"/>
            </w:tcBorders>
            <w:shd w:val="clear" w:color="auto" w:fill="4F81BD" w:themeFill="accent1"/>
          </w:tcPr>
          <w:p>
            <w:pPr>
              <w:spacing w:before="6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rPr>
              <w:t>Mécanisme de financement avec partage des risques — MFPR</w:t>
            </w:r>
          </w:p>
        </w:tc>
        <w:tc>
          <w:tcPr>
            <w:tcW w:w="2410" w:type="dxa"/>
            <w:tcBorders>
              <w:left w:val="single" w:sz="8" w:space="0" w:color="7BA0CD"/>
              <w:right w:val="single" w:sz="8" w:space="0" w:color="7BA0CD"/>
            </w:tcBorders>
            <w:shd w:val="clear" w:color="auto" w:fill="4F81BD" w:themeFill="accent1"/>
          </w:tcPr>
          <w:p>
            <w:pPr>
              <w:spacing w:before="6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rPr>
              <w:t>Service de prêts pour la R&amp;I au titre d'Horizon 2020 — InnovFin</w:t>
            </w:r>
          </w:p>
          <w:p>
            <w:pPr>
              <w:spacing w:before="6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noProof/>
                <w:color w:val="FFFFFF"/>
                <w:sz w:val="21"/>
                <w:szCs w:val="21"/>
              </w:rPr>
            </w:pPr>
          </w:p>
        </w:tc>
        <w:tc>
          <w:tcPr>
            <w:tcW w:w="2551" w:type="dxa"/>
            <w:tcBorders>
              <w:left w:val="single" w:sz="8" w:space="0" w:color="7BA0CD"/>
              <w:right w:val="single" w:sz="8" w:space="0" w:color="7BA0CD"/>
            </w:tcBorders>
            <w:shd w:val="clear" w:color="auto" w:fill="4F81BD" w:themeFill="accent1"/>
          </w:tcPr>
          <w:p>
            <w:pPr>
              <w:spacing w:before="6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rPr>
              <w:t>Instrument de partage des risques du mécanisme pour l'interconnexion en Europe («CEF DI»)</w:t>
            </w:r>
          </w:p>
        </w:tc>
        <w:tc>
          <w:tcPr>
            <w:tcW w:w="2268" w:type="dxa"/>
            <w:tcBorders>
              <w:left w:val="single" w:sz="8" w:space="0" w:color="7BA0CD"/>
              <w:right w:val="single" w:sz="8" w:space="0" w:color="7BA0CD"/>
            </w:tcBorders>
            <w:shd w:val="clear" w:color="auto" w:fill="4F81BD" w:themeFill="accent1"/>
          </w:tcPr>
          <w:p>
            <w:pPr>
              <w:spacing w:before="60" w:after="12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rPr>
              <w:t>Mécanisme de financement du capital naturel — NCFF</w:t>
            </w:r>
          </w:p>
        </w:tc>
        <w:tc>
          <w:tcPr>
            <w:tcW w:w="2693" w:type="dxa"/>
            <w:tcBorders>
              <w:left w:val="single" w:sz="8" w:space="0" w:color="7BA0CD"/>
            </w:tcBorders>
            <w:shd w:val="clear" w:color="auto" w:fill="4F81BD" w:themeFill="accent1"/>
          </w:tcPr>
          <w:p>
            <w:pPr>
              <w:spacing w:before="60" w:after="12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rPr>
              <w:t xml:space="preserve">L'initiative en faveur des PME </w:t>
            </w:r>
          </w:p>
        </w:tc>
      </w:tr>
      <w:tr>
        <w:trPr>
          <w:cnfStyle w:val="000000100000" w:firstRow="0" w:lastRow="0" w:firstColumn="0" w:lastColumn="0" w:oddVBand="0" w:evenVBand="0" w:oddHBand="1" w:evenHBand="0" w:firstRowFirstColumn="0" w:firstRowLastColumn="0" w:lastRowFirstColumn="0" w:lastRowLastColumn="0"/>
          <w:trHeight w:val="1161"/>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tcPr>
          <w:p>
            <w:pPr>
              <w:spacing w:before="60" w:line="276" w:lineRule="auto"/>
              <w:rPr>
                <w:rFonts w:ascii="Times New Roman" w:hAnsi="Times New Roman"/>
                <w:bCs w:val="0"/>
                <w:noProof/>
                <w:sz w:val="21"/>
                <w:szCs w:val="21"/>
              </w:rPr>
            </w:pPr>
            <w:r>
              <w:rPr>
                <w:rFonts w:ascii="Times New Roman" w:hAnsi="Times New Roman"/>
                <w:noProof/>
                <w:sz w:val="21"/>
              </w:rPr>
              <w:t>k) Effet de levier</w:t>
            </w:r>
          </w:p>
        </w:tc>
        <w:tc>
          <w:tcPr>
            <w:tcW w:w="2176"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Visé: 5 à 6,5</w:t>
            </w:r>
          </w:p>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Attendu: 12</w:t>
            </w:r>
          </w:p>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Atteint: 10,6</w:t>
            </w:r>
          </w:p>
        </w:tc>
        <w:tc>
          <w:tcPr>
            <w:tcW w:w="2410"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Visé: 12,5</w:t>
            </w:r>
          </w:p>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Attendu: 7,5</w:t>
            </w:r>
          </w:p>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Atteint: 4,5</w:t>
            </w:r>
          </w:p>
        </w:tc>
        <w:tc>
          <w:tcPr>
            <w:tcW w:w="2551"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Visé: 6 à 15</w:t>
            </w:r>
          </w:p>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Attendu: 22,6</w:t>
            </w:r>
          </w:p>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Atteint: 20,1</w:t>
            </w:r>
          </w:p>
        </w:tc>
        <w:tc>
          <w:tcPr>
            <w:tcW w:w="2268"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Visé: 2 à 4</w:t>
            </w:r>
          </w:p>
        </w:tc>
        <w:tc>
          <w:tcPr>
            <w:tcW w:w="2693" w:type="dxa"/>
            <w:tcBorders>
              <w:lef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Visé: 7</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Attendu: 7</w:t>
            </w:r>
          </w:p>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Atteint: 3,2</w:t>
            </w:r>
          </w:p>
        </w:tc>
      </w:tr>
      <w:tr>
        <w:trPr>
          <w:cnfStyle w:val="000000010000" w:firstRow="0" w:lastRow="0" w:firstColumn="0" w:lastColumn="0" w:oddVBand="0" w:evenVBand="0" w:oddHBand="0" w:evenHBand="1"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3353" w:type="dxa"/>
            <w:tcBorders>
              <w:bottom w:val="single" w:sz="8" w:space="0" w:color="7BA0CD"/>
              <w:right w:val="single" w:sz="8" w:space="0" w:color="7BA0CD"/>
            </w:tcBorders>
            <w:shd w:val="clear" w:color="auto" w:fill="FFFFFF" w:themeFill="background1"/>
          </w:tcPr>
          <w:p>
            <w:pPr>
              <w:spacing w:before="60" w:line="276" w:lineRule="auto"/>
              <w:rPr>
                <w:rFonts w:ascii="Times New Roman" w:hAnsi="Times New Roman"/>
                <w:bCs w:val="0"/>
                <w:noProof/>
                <w:sz w:val="21"/>
                <w:szCs w:val="21"/>
              </w:rPr>
            </w:pPr>
            <w:r>
              <w:rPr>
                <w:rFonts w:ascii="Times New Roman" w:hAnsi="Times New Roman"/>
                <w:noProof/>
                <w:sz w:val="21"/>
              </w:rPr>
              <w:t>l) Contribution à la réalisation des objectifs du programme</w:t>
            </w:r>
          </w:p>
        </w:tc>
        <w:tc>
          <w:tcPr>
            <w:tcW w:w="2176" w:type="dxa"/>
            <w:tcBorders>
              <w:left w:val="single" w:sz="8" w:space="0" w:color="7BA0CD"/>
              <w:bottom w:val="single" w:sz="8" w:space="0" w:color="7BA0CD"/>
              <w:right w:val="single" w:sz="8" w:space="0" w:color="7BA0CD"/>
            </w:tcBorders>
            <w:shd w:val="clear" w:color="auto" w:fill="FFFFFF" w:themeFill="background1"/>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10,2 Mrd EUR de nouveaux financements par capital-risque mobilisés au profit de 112 bénéficiaires finaux éligibles;</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20,4 Mrd EUR d’investissements mobilisés;</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25 pays couverts;</w:t>
            </w:r>
          </w:p>
        </w:tc>
        <w:tc>
          <w:tcPr>
            <w:tcW w:w="2410" w:type="dxa"/>
            <w:tcBorders>
              <w:left w:val="single" w:sz="8" w:space="0" w:color="7BA0CD"/>
              <w:bottom w:val="single" w:sz="8" w:space="0" w:color="7BA0CD"/>
              <w:right w:val="single" w:sz="8" w:space="0" w:color="7BA0CD"/>
            </w:tcBorders>
            <w:shd w:val="clear" w:color="auto" w:fill="FFFFFF" w:themeFill="background1"/>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3,5 Mrd EUR de nouveaux financements par capital-risque mobilisés au profit de 72 bénéficiaires finaux éligibles;</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10,2 Mrd EUR d’investissements mobilisés;</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23 pays couverts;</w:t>
            </w:r>
          </w:p>
        </w:tc>
        <w:tc>
          <w:tcPr>
            <w:tcW w:w="2551" w:type="dxa"/>
            <w:tcBorders>
              <w:left w:val="single" w:sz="8" w:space="0" w:color="7BA0CD"/>
              <w:bottom w:val="single" w:sz="8" w:space="0" w:color="7BA0CD"/>
              <w:right w:val="single" w:sz="8" w:space="0" w:color="7BA0CD"/>
            </w:tcBorders>
            <w:shd w:val="clear" w:color="auto" w:fill="FFFFFF" w:themeFill="background1"/>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13,8 Mrd EUR d’investissements mobilisés;</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7 pays couverts;</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p>
        </w:tc>
        <w:tc>
          <w:tcPr>
            <w:tcW w:w="2268" w:type="dxa"/>
            <w:tcBorders>
              <w:left w:val="single" w:sz="8" w:space="0" w:color="7BA0CD"/>
              <w:bottom w:val="single" w:sz="8" w:space="0" w:color="7BA0CD"/>
              <w:right w:val="single" w:sz="8" w:space="0" w:color="7BA0CD"/>
            </w:tcBorders>
            <w:shd w:val="clear" w:color="auto" w:fill="FFFFFF" w:themeFill="background1"/>
          </w:tcPr>
          <w:p>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6"/>
                <w:szCs w:val="21"/>
              </w:rPr>
            </w:pPr>
          </w:p>
          <w:p>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Financement visé de 120 à 240 Mio EUR pour promouvoir la biodiversité et l’adaptation</w:t>
            </w:r>
          </w:p>
          <w:p>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 xml:space="preserve">au changement climatique. </w:t>
            </w:r>
          </w:p>
        </w:tc>
        <w:tc>
          <w:tcPr>
            <w:tcW w:w="2693" w:type="dxa"/>
            <w:tcBorders>
              <w:left w:val="single" w:sz="8" w:space="0" w:color="7BA0CD"/>
              <w:bottom w:val="single" w:sz="8" w:space="0" w:color="7BA0CD"/>
            </w:tcBorders>
            <w:shd w:val="clear" w:color="auto" w:fill="FFFFFF" w:themeFill="background1"/>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Financement visé de 5 723 Mio EUR en faveur de toutes les régions espagnoles</w:t>
            </w:r>
          </w:p>
        </w:tc>
      </w:tr>
    </w:tbl>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rPr>
          <w:rFonts w:ascii="Times New Roman" w:eastAsia="Times New Roman" w:hAnsi="Times New Roman" w:cs="Times New Roman"/>
          <w:b/>
          <w:bCs/>
          <w:noProof/>
          <w:sz w:val="24"/>
          <w:szCs w:val="24"/>
          <w:u w:val="single"/>
        </w:rPr>
      </w:pPr>
      <w:r>
        <w:rPr>
          <w:noProof/>
        </w:rPr>
        <w:br w:type="page"/>
      </w:r>
    </w:p>
    <w:p>
      <w:pPr>
        <w:pStyle w:val="Heading4"/>
        <w:spacing w:before="120"/>
        <w:rPr>
          <w:noProof/>
          <w:sz w:val="22"/>
          <w:szCs w:val="22"/>
        </w:rPr>
      </w:pPr>
      <w:r>
        <w:rPr>
          <w:noProof/>
        </w:rPr>
        <w:t>V</w:t>
      </w:r>
      <w:bookmarkStart w:id="15" w:name="_Toc399517421"/>
      <w:r>
        <w:rPr>
          <w:noProof/>
        </w:rPr>
        <w:t>ÉHICULES D’INVESTISSEMENT SPÉCIALISÉS</w:t>
      </w:r>
      <w:bookmarkEnd w:id="15"/>
    </w:p>
    <w:tbl>
      <w:tblPr>
        <w:tblStyle w:val="MediumShading1-Accent1"/>
        <w:tblW w:w="5433" w:type="pct"/>
        <w:tblInd w:w="-601" w:type="dxa"/>
        <w:tblBorders>
          <w:insideH w:val="none" w:sz="0" w:space="0" w:color="auto"/>
          <w:insideV w:val="single" w:sz="8" w:space="0" w:color="7BA0CD"/>
        </w:tblBorders>
        <w:tblLook w:val="04A0" w:firstRow="1" w:lastRow="0" w:firstColumn="1" w:lastColumn="0" w:noHBand="0" w:noVBand="1"/>
      </w:tblPr>
      <w:tblGrid>
        <w:gridCol w:w="3544"/>
        <w:gridCol w:w="3829"/>
        <w:gridCol w:w="4252"/>
        <w:gridCol w:w="3826"/>
      </w:tblGrid>
      <w:tr>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shd w:val="clear" w:color="auto" w:fill="4F81BD" w:themeFill="accent1"/>
          </w:tcPr>
          <w:p>
            <w:pPr>
              <w:spacing w:before="60" w:after="120" w:line="276" w:lineRule="auto"/>
              <w:rPr>
                <w:rFonts w:ascii="Times New Roman" w:hAnsi="Times New Roman"/>
                <w:b w:val="0"/>
                <w:bCs w:val="0"/>
                <w:noProof/>
                <w:sz w:val="21"/>
                <w:szCs w:val="21"/>
              </w:rPr>
            </w:pPr>
          </w:p>
        </w:tc>
        <w:tc>
          <w:tcPr>
            <w:tcW w:w="1239" w:type="pct"/>
            <w:tcBorders>
              <w:left w:val="single" w:sz="8" w:space="0" w:color="7BA0CD"/>
              <w:right w:val="single" w:sz="8" w:space="0" w:color="7BA0CD"/>
            </w:tcBorders>
            <w:shd w:val="clear" w:color="auto" w:fill="4F81BD" w:themeFill="accent1"/>
          </w:tcPr>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Instrument européen de microfinancement Progress — FCP-FIS</w:t>
            </w:r>
          </w:p>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(point 4.1 du document de travail)</w:t>
            </w:r>
          </w:p>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 xml:space="preserve">DG responsable: EMPL </w:t>
            </w:r>
          </w:p>
        </w:tc>
        <w:tc>
          <w:tcPr>
            <w:tcW w:w="1376" w:type="pct"/>
            <w:tcBorders>
              <w:left w:val="single" w:sz="8" w:space="0" w:color="7BA0CD"/>
              <w:right w:val="single" w:sz="8" w:space="0" w:color="7BA0CD"/>
            </w:tcBorders>
            <w:shd w:val="clear" w:color="auto" w:fill="4F81BD" w:themeFill="accent1"/>
          </w:tcPr>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Fonds européen 2020 – Fonds Marguerite</w:t>
            </w:r>
          </w:p>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(point 4.2 du document de travail)</w:t>
            </w:r>
            <w:r>
              <w:rPr>
                <w:rFonts w:ascii="Times New Roman" w:hAnsi="Times New Roman"/>
                <w:bCs w:val="0"/>
                <w:noProof/>
                <w:sz w:val="21"/>
                <w:szCs w:val="21"/>
              </w:rPr>
              <w:br/>
            </w:r>
            <w:r>
              <w:rPr>
                <w:rFonts w:ascii="Times New Roman" w:hAnsi="Times New Roman"/>
                <w:noProof/>
                <w:sz w:val="21"/>
              </w:rPr>
              <w:t>DG responsable: MOVE</w:t>
            </w:r>
          </w:p>
        </w:tc>
        <w:tc>
          <w:tcPr>
            <w:tcW w:w="1238" w:type="pct"/>
            <w:tcBorders>
              <w:left w:val="single" w:sz="8" w:space="0" w:color="7BA0CD"/>
            </w:tcBorders>
            <w:shd w:val="clear" w:color="auto" w:fill="4F81BD" w:themeFill="accent1"/>
          </w:tcPr>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Fonds européen pour l’efficacité énergétique (FEEE)</w:t>
            </w:r>
          </w:p>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rPr>
              <w:t>(point 4.3 du document de travail)</w:t>
            </w:r>
            <w:r>
              <w:rPr>
                <w:rFonts w:ascii="Times New Roman" w:hAnsi="Times New Roman"/>
                <w:bCs w:val="0"/>
                <w:noProof/>
                <w:sz w:val="21"/>
                <w:szCs w:val="21"/>
              </w:rPr>
              <w:br/>
            </w:r>
            <w:r>
              <w:rPr>
                <w:rFonts w:ascii="Times New Roman" w:hAnsi="Times New Roman"/>
                <w:noProof/>
                <w:sz w:val="21"/>
              </w:rPr>
              <w:t>DG responsable: ENER</w:t>
            </w:r>
          </w:p>
        </w:tc>
      </w:tr>
      <w:tr>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tcPr>
          <w:p>
            <w:pPr>
              <w:spacing w:before="60" w:after="120" w:line="276" w:lineRule="auto"/>
              <w:rPr>
                <w:rFonts w:ascii="Times New Roman" w:hAnsi="Times New Roman"/>
                <w:bCs w:val="0"/>
                <w:noProof/>
                <w:sz w:val="21"/>
                <w:szCs w:val="21"/>
              </w:rPr>
            </w:pPr>
            <w:r>
              <w:rPr>
                <w:rFonts w:ascii="Times New Roman" w:hAnsi="Times New Roman"/>
                <w:noProof/>
                <w:sz w:val="21"/>
              </w:rPr>
              <w:t>a) Identification / acte de base</w:t>
            </w:r>
          </w:p>
        </w:tc>
        <w:tc>
          <w:tcPr>
            <w:tcW w:w="1239" w:type="pct"/>
            <w:tcBorders>
              <w:left w:val="single" w:sz="8" w:space="0" w:color="7BA0CD"/>
              <w:righ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Décision n° 283/2010/UE</w:t>
            </w:r>
          </w:p>
        </w:tc>
        <w:tc>
          <w:tcPr>
            <w:tcW w:w="1376" w:type="pct"/>
            <w:tcBorders>
              <w:left w:val="single" w:sz="8" w:space="0" w:color="7BA0CD"/>
              <w:righ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1"/>
                <w:szCs w:val="21"/>
              </w:rPr>
            </w:pPr>
            <w:r>
              <w:rPr>
                <w:rFonts w:ascii="Times New Roman" w:hAnsi="Times New Roman"/>
                <w:noProof/>
                <w:sz w:val="21"/>
              </w:rPr>
              <w:t>Règlement (CE) nº 680/2007 et décision C(2010/941</w:t>
            </w:r>
          </w:p>
        </w:tc>
        <w:tc>
          <w:tcPr>
            <w:tcW w:w="1238" w:type="pct"/>
            <w:tcBorders>
              <w:lef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i/>
                <w:noProof/>
                <w:sz w:val="21"/>
                <w:szCs w:val="21"/>
              </w:rPr>
            </w:pPr>
            <w:r>
              <w:rPr>
                <w:rFonts w:ascii="Times New Roman" w:hAnsi="Times New Roman"/>
                <w:noProof/>
                <w:sz w:val="21"/>
              </w:rPr>
              <w:t>Règlement (UE) n° 1233/2010</w:t>
            </w:r>
          </w:p>
        </w:tc>
      </w:tr>
      <w:tr>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tcPr>
          <w:p>
            <w:pPr>
              <w:spacing w:before="60" w:after="120" w:line="276" w:lineRule="auto"/>
              <w:rPr>
                <w:rFonts w:ascii="Times New Roman" w:hAnsi="Times New Roman"/>
                <w:bCs w:val="0"/>
                <w:noProof/>
                <w:sz w:val="21"/>
                <w:szCs w:val="21"/>
              </w:rPr>
            </w:pPr>
            <w:r>
              <w:rPr>
                <w:rFonts w:ascii="Times New Roman" w:hAnsi="Times New Roman"/>
                <w:noProof/>
                <w:sz w:val="21"/>
              </w:rPr>
              <w:t>b) Description</w:t>
            </w:r>
          </w:p>
        </w:tc>
        <w:tc>
          <w:tcPr>
            <w:tcW w:w="1239" w:type="pct"/>
            <w:tcBorders>
              <w:left w:val="single" w:sz="8" w:space="0" w:color="7BA0CD"/>
              <w:righ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Copropriété de fait d'actions et d’autres actifs éligibles visant à augmenter l’accès à la micro-finance</w:t>
            </w:r>
          </w:p>
        </w:tc>
        <w:tc>
          <w:tcPr>
            <w:tcW w:w="1376" w:type="pct"/>
            <w:tcBorders>
              <w:left w:val="single" w:sz="8" w:space="0" w:color="7BA0CD"/>
              <w:righ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Fonds paneuropéen de capital-investissement soutenant les investissements à long terme dans les infrastructures des secteurs des transports, de l’énergie et des énergies renouvelables dans l'UE</w:t>
            </w:r>
          </w:p>
        </w:tc>
        <w:tc>
          <w:tcPr>
            <w:tcW w:w="1238" w:type="pct"/>
            <w:tcBorders>
              <w:lef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Fonds d’investissement spécialisé (SICAV SIF) investissant dans des projets liés à l’efficacité énergétique, aux énergies renouvelables et aux transports urbains propres</w:t>
            </w:r>
          </w:p>
        </w:tc>
      </w:tr>
      <w:tr>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tcPr>
          <w:p>
            <w:pPr>
              <w:spacing w:before="60" w:after="120" w:line="276" w:lineRule="auto"/>
              <w:rPr>
                <w:rFonts w:ascii="Times New Roman" w:hAnsi="Times New Roman"/>
                <w:bCs w:val="0"/>
                <w:noProof/>
                <w:sz w:val="21"/>
                <w:szCs w:val="21"/>
              </w:rPr>
            </w:pPr>
            <w:r>
              <w:rPr>
                <w:rFonts w:ascii="Times New Roman" w:hAnsi="Times New Roman"/>
                <w:noProof/>
                <w:sz w:val="21"/>
              </w:rPr>
              <w:t>c) Institution(s) financière(s) concernée(s)</w:t>
            </w:r>
          </w:p>
        </w:tc>
        <w:tc>
          <w:tcPr>
            <w:tcW w:w="1239" w:type="pct"/>
            <w:tcBorders>
              <w:left w:val="single" w:sz="8" w:space="0" w:color="7BA0CD"/>
              <w:righ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FEI (gestionnaire)</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BEI (co-investisseur)</w:t>
            </w:r>
          </w:p>
        </w:tc>
        <w:tc>
          <w:tcPr>
            <w:tcW w:w="1376" w:type="pct"/>
            <w:tcBorders>
              <w:left w:val="single" w:sz="8" w:space="0" w:color="7BA0CD"/>
              <w:righ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Co-investisseurs: France (CDC), Italie (CdP), Allemagne (KfW), Espagne (ICO), Pologne (PKO) et BEI</w:t>
            </w:r>
          </w:p>
        </w:tc>
        <w:tc>
          <w:tcPr>
            <w:tcW w:w="1238" w:type="pct"/>
            <w:tcBorders>
              <w:lef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BEI (entité chargée de l’exécution, investisseur), Deutsche Bank (gestionnaire des investissements, investisseur), CDP (investisseur)</w:t>
            </w:r>
          </w:p>
        </w:tc>
      </w:tr>
      <w:tr>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tcPr>
          <w:p>
            <w:pPr>
              <w:spacing w:before="60" w:after="120" w:line="276" w:lineRule="auto"/>
              <w:rPr>
                <w:rFonts w:ascii="Times New Roman" w:hAnsi="Times New Roman"/>
                <w:bCs w:val="0"/>
                <w:noProof/>
                <w:sz w:val="21"/>
                <w:szCs w:val="21"/>
              </w:rPr>
            </w:pPr>
            <w:r>
              <w:rPr>
                <w:rFonts w:ascii="Times New Roman" w:hAnsi="Times New Roman"/>
                <w:noProof/>
                <w:sz w:val="21"/>
              </w:rPr>
              <w:t>d) Total des engagements et des paiements budgétaires</w:t>
            </w:r>
          </w:p>
        </w:tc>
        <w:tc>
          <w:tcPr>
            <w:tcW w:w="1239" w:type="pct"/>
            <w:tcBorders>
              <w:left w:val="single" w:sz="8" w:space="0" w:color="7BA0CD"/>
              <w:righ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80 Mio EUR</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80 Mio EUR</w:t>
            </w:r>
          </w:p>
        </w:tc>
        <w:tc>
          <w:tcPr>
            <w:tcW w:w="1376" w:type="pct"/>
            <w:tcBorders>
              <w:left w:val="single" w:sz="8" w:space="0" w:color="7BA0CD"/>
              <w:righ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80 Mio EUR</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highlight w:val="yellow"/>
              </w:rPr>
            </w:pPr>
            <w:r>
              <w:rPr>
                <w:rFonts w:ascii="Times New Roman" w:hAnsi="Times New Roman"/>
                <w:noProof/>
                <w:sz w:val="21"/>
              </w:rPr>
              <w:t>43,7 Mio EUR</w:t>
            </w:r>
          </w:p>
        </w:tc>
        <w:tc>
          <w:tcPr>
            <w:tcW w:w="1238" w:type="pct"/>
            <w:tcBorders>
              <w:lef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146,3 Mio EUR</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116,2 Mio EUR</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tcPr>
          <w:p>
            <w:pPr>
              <w:spacing w:before="60" w:after="120" w:line="276" w:lineRule="auto"/>
              <w:rPr>
                <w:rFonts w:ascii="Times New Roman" w:hAnsi="Times New Roman"/>
                <w:b w:val="0"/>
                <w:noProof/>
                <w:sz w:val="21"/>
                <w:szCs w:val="21"/>
              </w:rPr>
            </w:pPr>
            <w:r>
              <w:rPr>
                <w:rFonts w:ascii="Times New Roman" w:hAnsi="Times New Roman"/>
                <w:noProof/>
                <w:sz w:val="21"/>
              </w:rPr>
              <w:t>e) Performances</w:t>
            </w:r>
          </w:p>
          <w:p>
            <w:pPr>
              <w:spacing w:line="276" w:lineRule="auto"/>
              <w:rPr>
                <w:rFonts w:ascii="Times New Roman" w:hAnsi="Times New Roman"/>
                <w:b w:val="0"/>
                <w:bCs w:val="0"/>
                <w:noProof/>
                <w:sz w:val="21"/>
                <w:szCs w:val="21"/>
              </w:rPr>
            </w:pPr>
          </w:p>
          <w:p>
            <w:pPr>
              <w:spacing w:line="276" w:lineRule="auto"/>
              <w:rPr>
                <w:rFonts w:ascii="Times New Roman" w:hAnsi="Times New Roman"/>
                <w:b w:val="0"/>
                <w:bCs w:val="0"/>
                <w:noProof/>
                <w:sz w:val="21"/>
                <w:szCs w:val="21"/>
              </w:rPr>
            </w:pPr>
          </w:p>
          <w:p>
            <w:pPr>
              <w:spacing w:line="276" w:lineRule="auto"/>
              <w:jc w:val="center"/>
              <w:rPr>
                <w:rFonts w:ascii="Times New Roman" w:hAnsi="Times New Roman"/>
                <w:noProof/>
                <w:sz w:val="21"/>
                <w:szCs w:val="21"/>
              </w:rPr>
            </w:pPr>
          </w:p>
        </w:tc>
        <w:tc>
          <w:tcPr>
            <w:tcW w:w="1239" w:type="pct"/>
            <w:tcBorders>
              <w:left w:val="single" w:sz="8" w:space="0" w:color="7BA0CD"/>
              <w:righ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50 accords signés pour l’octroi d’un financement attendu de 402,3 Mio EUR en faveur de plus de 60 062 bénéficiaires finaux éligibles</w:t>
            </w:r>
          </w:p>
        </w:tc>
        <w:tc>
          <w:tcPr>
            <w:tcW w:w="1376" w:type="pct"/>
            <w:tcBorders>
              <w:left w:val="single" w:sz="8" w:space="0" w:color="7BA0CD"/>
              <w:righ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 xml:space="preserve"> 710 Mio EUR de financement attendu sous la forme de fonds propres (au niveau du fonds Marguerite) en faveur de 20 à 30 projets; À l’heure actuelle, 12 projets financés pour un engagement total en fonds propres de 455 Mio EUR au niveau du fonds (fonds propres au niveau du projet: 1,8 Mrd EUR)</w:t>
            </w:r>
          </w:p>
        </w:tc>
        <w:tc>
          <w:tcPr>
            <w:tcW w:w="1238" w:type="pct"/>
            <w:tcBorders>
              <w:lef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highlight w:val="yellow"/>
              </w:rPr>
            </w:pPr>
            <w:r>
              <w:rPr>
                <w:rFonts w:ascii="Times New Roman" w:hAnsi="Times New Roman"/>
                <w:noProof/>
                <w:sz w:val="21"/>
              </w:rPr>
              <w:t>237 Mio EUR de financement attendu, sous la forme de fonds propres (au niveau du fonds EEE) en faveur de 20 à 30 projets; À noter: le FEEE est ouvert aux nouveaux investisseurs et peut continuer à se développer</w:t>
            </w:r>
          </w:p>
        </w:tc>
      </w:tr>
      <w:tr>
        <w:tblPrEx>
          <w:tblBorders>
            <w:insideH w:val="single" w:sz="8" w:space="0" w:color="7BA0CD"/>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8DB3E2" w:themeColor="text2" w:themeTint="66"/>
            </w:tcBorders>
          </w:tcPr>
          <w:p>
            <w:pPr>
              <w:spacing w:before="60" w:after="120" w:line="276" w:lineRule="auto"/>
              <w:rPr>
                <w:rFonts w:ascii="Times New Roman" w:hAnsi="Times New Roman"/>
                <w:bCs w:val="0"/>
                <w:noProof/>
                <w:sz w:val="21"/>
                <w:szCs w:val="21"/>
              </w:rPr>
            </w:pPr>
            <w:r>
              <w:rPr>
                <w:rFonts w:ascii="Times New Roman" w:hAnsi="Times New Roman"/>
                <w:noProof/>
                <w:sz w:val="21"/>
              </w:rPr>
              <w:t>f) Évaluation de l’utilisation des montants remboursés à l’instrument</w:t>
            </w:r>
          </w:p>
        </w:tc>
        <w:tc>
          <w:tcPr>
            <w:tcW w:w="1239" w:type="pct"/>
            <w:tcBorders>
              <w:left w:val="single" w:sz="4" w:space="0" w:color="8DB3E2" w:themeColor="text2" w:themeTint="66"/>
              <w:right w:val="single" w:sz="4" w:space="0" w:color="8DB3E2" w:themeColor="text2" w:themeTint="66"/>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c>
          <w:tcPr>
            <w:tcW w:w="1376" w:type="pct"/>
            <w:tcBorders>
              <w:left w:val="single" w:sz="4" w:space="0" w:color="8DB3E2" w:themeColor="text2" w:themeTint="66"/>
              <w:right w:val="single" w:sz="4" w:space="0" w:color="8DB3E2" w:themeColor="text2" w:themeTint="66"/>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c>
          <w:tcPr>
            <w:tcW w:w="1238" w:type="pct"/>
            <w:tcBorders>
              <w:left w:val="single" w:sz="4" w:space="0" w:color="8DB3E2" w:themeColor="text2" w:themeTint="66"/>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r>
      <w:tr>
        <w:tblPrEx>
          <w:tblBorders>
            <w:insideH w:val="single" w:sz="8" w:space="0" w:color="7BA0CD"/>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8DB3E2" w:themeColor="text2" w:themeTint="66"/>
            </w:tcBorders>
          </w:tcPr>
          <w:p>
            <w:pPr>
              <w:spacing w:before="60" w:after="120" w:line="276" w:lineRule="auto"/>
              <w:rPr>
                <w:rFonts w:ascii="Times New Roman" w:hAnsi="Times New Roman"/>
                <w:bCs w:val="0"/>
                <w:noProof/>
                <w:sz w:val="21"/>
                <w:szCs w:val="21"/>
              </w:rPr>
            </w:pPr>
            <w:r>
              <w:rPr>
                <w:rFonts w:ascii="Times New Roman" w:hAnsi="Times New Roman"/>
                <w:noProof/>
                <w:sz w:val="21"/>
              </w:rPr>
              <w:t>g) Solde du compte fiduciaire</w:t>
            </w:r>
            <w:r>
              <w:rPr>
                <w:rStyle w:val="FootnoteReference"/>
                <w:rFonts w:ascii="Times New Roman" w:hAnsi="Times New Roman"/>
                <w:noProof/>
                <w:sz w:val="21"/>
              </w:rPr>
              <w:footnoteReference w:id="14"/>
            </w:r>
          </w:p>
        </w:tc>
        <w:tc>
          <w:tcPr>
            <w:tcW w:w="1239" w:type="pct"/>
            <w:tcBorders>
              <w:left w:val="single" w:sz="4" w:space="0" w:color="8DB3E2" w:themeColor="text2" w:themeTint="66"/>
              <w:right w:val="single" w:sz="4" w:space="0" w:color="8DB3E2" w:themeColor="text2" w:themeTint="66"/>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c>
          <w:tcPr>
            <w:tcW w:w="1376" w:type="pct"/>
            <w:tcBorders>
              <w:left w:val="single" w:sz="4" w:space="0" w:color="8DB3E2" w:themeColor="text2" w:themeTint="66"/>
              <w:right w:val="single" w:sz="4" w:space="0" w:color="8DB3E2" w:themeColor="text2" w:themeTint="66"/>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Sans objet</w:t>
            </w:r>
          </w:p>
        </w:tc>
        <w:tc>
          <w:tcPr>
            <w:tcW w:w="1238" w:type="pct"/>
            <w:tcBorders>
              <w:left w:val="single" w:sz="4" w:space="0" w:color="8DB3E2" w:themeColor="text2" w:themeTint="66"/>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8 Mio EUR</w:t>
            </w:r>
            <w:r>
              <w:rPr>
                <w:rFonts w:ascii="Times New Roman" w:hAnsi="Times New Roman"/>
                <w:noProof/>
                <w:highlight w:val="yellow"/>
              </w:rPr>
              <w:t xml:space="preserve"> </w:t>
            </w:r>
          </w:p>
        </w:tc>
      </w:tr>
      <w:tr>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shd w:val="clear" w:color="auto" w:fill="4F81BD" w:themeFill="accent1"/>
          </w:tcPr>
          <w:p>
            <w:pPr>
              <w:spacing w:before="60" w:after="120" w:line="276" w:lineRule="auto"/>
              <w:rPr>
                <w:rFonts w:ascii="Times New Roman" w:hAnsi="Times New Roman"/>
                <w:bCs w:val="0"/>
                <w:noProof/>
                <w:color w:val="FFFFFF" w:themeColor="background1"/>
                <w:sz w:val="21"/>
                <w:szCs w:val="21"/>
              </w:rPr>
            </w:pPr>
          </w:p>
        </w:tc>
        <w:tc>
          <w:tcPr>
            <w:tcW w:w="1239" w:type="pct"/>
            <w:tcBorders>
              <w:left w:val="single" w:sz="8" w:space="0" w:color="7BA0CD"/>
              <w:right w:val="single" w:sz="8" w:space="0" w:color="7BA0CD"/>
            </w:tcBorders>
            <w:shd w:val="clear" w:color="auto" w:fill="4F81BD" w:themeFill="accent1"/>
          </w:tcPr>
          <w:p>
            <w:pPr>
              <w:spacing w:before="60" w:after="12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bCs/>
                <w:noProof/>
                <w:color w:val="FFFFFF" w:themeColor="background1"/>
                <w:sz w:val="21"/>
                <w:szCs w:val="21"/>
              </w:rPr>
            </w:pPr>
            <w:r>
              <w:rPr>
                <w:rFonts w:ascii="Times New Roman" w:hAnsi="Times New Roman"/>
                <w:b/>
                <w:noProof/>
                <w:color w:val="FFFFFF" w:themeColor="background1"/>
                <w:sz w:val="21"/>
              </w:rPr>
              <w:t>Instrument européen de microfinancement Progress — FCP-FIS</w:t>
            </w:r>
          </w:p>
        </w:tc>
        <w:tc>
          <w:tcPr>
            <w:tcW w:w="1376" w:type="pct"/>
            <w:tcBorders>
              <w:left w:val="single" w:sz="8" w:space="0" w:color="7BA0CD"/>
              <w:right w:val="single" w:sz="8" w:space="0" w:color="7BA0CD"/>
            </w:tcBorders>
            <w:shd w:val="clear" w:color="auto" w:fill="4F81BD" w:themeFill="accent1"/>
          </w:tcPr>
          <w:p>
            <w:pPr>
              <w:spacing w:before="60" w:after="12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bCs/>
                <w:noProof/>
                <w:color w:val="FFFFFF" w:themeColor="background1"/>
                <w:sz w:val="21"/>
                <w:szCs w:val="21"/>
              </w:rPr>
            </w:pPr>
            <w:r>
              <w:rPr>
                <w:rFonts w:ascii="Times New Roman" w:hAnsi="Times New Roman"/>
                <w:b/>
                <w:noProof/>
                <w:color w:val="FFFFFF" w:themeColor="background1"/>
                <w:sz w:val="21"/>
              </w:rPr>
              <w:t xml:space="preserve">Fonds européen 2020 – Fonds Marguerite </w:t>
            </w:r>
          </w:p>
        </w:tc>
        <w:tc>
          <w:tcPr>
            <w:tcW w:w="1238" w:type="pct"/>
            <w:tcBorders>
              <w:left w:val="single" w:sz="8" w:space="0" w:color="7BA0CD"/>
            </w:tcBorders>
            <w:shd w:val="clear" w:color="auto" w:fill="4F81BD" w:themeFill="accent1"/>
          </w:tcPr>
          <w:p>
            <w:pPr>
              <w:spacing w:before="60" w:after="12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bCs/>
                <w:noProof/>
                <w:color w:val="FFFFFF" w:themeColor="background1"/>
                <w:sz w:val="21"/>
                <w:szCs w:val="21"/>
              </w:rPr>
            </w:pPr>
            <w:r>
              <w:rPr>
                <w:rFonts w:ascii="Times New Roman" w:hAnsi="Times New Roman"/>
                <w:b/>
                <w:noProof/>
                <w:color w:val="FFFFFF" w:themeColor="background1"/>
                <w:sz w:val="21"/>
              </w:rPr>
              <w:t xml:space="preserve">Fonds européen pour l’efficacité énergétique (FEEE) </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shd w:val="clear" w:color="auto" w:fill="auto"/>
          </w:tcPr>
          <w:p>
            <w:pPr>
              <w:spacing w:before="60" w:after="120" w:line="276" w:lineRule="auto"/>
              <w:rPr>
                <w:rFonts w:ascii="Times New Roman" w:hAnsi="Times New Roman"/>
                <w:bCs w:val="0"/>
                <w:noProof/>
                <w:sz w:val="21"/>
                <w:szCs w:val="21"/>
              </w:rPr>
            </w:pPr>
            <w:r>
              <w:rPr>
                <w:rFonts w:ascii="Times New Roman" w:hAnsi="Times New Roman"/>
                <w:noProof/>
                <w:sz w:val="21"/>
              </w:rPr>
              <w:t>h) Recettes et remboursements</w:t>
            </w:r>
          </w:p>
        </w:tc>
        <w:tc>
          <w:tcPr>
            <w:tcW w:w="1239" w:type="pct"/>
            <w:tcBorders>
              <w:left w:val="single" w:sz="8" w:space="0" w:color="7BA0CD"/>
              <w:righ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0 EUR (du point de vue budgétaire)</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i/>
                <w:noProof/>
                <w:sz w:val="21"/>
                <w:szCs w:val="21"/>
              </w:rPr>
            </w:pPr>
            <w:r>
              <w:rPr>
                <w:rFonts w:ascii="Times New Roman" w:hAnsi="Times New Roman"/>
                <w:i/>
                <w:noProof/>
                <w:sz w:val="21"/>
              </w:rPr>
              <w:t xml:space="preserve">Note: </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i/>
                <w:noProof/>
                <w:sz w:val="21"/>
                <w:szCs w:val="21"/>
              </w:rPr>
            </w:pPr>
            <w:r>
              <w:rPr>
                <w:rFonts w:ascii="Times New Roman" w:hAnsi="Times New Roman"/>
                <w:i/>
                <w:noProof/>
                <w:sz w:val="21"/>
              </w:rPr>
              <w:t>3,5 Mio EUR de recettes en 2016 et 16,8 Mio EUR de recettes cumulées</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i/>
                <w:noProof/>
                <w:sz w:val="21"/>
              </w:rPr>
              <w:t>15,1 Mio EUR de remboursements en 2016 et 24,8 Mio EUR de remboursements cumulés</w:t>
            </w:r>
          </w:p>
        </w:tc>
        <w:tc>
          <w:tcPr>
            <w:tcW w:w="1376" w:type="pct"/>
            <w:tcBorders>
              <w:left w:val="single" w:sz="8" w:space="0" w:color="7BA0CD"/>
              <w:righ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0 EUR</w:t>
            </w:r>
          </w:p>
        </w:tc>
        <w:tc>
          <w:tcPr>
            <w:tcW w:w="1238" w:type="pct"/>
            <w:tcBorders>
              <w:lef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Recettes pour 2016: 4,5 Mio EUR (chiffre non vérifié)</w:t>
            </w:r>
            <w:r>
              <w:rPr>
                <w:rFonts w:ascii="Times New Roman" w:hAnsi="Times New Roman"/>
                <w:noProof/>
                <w:sz w:val="21"/>
                <w:szCs w:val="21"/>
              </w:rPr>
              <w:br/>
            </w:r>
          </w:p>
        </w:tc>
      </w:tr>
      <w:tr>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shd w:val="clear" w:color="auto" w:fill="D3DFEE"/>
          </w:tcPr>
          <w:p>
            <w:pPr>
              <w:spacing w:before="60" w:after="120" w:line="276" w:lineRule="auto"/>
              <w:rPr>
                <w:rFonts w:ascii="Times New Roman" w:hAnsi="Times New Roman"/>
                <w:bCs w:val="0"/>
                <w:noProof/>
                <w:sz w:val="21"/>
                <w:szCs w:val="21"/>
              </w:rPr>
            </w:pPr>
            <w:r>
              <w:rPr>
                <w:rFonts w:ascii="Times New Roman" w:hAnsi="Times New Roman"/>
                <w:noProof/>
                <w:sz w:val="21"/>
              </w:rPr>
              <w:t>i) Valeur des investissements de fonds propres</w:t>
            </w:r>
          </w:p>
        </w:tc>
        <w:tc>
          <w:tcPr>
            <w:tcW w:w="1239" w:type="pct"/>
            <w:tcBorders>
              <w:left w:val="single" w:sz="8" w:space="0" w:color="7BA0CD"/>
              <w:right w:val="single" w:sz="8" w:space="0" w:color="7BA0CD"/>
            </w:tcBorders>
            <w:shd w:val="clear" w:color="auto" w:fill="D3DFEE"/>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Valeur liquidative: 75,1 Mio EUR</w:t>
            </w:r>
          </w:p>
        </w:tc>
        <w:tc>
          <w:tcPr>
            <w:tcW w:w="1376" w:type="pct"/>
            <w:tcBorders>
              <w:left w:val="single" w:sz="8" w:space="0" w:color="7BA0CD"/>
              <w:right w:val="single" w:sz="8" w:space="0" w:color="7BA0CD"/>
            </w:tcBorders>
            <w:shd w:val="clear" w:color="auto" w:fill="D3DFEE"/>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Valeur liquidative: 54 Mio EUR</w:t>
            </w:r>
          </w:p>
        </w:tc>
        <w:tc>
          <w:tcPr>
            <w:tcW w:w="1238" w:type="pct"/>
            <w:tcBorders>
              <w:left w:val="single" w:sz="8" w:space="0" w:color="7BA0CD"/>
            </w:tcBorders>
            <w:shd w:val="clear" w:color="auto" w:fill="D3DFEE"/>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Valeur liquidative: 97,1 Mio EUR</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shd w:val="clear" w:color="auto" w:fill="auto"/>
          </w:tcPr>
          <w:p>
            <w:pPr>
              <w:spacing w:before="60" w:after="120" w:line="276" w:lineRule="auto"/>
              <w:rPr>
                <w:rFonts w:ascii="Times New Roman" w:hAnsi="Times New Roman"/>
                <w:bCs w:val="0"/>
                <w:noProof/>
                <w:sz w:val="21"/>
                <w:szCs w:val="21"/>
              </w:rPr>
            </w:pPr>
            <w:r>
              <w:rPr>
                <w:rFonts w:ascii="Times New Roman" w:hAnsi="Times New Roman"/>
                <w:noProof/>
                <w:sz w:val="21"/>
              </w:rPr>
              <w:t>j) Dépréciations / garanties appelées</w:t>
            </w:r>
          </w:p>
        </w:tc>
        <w:tc>
          <w:tcPr>
            <w:tcW w:w="1239" w:type="pct"/>
            <w:tcBorders>
              <w:left w:val="single" w:sz="8" w:space="0" w:color="7BA0CD"/>
              <w:righ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0 EUR</w:t>
            </w:r>
          </w:p>
        </w:tc>
        <w:tc>
          <w:tcPr>
            <w:tcW w:w="1376" w:type="pct"/>
            <w:tcBorders>
              <w:left w:val="single" w:sz="8" w:space="0" w:color="7BA0CD"/>
              <w:righ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0 EUR</w:t>
            </w:r>
          </w:p>
        </w:tc>
        <w:tc>
          <w:tcPr>
            <w:tcW w:w="1238" w:type="pct"/>
            <w:tcBorders>
              <w:lef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0 EUR</w:t>
            </w:r>
          </w:p>
        </w:tc>
      </w:tr>
      <w:tr>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shd w:val="clear" w:color="auto" w:fill="D3DFEE"/>
          </w:tcPr>
          <w:p>
            <w:pPr>
              <w:spacing w:before="60" w:after="120" w:line="276" w:lineRule="auto"/>
              <w:rPr>
                <w:rFonts w:ascii="Times New Roman" w:hAnsi="Times New Roman"/>
                <w:bCs w:val="0"/>
                <w:noProof/>
                <w:sz w:val="21"/>
                <w:szCs w:val="21"/>
              </w:rPr>
            </w:pPr>
            <w:r>
              <w:rPr>
                <w:rFonts w:ascii="Times New Roman" w:hAnsi="Times New Roman"/>
                <w:noProof/>
                <w:sz w:val="21"/>
              </w:rPr>
              <w:t>k) Effet de levier</w:t>
            </w:r>
          </w:p>
        </w:tc>
        <w:tc>
          <w:tcPr>
            <w:tcW w:w="1239" w:type="pct"/>
            <w:tcBorders>
              <w:left w:val="single" w:sz="8" w:space="0" w:color="7BA0CD"/>
              <w:right w:val="single" w:sz="8" w:space="0" w:color="7BA0CD"/>
            </w:tcBorders>
            <w:shd w:val="clear" w:color="auto" w:fill="D3DFEE"/>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Visé: 2,83</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Attendu: 5,02</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Atteint: 2,95</w:t>
            </w:r>
          </w:p>
        </w:tc>
        <w:tc>
          <w:tcPr>
            <w:tcW w:w="1376" w:type="pct"/>
            <w:tcBorders>
              <w:left w:val="single" w:sz="8" w:space="0" w:color="7BA0CD"/>
              <w:right w:val="single" w:sz="8" w:space="0" w:color="7BA0CD"/>
            </w:tcBorders>
            <w:shd w:val="clear" w:color="auto" w:fill="D3DFEE"/>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rPr>
              <w:t>Atteint: 42</w:t>
            </w:r>
          </w:p>
        </w:tc>
        <w:tc>
          <w:tcPr>
            <w:tcW w:w="1238" w:type="pct"/>
            <w:tcBorders>
              <w:left w:val="single" w:sz="8" w:space="0" w:color="7BA0CD"/>
            </w:tcBorders>
            <w:shd w:val="clear" w:color="auto" w:fill="D3DFEE"/>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highlight w:val="yellow"/>
              </w:rPr>
            </w:pPr>
            <w:r>
              <w:rPr>
                <w:rFonts w:ascii="Times New Roman" w:hAnsi="Times New Roman"/>
                <w:noProof/>
                <w:sz w:val="21"/>
              </w:rPr>
              <w:t>Atteint: 2,2</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bottom w:val="single" w:sz="8" w:space="0" w:color="7BA0CD"/>
              <w:right w:val="single" w:sz="8" w:space="0" w:color="7BA0CD"/>
            </w:tcBorders>
            <w:shd w:val="clear" w:color="auto" w:fill="auto"/>
          </w:tcPr>
          <w:p>
            <w:pPr>
              <w:spacing w:before="60" w:after="120" w:line="276" w:lineRule="auto"/>
              <w:rPr>
                <w:rFonts w:ascii="Times New Roman" w:hAnsi="Times New Roman"/>
                <w:bCs w:val="0"/>
                <w:noProof/>
                <w:sz w:val="21"/>
                <w:szCs w:val="21"/>
              </w:rPr>
            </w:pPr>
            <w:r>
              <w:rPr>
                <w:rFonts w:ascii="Times New Roman" w:hAnsi="Times New Roman"/>
                <w:noProof/>
                <w:sz w:val="21"/>
              </w:rPr>
              <w:t>l) Contribution à la réalisation des objectifs du programme</w:t>
            </w:r>
          </w:p>
        </w:tc>
        <w:tc>
          <w:tcPr>
            <w:tcW w:w="1239" w:type="pct"/>
            <w:tcBorders>
              <w:left w:val="single" w:sz="8" w:space="0" w:color="7BA0CD"/>
              <w:bottom w:val="single" w:sz="8" w:space="0" w:color="7BA0CD"/>
              <w:righ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236,06 Mio EUR de nouveaux financements mobilisés, sous la forme de 35 241 micro-crédits au profit de 32 428 bénéficiaires finaux;</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337,2 Mio EUR d’investissements mobilisés;</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16 États membres couverts.</w:t>
            </w:r>
          </w:p>
        </w:tc>
        <w:tc>
          <w:tcPr>
            <w:tcW w:w="1376" w:type="pct"/>
            <w:tcBorders>
              <w:left w:val="single" w:sz="8" w:space="0" w:color="7BA0CD"/>
              <w:bottom w:val="single" w:sz="8" w:space="0" w:color="7BA0CD"/>
              <w:righ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455 Mio EUR de nouveaux financements mobilisés, sous la forme de fonds propres, en faveur de 12 projets (bénéficiaires finaux);</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5,4 Mrd EUR d’investissements mobilisés au total (instruments de dette et de fonds propres);</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rPr>
              <w:t>9 pays couverts.</w:t>
            </w:r>
          </w:p>
        </w:tc>
        <w:tc>
          <w:tcPr>
            <w:tcW w:w="1238" w:type="pct"/>
            <w:tcBorders>
              <w:left w:val="single" w:sz="8" w:space="0" w:color="7BA0CD"/>
              <w:bottom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highlight w:val="yellow"/>
              </w:rPr>
            </w:pPr>
            <w:r>
              <w:rPr>
                <w:rFonts w:ascii="Times New Roman" w:hAnsi="Times New Roman"/>
                <w:noProof/>
                <w:sz w:val="21"/>
              </w:rPr>
              <w:t>121 Mio EUR de nouveaux financements mobilisés, sous la forme de fonds propres, en faveur de 11 projets, représentant un investissement total de 224 Mio EUR</w:t>
            </w:r>
          </w:p>
        </w:tc>
      </w:tr>
    </w:tbl>
    <w:p>
      <w:pPr>
        <w:pStyle w:val="Heading4"/>
        <w:spacing w:before="120"/>
        <w:rPr>
          <w:noProof/>
          <w:sz w:val="22"/>
          <w:szCs w:val="22"/>
        </w:rPr>
      </w:pPr>
      <w:bookmarkStart w:id="16" w:name="_Toc420402803"/>
      <w:bookmarkStart w:id="17" w:name="_Toc420402856"/>
      <w:bookmarkStart w:id="18" w:name="_Toc420402804"/>
      <w:bookmarkStart w:id="19" w:name="_Toc420402857"/>
      <w:bookmarkStart w:id="20" w:name="_Toc399517422"/>
      <w:bookmarkEnd w:id="16"/>
      <w:bookmarkEnd w:id="17"/>
      <w:bookmarkEnd w:id="18"/>
      <w:bookmarkEnd w:id="19"/>
      <w:r>
        <w:rPr>
          <w:noProof/>
        </w:rPr>
        <w:br w:type="page"/>
      </w:r>
      <w:r>
        <w:rPr>
          <w:noProof/>
          <w:sz w:val="22"/>
        </w:rPr>
        <w:t>INSTRUMENTS FINANCIERS POUR LES PAYS CANDIDATS OU CANDIDATS POTENTIELS À L’ADHÉSION</w:t>
      </w:r>
      <w:bookmarkEnd w:id="20"/>
    </w:p>
    <w:tbl>
      <w:tblPr>
        <w:tblW w:w="5433" w:type="pct"/>
        <w:tblInd w:w="-60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4285"/>
        <w:gridCol w:w="3666"/>
        <w:gridCol w:w="3683"/>
        <w:gridCol w:w="3817"/>
      </w:tblGrid>
      <w:tr>
        <w:tc>
          <w:tcPr>
            <w:tcW w:w="4285" w:type="dxa"/>
            <w:shd w:val="clear" w:color="auto" w:fill="4F81BD" w:themeFill="accent1"/>
          </w:tcPr>
          <w:p>
            <w:pPr>
              <w:rPr>
                <w:rFonts w:ascii="Times New Roman" w:hAnsi="Times New Roman" w:cs="Times New Roman"/>
                <w:b/>
                <w:bCs/>
                <w:noProof/>
                <w:color w:val="FFFFFF"/>
                <w:sz w:val="21"/>
                <w:szCs w:val="21"/>
              </w:rPr>
            </w:pPr>
          </w:p>
        </w:tc>
        <w:tc>
          <w:tcPr>
            <w:tcW w:w="3666"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Facilité de garantie dans le cadre du WB EDIF</w:t>
            </w:r>
            <w:r>
              <w:rPr>
                <w:rStyle w:val="FootnoteReference"/>
                <w:rFonts w:ascii="Times New Roman" w:hAnsi="Times New Roman"/>
                <w:b/>
                <w:noProof/>
                <w:color w:val="FFFFFF" w:themeColor="background1"/>
                <w:sz w:val="21"/>
              </w:rPr>
              <w:footnoteReference w:id="15"/>
            </w:r>
            <w:r>
              <w:rPr>
                <w:rFonts w:ascii="Times New Roman" w:hAnsi="Times New Roman"/>
                <w:b/>
                <w:noProof/>
                <w:color w:val="FFFFFF" w:themeColor="background1"/>
                <w:sz w:val="21"/>
              </w:rPr>
              <w:t xml:space="preserve"> — GF WB 1</w:t>
            </w:r>
          </w:p>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(point 5.1 du document de travail)</w:t>
            </w:r>
          </w:p>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DG responsable: NEAR</w:t>
            </w:r>
          </w:p>
        </w:tc>
        <w:tc>
          <w:tcPr>
            <w:tcW w:w="3683"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Facilité de garantie II dans le cadre du WB EDIF</w:t>
            </w:r>
            <w:r>
              <w:rPr>
                <w:rStyle w:val="FootnoteReference"/>
                <w:rFonts w:ascii="Times New Roman" w:hAnsi="Times New Roman"/>
                <w:b/>
                <w:noProof/>
                <w:color w:val="FFFFFF" w:themeColor="background1"/>
                <w:sz w:val="21"/>
              </w:rPr>
              <w:footnoteReference w:id="16"/>
            </w:r>
            <w:r>
              <w:rPr>
                <w:rFonts w:ascii="Times New Roman" w:hAnsi="Times New Roman"/>
                <w:b/>
                <w:noProof/>
                <w:color w:val="FFFFFF" w:themeColor="background1"/>
                <w:sz w:val="21"/>
              </w:rPr>
              <w:t xml:space="preserve"> — GF WB 2</w:t>
            </w:r>
          </w:p>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(point 5.2 du document de travail)</w:t>
            </w:r>
          </w:p>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DG responsable: NEAR</w:t>
            </w:r>
          </w:p>
        </w:tc>
        <w:tc>
          <w:tcPr>
            <w:tcW w:w="3817"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Fonds pour le développement des entreprises — ENEF</w:t>
            </w:r>
            <w:r>
              <w:rPr>
                <w:rStyle w:val="FootnoteReference"/>
                <w:rFonts w:ascii="Times New Roman" w:hAnsi="Times New Roman"/>
                <w:b/>
                <w:noProof/>
                <w:color w:val="FFFFFF" w:themeColor="background1"/>
                <w:sz w:val="21"/>
              </w:rPr>
              <w:footnoteReference w:id="17"/>
            </w:r>
          </w:p>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(point 5.3 du document de travail)</w:t>
            </w:r>
          </w:p>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DG responsable: NEAR</w:t>
            </w:r>
          </w:p>
        </w:tc>
      </w:tr>
      <w:tr>
        <w:tc>
          <w:tcPr>
            <w:tcW w:w="4285"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a) Identification / acte de base</w:t>
            </w:r>
          </w:p>
        </w:tc>
        <w:tc>
          <w:tcPr>
            <w:tcW w:w="366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Règlement (CE) n° 1085/2006 du Conseil</w:t>
            </w:r>
          </w:p>
        </w:tc>
        <w:tc>
          <w:tcPr>
            <w:tcW w:w="3683"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Règlement (CE) n° 231/2014</w:t>
            </w:r>
          </w:p>
        </w:tc>
        <w:tc>
          <w:tcPr>
            <w:tcW w:w="3817" w:type="dxa"/>
            <w:shd w:val="clear" w:color="auto" w:fill="D3DFEE"/>
          </w:tcPr>
          <w:p>
            <w:pPr>
              <w:spacing w:before="60" w:after="120" w:line="240" w:lineRule="auto"/>
              <w:rPr>
                <w:rFonts w:ascii="Times New Roman" w:hAnsi="Times New Roman" w:cs="Times New Roman"/>
                <w:i/>
                <w:noProof/>
                <w:sz w:val="21"/>
                <w:szCs w:val="21"/>
              </w:rPr>
            </w:pPr>
            <w:r>
              <w:rPr>
                <w:rFonts w:ascii="Times New Roman" w:hAnsi="Times New Roman"/>
                <w:noProof/>
                <w:sz w:val="21"/>
              </w:rPr>
              <w:t>Règlement (CE) n° 1085/2006 du Conseil</w:t>
            </w:r>
          </w:p>
        </w:tc>
      </w:tr>
      <w:tr>
        <w:tc>
          <w:tcPr>
            <w:tcW w:w="4285"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b) Description</w:t>
            </w:r>
          </w:p>
        </w:tc>
        <w:tc>
          <w:tcPr>
            <w:tcW w:w="366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Instrument de garantie visant à créer des conditions propices à l’émergence et à la croissance de PME innovantes à haut potentiel dans les Balkans occidentaux</w:t>
            </w:r>
          </w:p>
        </w:tc>
        <w:tc>
          <w:tcPr>
            <w:tcW w:w="3683"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Suite directe du WB EDIF GF 1; Instrument de garantie visant à créer des conditions propices à l’émergence et à la croissance de PME innovantes à haut potentiel dans les Balkans occidentaux</w:t>
            </w:r>
          </w:p>
        </w:tc>
        <w:tc>
          <w:tcPr>
            <w:tcW w:w="381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Instrument de capitaux propres pour le financement du développement et l’apport de capital d’expansion dans des PME établies dans les Balkans occidentaux</w:t>
            </w:r>
          </w:p>
        </w:tc>
      </w:tr>
      <w:tr>
        <w:trPr>
          <w:trHeight w:val="853"/>
        </w:trPr>
        <w:tc>
          <w:tcPr>
            <w:tcW w:w="4285"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c) Institution(s) financière(s) concernée(s)</w:t>
            </w:r>
          </w:p>
        </w:tc>
        <w:tc>
          <w:tcPr>
            <w:tcW w:w="366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FEI</w:t>
            </w:r>
          </w:p>
        </w:tc>
        <w:tc>
          <w:tcPr>
            <w:tcW w:w="3683"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FEI</w:t>
            </w:r>
          </w:p>
        </w:tc>
        <w:tc>
          <w:tcPr>
            <w:tcW w:w="381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FEI (mandataire)</w:t>
            </w:r>
          </w:p>
          <w:p>
            <w:pPr>
              <w:spacing w:before="60" w:after="120" w:line="240" w:lineRule="auto"/>
              <w:rPr>
                <w:rFonts w:ascii="Times New Roman" w:hAnsi="Times New Roman" w:cs="Times New Roman"/>
                <w:noProof/>
                <w:sz w:val="21"/>
                <w:szCs w:val="21"/>
              </w:rPr>
            </w:pPr>
            <w:r>
              <w:rPr>
                <w:rFonts w:ascii="Times New Roman" w:hAnsi="Times New Roman"/>
                <w:noProof/>
                <w:sz w:val="21"/>
              </w:rPr>
              <w:t>BERD, DEG, OeEB</w:t>
            </w:r>
          </w:p>
        </w:tc>
      </w:tr>
      <w:tr>
        <w:tc>
          <w:tcPr>
            <w:tcW w:w="4285"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d) Total des engagements et des paiements budgétaires</w:t>
            </w:r>
          </w:p>
        </w:tc>
        <w:tc>
          <w:tcPr>
            <w:tcW w:w="366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21,9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21,9 Mio EUR</w:t>
            </w:r>
          </w:p>
        </w:tc>
        <w:tc>
          <w:tcPr>
            <w:tcW w:w="3683"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17,5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10 Mio EUR</w:t>
            </w:r>
          </w:p>
        </w:tc>
        <w:tc>
          <w:tcPr>
            <w:tcW w:w="381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11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10,4 Mio EUR</w:t>
            </w:r>
          </w:p>
        </w:tc>
      </w:tr>
      <w:tr>
        <w:tc>
          <w:tcPr>
            <w:tcW w:w="4285"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e) Performances</w:t>
            </w:r>
          </w:p>
        </w:tc>
        <w:tc>
          <w:tcPr>
            <w:tcW w:w="366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6 contrats signés avec des banques pour l'octroi d'un financement attendu de 117,9 Mio EUR aux bénéficiaires finaux</w:t>
            </w:r>
          </w:p>
        </w:tc>
        <w:tc>
          <w:tcPr>
            <w:tcW w:w="3683"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 xml:space="preserve">Financement attendu: 107 millions d'EUR  </w:t>
            </w:r>
          </w:p>
        </w:tc>
        <w:tc>
          <w:tcPr>
            <w:tcW w:w="381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97 Mio EUR (environ) de financement attendu, sous la forme de fonds propres (au niveau du fonds ENEF) en faveur de 15 bénéficiaires finaux environ; financement atteint: 4,75 Mio EUR en faveur de 3 bénéficiaires finaux.</w:t>
            </w:r>
          </w:p>
        </w:tc>
      </w:tr>
      <w:tr>
        <w:tc>
          <w:tcPr>
            <w:tcW w:w="4285" w:type="dxa"/>
            <w:shd w:val="clear" w:color="auto" w:fill="4F81BD" w:themeFill="accent1"/>
          </w:tcPr>
          <w:p>
            <w:pPr>
              <w:rPr>
                <w:rFonts w:ascii="Times New Roman" w:hAnsi="Times New Roman" w:cs="Times New Roman"/>
                <w:b/>
                <w:bCs/>
                <w:noProof/>
                <w:color w:val="FFFFFF"/>
                <w:sz w:val="21"/>
                <w:szCs w:val="21"/>
              </w:rPr>
            </w:pPr>
          </w:p>
        </w:tc>
        <w:tc>
          <w:tcPr>
            <w:tcW w:w="3666"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Facilité de garantie dans le cadre du WB EDIF</w:t>
            </w:r>
            <w:r>
              <w:rPr>
                <w:rStyle w:val="FootnoteReference"/>
                <w:rFonts w:ascii="Times New Roman" w:hAnsi="Times New Roman"/>
                <w:b/>
                <w:noProof/>
                <w:color w:val="FFFFFF" w:themeColor="background1"/>
                <w:sz w:val="21"/>
              </w:rPr>
              <w:footnoteReference w:id="18"/>
            </w:r>
            <w:r>
              <w:rPr>
                <w:rFonts w:ascii="Times New Roman" w:hAnsi="Times New Roman"/>
                <w:b/>
                <w:noProof/>
                <w:color w:val="FFFFFF" w:themeColor="background1"/>
                <w:sz w:val="21"/>
              </w:rPr>
              <w:t xml:space="preserve"> — GF WB 1</w:t>
            </w:r>
          </w:p>
        </w:tc>
        <w:tc>
          <w:tcPr>
            <w:tcW w:w="3683"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Facilité de garantie II dans le cadre du WB EDIF</w:t>
            </w:r>
            <w:r>
              <w:rPr>
                <w:rStyle w:val="FootnoteReference"/>
                <w:rFonts w:ascii="Times New Roman" w:hAnsi="Times New Roman"/>
                <w:b/>
                <w:noProof/>
                <w:color w:val="FFFFFF" w:themeColor="background1"/>
                <w:sz w:val="21"/>
              </w:rPr>
              <w:footnoteReference w:id="19"/>
            </w:r>
            <w:r>
              <w:rPr>
                <w:rFonts w:ascii="Times New Roman" w:hAnsi="Times New Roman"/>
                <w:b/>
                <w:noProof/>
                <w:color w:val="FFFFFF" w:themeColor="background1"/>
                <w:sz w:val="21"/>
              </w:rPr>
              <w:t xml:space="preserve"> — GF WB 2</w:t>
            </w:r>
          </w:p>
        </w:tc>
        <w:tc>
          <w:tcPr>
            <w:tcW w:w="3817"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Fonds pour le développement des entreprises — ENEF</w:t>
            </w:r>
            <w:r>
              <w:rPr>
                <w:rStyle w:val="FootnoteReference"/>
                <w:rFonts w:ascii="Times New Roman" w:hAnsi="Times New Roman"/>
                <w:b/>
                <w:noProof/>
                <w:color w:val="FFFFFF" w:themeColor="background1"/>
                <w:sz w:val="21"/>
              </w:rPr>
              <w:footnoteReference w:id="20"/>
            </w:r>
          </w:p>
        </w:tc>
      </w:tr>
      <w:tr>
        <w:tc>
          <w:tcPr>
            <w:tcW w:w="4285"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f) Évaluation de l’utilisation des montants remboursés à l’instrument</w:t>
            </w:r>
          </w:p>
        </w:tc>
        <w:tc>
          <w:tcPr>
            <w:tcW w:w="366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0,003 Mio EUR</w:t>
            </w:r>
          </w:p>
        </w:tc>
        <w:tc>
          <w:tcPr>
            <w:tcW w:w="3683"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381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r>
      <w:tr>
        <w:trPr>
          <w:trHeight w:val="450"/>
        </w:trPr>
        <w:tc>
          <w:tcPr>
            <w:tcW w:w="4285"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g) Solde du compte fiduciaire</w:t>
            </w:r>
            <w:r>
              <w:rPr>
                <w:rStyle w:val="FootnoteReference"/>
                <w:rFonts w:ascii="Times New Roman" w:hAnsi="Times New Roman"/>
                <w:b/>
                <w:noProof/>
                <w:sz w:val="21"/>
              </w:rPr>
              <w:footnoteReference w:id="21"/>
            </w:r>
          </w:p>
        </w:tc>
        <w:tc>
          <w:tcPr>
            <w:tcW w:w="366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19,34 Mio EUR</w:t>
            </w:r>
          </w:p>
        </w:tc>
        <w:tc>
          <w:tcPr>
            <w:tcW w:w="3683"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9,6 Mio EUR</w:t>
            </w:r>
          </w:p>
        </w:tc>
        <w:tc>
          <w:tcPr>
            <w:tcW w:w="381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9,79 Mio EUR</w:t>
            </w:r>
            <w:r>
              <w:rPr>
                <w:rFonts w:ascii="Times New Roman" w:hAnsi="Times New Roman"/>
                <w:noProof/>
              </w:rPr>
              <w:t xml:space="preserve"> </w:t>
            </w:r>
          </w:p>
        </w:tc>
      </w:tr>
      <w:tr>
        <w:tc>
          <w:tcPr>
            <w:tcW w:w="4285"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h) Recettes et remboursements</w:t>
            </w:r>
          </w:p>
        </w:tc>
        <w:tc>
          <w:tcPr>
            <w:tcW w:w="366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0,02 Mio EUR</w:t>
            </w:r>
          </w:p>
        </w:tc>
        <w:tc>
          <w:tcPr>
            <w:tcW w:w="3683"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0 EUR</w:t>
            </w:r>
          </w:p>
        </w:tc>
        <w:tc>
          <w:tcPr>
            <w:tcW w:w="381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r>
      <w:tr>
        <w:trPr>
          <w:trHeight w:val="907"/>
        </w:trPr>
        <w:tc>
          <w:tcPr>
            <w:tcW w:w="4285"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i) Valeur des investissements de fonds propres</w:t>
            </w:r>
          </w:p>
        </w:tc>
        <w:tc>
          <w:tcPr>
            <w:tcW w:w="366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3683"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381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1,22 Mio EUR</w:t>
            </w:r>
            <w:r>
              <w:rPr>
                <w:rFonts w:ascii="Times New Roman" w:hAnsi="Times New Roman"/>
                <w:noProof/>
              </w:rPr>
              <w:t xml:space="preserve"> </w:t>
            </w:r>
          </w:p>
        </w:tc>
      </w:tr>
      <w:tr>
        <w:tc>
          <w:tcPr>
            <w:tcW w:w="4285"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j) Dépréciations / garanties appelées</w:t>
            </w:r>
          </w:p>
        </w:tc>
        <w:tc>
          <w:tcPr>
            <w:tcW w:w="366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0,51 Mio EUR</w:t>
            </w:r>
            <w:r>
              <w:rPr>
                <w:rFonts w:ascii="Times New Roman" w:hAnsi="Times New Roman"/>
                <w:noProof/>
              </w:rPr>
              <w:t xml:space="preserve"> </w:t>
            </w:r>
          </w:p>
        </w:tc>
        <w:tc>
          <w:tcPr>
            <w:tcW w:w="3683"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0 EUR</w:t>
            </w:r>
          </w:p>
        </w:tc>
        <w:tc>
          <w:tcPr>
            <w:tcW w:w="381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0 EUR</w:t>
            </w:r>
          </w:p>
        </w:tc>
      </w:tr>
      <w:tr>
        <w:tc>
          <w:tcPr>
            <w:tcW w:w="4285"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k) Effet de levier</w:t>
            </w:r>
          </w:p>
        </w:tc>
        <w:tc>
          <w:tcPr>
            <w:tcW w:w="366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Visé: 7</w:t>
            </w:r>
          </w:p>
          <w:p>
            <w:pPr>
              <w:spacing w:before="60" w:after="120" w:line="240" w:lineRule="auto"/>
              <w:rPr>
                <w:rFonts w:ascii="Times New Roman" w:hAnsi="Times New Roman" w:cs="Times New Roman"/>
                <w:noProof/>
                <w:sz w:val="21"/>
                <w:szCs w:val="21"/>
              </w:rPr>
            </w:pPr>
            <w:r>
              <w:rPr>
                <w:rFonts w:ascii="Times New Roman" w:hAnsi="Times New Roman"/>
                <w:noProof/>
                <w:sz w:val="21"/>
              </w:rPr>
              <w:t>Atteint: 5,4</w:t>
            </w:r>
          </w:p>
        </w:tc>
        <w:tc>
          <w:tcPr>
            <w:tcW w:w="3683"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Visé: 4 à 5,2</w:t>
            </w:r>
          </w:p>
          <w:p>
            <w:pPr>
              <w:spacing w:before="60" w:after="120" w:line="240" w:lineRule="auto"/>
              <w:rPr>
                <w:rFonts w:ascii="Times New Roman" w:hAnsi="Times New Roman" w:cs="Times New Roman"/>
                <w:noProof/>
                <w:sz w:val="21"/>
                <w:szCs w:val="21"/>
              </w:rPr>
            </w:pPr>
            <w:r>
              <w:rPr>
                <w:rFonts w:ascii="Times New Roman" w:hAnsi="Times New Roman"/>
                <w:noProof/>
                <w:sz w:val="21"/>
              </w:rPr>
              <w:t>Attendu: 6,1</w:t>
            </w:r>
          </w:p>
        </w:tc>
        <w:tc>
          <w:tcPr>
            <w:tcW w:w="381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Visé: 10</w:t>
            </w:r>
          </w:p>
          <w:p>
            <w:pPr>
              <w:spacing w:before="60" w:after="120" w:line="240" w:lineRule="auto"/>
              <w:rPr>
                <w:rFonts w:ascii="Times New Roman" w:hAnsi="Times New Roman" w:cs="Times New Roman"/>
                <w:noProof/>
                <w:sz w:val="21"/>
                <w:szCs w:val="21"/>
              </w:rPr>
            </w:pPr>
            <w:r>
              <w:rPr>
                <w:rFonts w:ascii="Times New Roman" w:hAnsi="Times New Roman"/>
                <w:noProof/>
                <w:sz w:val="21"/>
              </w:rPr>
              <w:t>Attendu: 8,8</w:t>
            </w:r>
          </w:p>
          <w:p>
            <w:pPr>
              <w:spacing w:before="60" w:after="120" w:line="240" w:lineRule="auto"/>
              <w:rPr>
                <w:rFonts w:ascii="Times New Roman" w:hAnsi="Times New Roman" w:cs="Times New Roman"/>
                <w:noProof/>
                <w:sz w:val="21"/>
                <w:szCs w:val="21"/>
              </w:rPr>
            </w:pPr>
            <w:r>
              <w:rPr>
                <w:rFonts w:ascii="Times New Roman" w:hAnsi="Times New Roman"/>
                <w:noProof/>
                <w:sz w:val="21"/>
              </w:rPr>
              <w:t>Atteint: 0,4</w:t>
            </w:r>
          </w:p>
        </w:tc>
      </w:tr>
      <w:tr>
        <w:trPr>
          <w:trHeight w:val="761"/>
        </w:trPr>
        <w:tc>
          <w:tcPr>
            <w:tcW w:w="4285"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l) Contribution à la réalisation des objectifs du programme</w:t>
            </w:r>
          </w:p>
        </w:tc>
        <w:tc>
          <w:tcPr>
            <w:tcW w:w="366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117,9 Mio EUR de financement atteint au profit de 1 430 bénéficiaires finaux.</w:t>
            </w:r>
          </w:p>
        </w:tc>
        <w:tc>
          <w:tcPr>
            <w:tcW w:w="3683"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 xml:space="preserve">Pas encore disponible (6 opérations avec des intermédiaires financiers (banques) sont en préparation). </w:t>
            </w:r>
          </w:p>
        </w:tc>
        <w:tc>
          <w:tcPr>
            <w:tcW w:w="381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4,75 Mio EUR de nouveaux financements mobilisés au profit de 3 bénéficiaires.</w:t>
            </w:r>
          </w:p>
        </w:tc>
      </w:tr>
    </w:tbl>
    <w:p>
      <w:pPr>
        <w:jc w:val="both"/>
        <w:rPr>
          <w:rFonts w:ascii="Times New Roman" w:hAnsi="Times New Roman" w:cs="Times New Roman"/>
          <w:noProof/>
        </w:rPr>
      </w:pPr>
    </w:p>
    <w:tbl>
      <w:tblPr>
        <w:tblW w:w="5433" w:type="pct"/>
        <w:tblInd w:w="-60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3600"/>
        <w:gridCol w:w="2998"/>
        <w:gridCol w:w="2998"/>
        <w:gridCol w:w="2998"/>
        <w:gridCol w:w="2857"/>
      </w:tblGrid>
      <w:tr>
        <w:tc>
          <w:tcPr>
            <w:tcW w:w="3600" w:type="dxa"/>
            <w:shd w:val="clear" w:color="auto" w:fill="4F81BD" w:themeFill="accent1"/>
          </w:tcPr>
          <w:p>
            <w:pPr>
              <w:rPr>
                <w:rFonts w:ascii="Times New Roman" w:hAnsi="Times New Roman" w:cs="Times New Roman"/>
                <w:b/>
                <w:bCs/>
                <w:noProof/>
                <w:color w:val="FFFFFF"/>
                <w:sz w:val="21"/>
                <w:szCs w:val="21"/>
              </w:rPr>
            </w:pPr>
          </w:p>
        </w:tc>
        <w:tc>
          <w:tcPr>
            <w:tcW w:w="2998"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Fonds pour l’innovation des entreprises — ENIF</w:t>
            </w:r>
            <w:r>
              <w:rPr>
                <w:rStyle w:val="FootnoteReference"/>
                <w:rFonts w:ascii="Times New Roman" w:hAnsi="Times New Roman"/>
                <w:b/>
                <w:noProof/>
                <w:color w:val="FFFFFF" w:themeColor="background1"/>
                <w:sz w:val="21"/>
              </w:rPr>
              <w:footnoteReference w:id="22"/>
            </w:r>
          </w:p>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(point 5.4 du document de travail)</w:t>
            </w:r>
          </w:p>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DG responsable: NEAR</w:t>
            </w:r>
          </w:p>
        </w:tc>
        <w:tc>
          <w:tcPr>
            <w:tcW w:w="2998"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Fonds européen pour l’Europe du Sud-Est — FEESE</w:t>
            </w:r>
          </w:p>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(point 5.5 du document de travail)</w:t>
            </w:r>
          </w:p>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DG responsable: NEAR</w:t>
            </w:r>
          </w:p>
        </w:tc>
        <w:tc>
          <w:tcPr>
            <w:tcW w:w="2998"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Fonds pour une croissance verte — FCV</w:t>
            </w:r>
          </w:p>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(point 5.6 du document de travail)</w:t>
            </w:r>
          </w:p>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DG responsable: NEAR</w:t>
            </w:r>
          </w:p>
        </w:tc>
        <w:tc>
          <w:tcPr>
            <w:tcW w:w="2857"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Prêt d’appui à la relance des PME en Turquie — RSL</w:t>
            </w:r>
          </w:p>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(point 5.7 du document de travail)</w:t>
            </w:r>
          </w:p>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DG responsable: NEAR</w:t>
            </w:r>
          </w:p>
        </w:tc>
      </w:tr>
      <w:tr>
        <w:trPr>
          <w:trHeight w:val="564"/>
        </w:trPr>
        <w:tc>
          <w:tcPr>
            <w:tcW w:w="3600"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a) Identification / acte de base</w:t>
            </w:r>
          </w:p>
        </w:tc>
        <w:tc>
          <w:tcPr>
            <w:tcW w:w="2998" w:type="dxa"/>
            <w:shd w:val="clear" w:color="auto" w:fill="D3DFEE"/>
          </w:tcPr>
          <w:p>
            <w:pPr>
              <w:spacing w:before="60" w:after="120" w:line="240" w:lineRule="auto"/>
              <w:rPr>
                <w:rFonts w:ascii="Times New Roman" w:eastAsia="Times New Roman" w:hAnsi="Times New Roman" w:cs="Times New Roman"/>
                <w:noProof/>
                <w:sz w:val="21"/>
                <w:szCs w:val="21"/>
              </w:rPr>
            </w:pPr>
            <w:r>
              <w:rPr>
                <w:rFonts w:ascii="Times New Roman" w:hAnsi="Times New Roman"/>
                <w:noProof/>
                <w:sz w:val="21"/>
              </w:rPr>
              <w:t>Règlement (CE) n° 1085/2006 du Conseil</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Règlement (CE) n° 1085/2006 du Conseil</w:t>
            </w:r>
          </w:p>
        </w:tc>
        <w:tc>
          <w:tcPr>
            <w:tcW w:w="2998" w:type="dxa"/>
            <w:shd w:val="clear" w:color="auto" w:fill="D3DFEE"/>
          </w:tcPr>
          <w:p>
            <w:pPr>
              <w:spacing w:before="60" w:after="120" w:line="240" w:lineRule="auto"/>
              <w:rPr>
                <w:rFonts w:ascii="Times New Roman" w:hAnsi="Times New Roman" w:cs="Times New Roman"/>
                <w:i/>
                <w:noProof/>
                <w:sz w:val="21"/>
                <w:szCs w:val="21"/>
              </w:rPr>
            </w:pPr>
            <w:r>
              <w:rPr>
                <w:rFonts w:ascii="Times New Roman" w:hAnsi="Times New Roman"/>
                <w:noProof/>
                <w:sz w:val="21"/>
              </w:rPr>
              <w:t>Règlement (CE) n° 1085/2006 du Conseil</w:t>
            </w:r>
          </w:p>
        </w:tc>
        <w:tc>
          <w:tcPr>
            <w:tcW w:w="2857" w:type="dxa"/>
            <w:shd w:val="clear" w:color="auto" w:fill="D3DFEE"/>
          </w:tcPr>
          <w:p>
            <w:pPr>
              <w:spacing w:before="60" w:after="120" w:line="240" w:lineRule="auto"/>
              <w:rPr>
                <w:rFonts w:ascii="Times New Roman" w:eastAsia="Times New Roman" w:hAnsi="Times New Roman" w:cs="Times New Roman"/>
                <w:noProof/>
                <w:sz w:val="21"/>
                <w:szCs w:val="21"/>
              </w:rPr>
            </w:pPr>
            <w:r>
              <w:rPr>
                <w:rFonts w:ascii="Times New Roman" w:hAnsi="Times New Roman"/>
                <w:noProof/>
                <w:sz w:val="21"/>
              </w:rPr>
              <w:t>Règlement (CE) n° 1085/2006 du Conseil</w:t>
            </w:r>
          </w:p>
        </w:tc>
      </w:tr>
      <w:tr>
        <w:trPr>
          <w:trHeight w:val="1296"/>
        </w:trPr>
        <w:tc>
          <w:tcPr>
            <w:tcW w:w="3600"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b) Description</w:t>
            </w:r>
          </w:p>
        </w:tc>
        <w:tc>
          <w:tcPr>
            <w:tcW w:w="2998"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Instrument de capitaux propres pour le financement de PME innovantes en phase de démarrage dans les Balkans occidentaux</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Partenariat public-privé destiné à aider le développement du secteur privé dans les pays concernés par l'élargissement en soutenant les PME</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Fonds d'innovation permettant de financer des projets relatifs à l'efficacité énergétique et aux énergies renouvelables dans l'Europe du Sud-Est et en Turquie</w:t>
            </w:r>
          </w:p>
        </w:tc>
        <w:tc>
          <w:tcPr>
            <w:tcW w:w="2857"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Instrument de cofinancement servant à atténuer les effets de la crise et à soutenir les PME afin de développer l’économie turque</w:t>
            </w:r>
          </w:p>
        </w:tc>
      </w:tr>
      <w:tr>
        <w:trPr>
          <w:trHeight w:val="1004"/>
        </w:trPr>
        <w:tc>
          <w:tcPr>
            <w:tcW w:w="3600"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c) Institution(s) financière(s) concernée(s)</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FEI (mandataire)</w:t>
            </w:r>
          </w:p>
          <w:p>
            <w:pPr>
              <w:spacing w:before="60" w:after="120" w:line="240" w:lineRule="auto"/>
              <w:rPr>
                <w:rFonts w:ascii="Times New Roman" w:hAnsi="Times New Roman" w:cs="Times New Roman"/>
                <w:noProof/>
                <w:sz w:val="21"/>
                <w:szCs w:val="21"/>
              </w:rPr>
            </w:pPr>
            <w:r>
              <w:rPr>
                <w:rFonts w:ascii="Times New Roman" w:hAnsi="Times New Roman"/>
                <w:noProof/>
                <w:sz w:val="21"/>
              </w:rPr>
              <w:t>BERD, KfW</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FEI (mandataire)</w:t>
            </w:r>
          </w:p>
          <w:p>
            <w:pPr>
              <w:spacing w:before="60" w:after="120" w:line="240" w:lineRule="auto"/>
              <w:rPr>
                <w:rFonts w:ascii="Times New Roman" w:hAnsi="Times New Roman" w:cs="Times New Roman"/>
                <w:noProof/>
                <w:sz w:val="21"/>
                <w:szCs w:val="21"/>
              </w:rPr>
            </w:pPr>
            <w:r>
              <w:rPr>
                <w:rFonts w:ascii="Times New Roman" w:hAnsi="Times New Roman"/>
                <w:noProof/>
                <w:sz w:val="21"/>
              </w:rPr>
              <w:t>Autres investisseurs (p. ex. BERD, KfW, BEI)</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FEI (mandataire)</w:t>
            </w:r>
          </w:p>
          <w:p>
            <w:pPr>
              <w:spacing w:before="60" w:after="120" w:line="240" w:lineRule="auto"/>
              <w:rPr>
                <w:rFonts w:ascii="Times New Roman" w:hAnsi="Times New Roman" w:cs="Times New Roman"/>
                <w:noProof/>
                <w:sz w:val="21"/>
                <w:szCs w:val="21"/>
              </w:rPr>
            </w:pPr>
            <w:r>
              <w:rPr>
                <w:rFonts w:ascii="Times New Roman" w:hAnsi="Times New Roman"/>
                <w:noProof/>
                <w:sz w:val="21"/>
              </w:rPr>
              <w:t>Co-investisseurs (p. ex. BEI, BERD, KfW)</w:t>
            </w:r>
          </w:p>
        </w:tc>
        <w:tc>
          <w:tcPr>
            <w:tcW w:w="285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BEI (partenaire du partage des risques)</w:t>
            </w:r>
          </w:p>
          <w:p>
            <w:pPr>
              <w:spacing w:before="60" w:after="120" w:line="240" w:lineRule="auto"/>
              <w:rPr>
                <w:rFonts w:ascii="Times New Roman" w:hAnsi="Times New Roman" w:cs="Times New Roman"/>
                <w:noProof/>
                <w:sz w:val="21"/>
                <w:szCs w:val="21"/>
              </w:rPr>
            </w:pPr>
            <w:r>
              <w:rPr>
                <w:rFonts w:ascii="Times New Roman" w:hAnsi="Times New Roman"/>
                <w:noProof/>
                <w:sz w:val="21"/>
              </w:rPr>
              <w:t>Halkbank, Akbank</w:t>
            </w:r>
          </w:p>
        </w:tc>
      </w:tr>
      <w:tr>
        <w:trPr>
          <w:trHeight w:val="679"/>
        </w:trPr>
        <w:tc>
          <w:tcPr>
            <w:tcW w:w="3600"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d) Total des engagements et des paiements budgétaires</w:t>
            </w:r>
          </w:p>
        </w:tc>
        <w:tc>
          <w:tcPr>
            <w:tcW w:w="2998"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21,2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21,2 Mio EUR</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87,68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87,68 Mio EUR</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38,6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38,6 Mio EUR</w:t>
            </w:r>
          </w:p>
        </w:tc>
        <w:tc>
          <w:tcPr>
            <w:tcW w:w="2857"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30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30 Mio EUR</w:t>
            </w:r>
          </w:p>
        </w:tc>
      </w:tr>
      <w:tr>
        <w:tc>
          <w:tcPr>
            <w:tcW w:w="3600"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e) Performances</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 xml:space="preserve">50 Mio EUR de financement attendu, sous la forme de fonds propres (au niveau du fonds ENIF). financement atteint: 1,18 Mio EUR (en faveur de 5 bénéficiaires)  </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 xml:space="preserve">Contribution de l’UE de 113,7 Mio EUR engagée en faveur du FEESE; financement atteint: 120 695 prêts actifs en Europe du sud-est et 702 790 prêts versés depuis le début, en décembre 2005, pour un montant total de 4,3 Mrd EUR.  </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Contribution de l’UE de 38,6 Mio EUR engagée en faveur du FCV, pour un financement attendu de 411,7 Mio EUR et un financement atteint de 429,9 Mio EUR en faveur de 16 701 bénéficiaires finaux.</w:t>
            </w:r>
          </w:p>
        </w:tc>
        <w:tc>
          <w:tcPr>
            <w:tcW w:w="285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299,6 Mio EUR de financements déjà fournis à 265 bénéficiaires finaux</w:t>
            </w:r>
          </w:p>
        </w:tc>
      </w:tr>
      <w:tr>
        <w:tc>
          <w:tcPr>
            <w:tcW w:w="3600" w:type="dxa"/>
            <w:tcBorders>
              <w:top w:val="single" w:sz="8" w:space="0" w:color="7BA0CD"/>
              <w:left w:val="single" w:sz="8" w:space="0" w:color="7BA0CD"/>
              <w:bottom w:val="single" w:sz="8" w:space="0" w:color="7BA0CD"/>
              <w:right w:val="single" w:sz="8" w:space="0" w:color="7BA0CD"/>
            </w:tcBorders>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f) Évaluation de l’utilisation des montants remboursés à l’instrument</w:t>
            </w:r>
          </w:p>
        </w:tc>
        <w:tc>
          <w:tcPr>
            <w:tcW w:w="2998" w:type="dxa"/>
            <w:tcBorders>
              <w:top w:val="single" w:sz="8" w:space="0" w:color="7BA0CD"/>
              <w:left w:val="single" w:sz="8" w:space="0" w:color="7BA0CD"/>
              <w:bottom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998" w:type="dxa"/>
            <w:tcBorders>
              <w:top w:val="single" w:sz="8" w:space="0" w:color="7BA0CD"/>
              <w:left w:val="single" w:sz="8" w:space="0" w:color="7BA0CD"/>
              <w:bottom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998" w:type="dxa"/>
            <w:tcBorders>
              <w:top w:val="single" w:sz="8" w:space="0" w:color="7BA0CD"/>
              <w:left w:val="single" w:sz="8" w:space="0" w:color="7BA0CD"/>
              <w:bottom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857" w:type="dxa"/>
            <w:tcBorders>
              <w:top w:val="single" w:sz="8" w:space="0" w:color="7BA0CD"/>
              <w:left w:val="single" w:sz="8" w:space="0" w:color="7BA0CD"/>
              <w:bottom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r>
      <w:tr>
        <w:tc>
          <w:tcPr>
            <w:tcW w:w="3600" w:type="dxa"/>
            <w:shd w:val="clear" w:color="auto" w:fill="4F81BD" w:themeFill="accent1"/>
          </w:tcPr>
          <w:p>
            <w:pPr>
              <w:rPr>
                <w:rFonts w:ascii="Times New Roman" w:hAnsi="Times New Roman" w:cs="Times New Roman"/>
                <w:b/>
                <w:bCs/>
                <w:noProof/>
                <w:color w:val="FFFFFF"/>
                <w:sz w:val="21"/>
                <w:szCs w:val="21"/>
              </w:rPr>
            </w:pPr>
          </w:p>
        </w:tc>
        <w:tc>
          <w:tcPr>
            <w:tcW w:w="2998"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Fonds pour l’innovation des entreprises — ENIF</w:t>
            </w:r>
          </w:p>
        </w:tc>
        <w:tc>
          <w:tcPr>
            <w:tcW w:w="2998"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Fonds européen pour l’Europe du Sud-Est — FEESE</w:t>
            </w:r>
          </w:p>
        </w:tc>
        <w:tc>
          <w:tcPr>
            <w:tcW w:w="2998"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Fonds pour une croissance verte — FCV</w:t>
            </w:r>
          </w:p>
        </w:tc>
        <w:tc>
          <w:tcPr>
            <w:tcW w:w="2857"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b/>
                <w:noProof/>
                <w:color w:val="FFFFFF" w:themeColor="background1"/>
                <w:sz w:val="21"/>
              </w:rPr>
              <w:t>Prêt d’appui à la relance des PME en Turquie — RSL</w:t>
            </w:r>
          </w:p>
        </w:tc>
      </w:tr>
      <w:tr>
        <w:tc>
          <w:tcPr>
            <w:tcW w:w="3600"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g) Solde du compte fiduciaire</w:t>
            </w:r>
            <w:r>
              <w:rPr>
                <w:rStyle w:val="FootnoteReference"/>
                <w:rFonts w:ascii="Times New Roman" w:hAnsi="Times New Roman"/>
                <w:b/>
                <w:noProof/>
                <w:sz w:val="21"/>
              </w:rPr>
              <w:footnoteReference w:id="23"/>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19,6 Mio EUR</w:t>
            </w:r>
            <w:r>
              <w:rPr>
                <w:rFonts w:ascii="Times New Roman" w:hAnsi="Times New Roman"/>
                <w:noProof/>
              </w:rPr>
              <w:t xml:space="preserve"> </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85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18,06 Mio EUR</w:t>
            </w:r>
          </w:p>
        </w:tc>
      </w:tr>
      <w:tr>
        <w:tc>
          <w:tcPr>
            <w:tcW w:w="3600"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h) Recettes et remboursements</w:t>
            </w:r>
          </w:p>
        </w:tc>
        <w:tc>
          <w:tcPr>
            <w:tcW w:w="2998"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857"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18,06 Mio EUR</w:t>
            </w:r>
          </w:p>
        </w:tc>
      </w:tr>
      <w:tr>
        <w:trPr>
          <w:trHeight w:val="675"/>
        </w:trPr>
        <w:tc>
          <w:tcPr>
            <w:tcW w:w="3600"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i) Valeur des investissements de fonds propres</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0,44 Mio EUR</w:t>
            </w:r>
            <w:r>
              <w:rPr>
                <w:rFonts w:ascii="Times New Roman" w:hAnsi="Times New Roman"/>
                <w:noProof/>
              </w:rPr>
              <w:t xml:space="preserve"> </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113,7 Mio EUR (au niveau du FEESE)</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39,3 Mio EUR (au niveau du FCV)</w:t>
            </w:r>
          </w:p>
        </w:tc>
        <w:tc>
          <w:tcPr>
            <w:tcW w:w="285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r>
      <w:tr>
        <w:tc>
          <w:tcPr>
            <w:tcW w:w="3600"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j) Dépréciations / garanties appelées</w:t>
            </w:r>
          </w:p>
        </w:tc>
        <w:tc>
          <w:tcPr>
            <w:tcW w:w="2998"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0 EUR</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0 EUR</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857"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néant</w:t>
            </w:r>
          </w:p>
        </w:tc>
      </w:tr>
      <w:tr>
        <w:tc>
          <w:tcPr>
            <w:tcW w:w="3600"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k) Effet de levier</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Attendu: 2</w:t>
            </w:r>
          </w:p>
          <w:p>
            <w:pPr>
              <w:spacing w:before="60" w:after="120" w:line="240" w:lineRule="auto"/>
              <w:rPr>
                <w:rFonts w:ascii="Times New Roman" w:hAnsi="Times New Roman" w:cs="Times New Roman"/>
                <w:noProof/>
                <w:sz w:val="21"/>
                <w:szCs w:val="21"/>
              </w:rPr>
            </w:pPr>
            <w:r>
              <w:rPr>
                <w:rFonts w:ascii="Times New Roman" w:hAnsi="Times New Roman"/>
                <w:noProof/>
                <w:sz w:val="21"/>
              </w:rPr>
              <w:t>Atteint: 0,06</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Atteint: 49</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Visé: 10,7</w:t>
            </w:r>
          </w:p>
          <w:p>
            <w:pPr>
              <w:spacing w:before="60" w:after="120" w:line="240" w:lineRule="auto"/>
              <w:rPr>
                <w:rFonts w:ascii="Times New Roman" w:hAnsi="Times New Roman" w:cs="Times New Roman"/>
                <w:noProof/>
                <w:sz w:val="21"/>
                <w:szCs w:val="21"/>
              </w:rPr>
            </w:pPr>
            <w:r>
              <w:rPr>
                <w:rFonts w:ascii="Times New Roman" w:hAnsi="Times New Roman"/>
                <w:noProof/>
                <w:sz w:val="21"/>
              </w:rPr>
              <w:t>Attendu: 12,6</w:t>
            </w:r>
          </w:p>
          <w:p>
            <w:pPr>
              <w:spacing w:before="60" w:after="120" w:line="240" w:lineRule="auto"/>
              <w:rPr>
                <w:rFonts w:ascii="Times New Roman" w:hAnsi="Times New Roman" w:cs="Times New Roman"/>
                <w:noProof/>
                <w:sz w:val="21"/>
                <w:szCs w:val="21"/>
              </w:rPr>
            </w:pPr>
            <w:r>
              <w:rPr>
                <w:rFonts w:ascii="Times New Roman" w:hAnsi="Times New Roman"/>
                <w:noProof/>
                <w:sz w:val="21"/>
              </w:rPr>
              <w:t>Atteint: 11,1</w:t>
            </w:r>
          </w:p>
        </w:tc>
        <w:tc>
          <w:tcPr>
            <w:tcW w:w="285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Visé: 10</w:t>
            </w:r>
          </w:p>
          <w:p>
            <w:pPr>
              <w:spacing w:before="60" w:after="120" w:line="240" w:lineRule="auto"/>
              <w:rPr>
                <w:rFonts w:ascii="Times New Roman" w:hAnsi="Times New Roman" w:cs="Times New Roman"/>
                <w:noProof/>
                <w:sz w:val="21"/>
                <w:szCs w:val="21"/>
              </w:rPr>
            </w:pPr>
            <w:r>
              <w:rPr>
                <w:rFonts w:ascii="Times New Roman" w:hAnsi="Times New Roman"/>
                <w:noProof/>
                <w:sz w:val="21"/>
              </w:rPr>
              <w:t>Atteint: 10</w:t>
            </w:r>
          </w:p>
        </w:tc>
      </w:tr>
      <w:tr>
        <w:trPr>
          <w:trHeight w:val="761"/>
        </w:trPr>
        <w:tc>
          <w:tcPr>
            <w:tcW w:w="3600"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l) Contribution à la réalisation des objectifs du programme</w:t>
            </w:r>
          </w:p>
        </w:tc>
        <w:tc>
          <w:tcPr>
            <w:tcW w:w="2998"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 xml:space="preserve">50 Mio EUR de financement attendu, sous la forme de fonds propres (au niveau du fonds ENIF). financement atteint: 1,18 Mio EUR (en faveur de 5 bénéficiaires)  </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4,3 Mrd EUR de nouveaux financements mobilisés au profit de 702 790 bénéficiaires finaux;</w:t>
            </w:r>
          </w:p>
          <w:p>
            <w:pPr>
              <w:spacing w:before="60" w:after="120" w:line="240" w:lineRule="auto"/>
              <w:rPr>
                <w:rFonts w:ascii="Times New Roman" w:hAnsi="Times New Roman" w:cs="Times New Roman"/>
                <w:noProof/>
                <w:sz w:val="21"/>
                <w:szCs w:val="21"/>
              </w:rPr>
            </w:pPr>
            <w:r>
              <w:rPr>
                <w:rFonts w:ascii="Times New Roman" w:hAnsi="Times New Roman"/>
                <w:noProof/>
                <w:sz w:val="21"/>
              </w:rPr>
              <w:t>le FEESE a servi de modèle sur le plan international pour la micro-finance (voir le document de travail).</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un financement atteint de 429,9 Mio EUR au profit de 16 701 bénéficiaires finaux éligibles.</w:t>
            </w:r>
          </w:p>
          <w:p>
            <w:pPr>
              <w:spacing w:before="60" w:after="120" w:line="240" w:lineRule="auto"/>
              <w:rPr>
                <w:rFonts w:ascii="Times New Roman" w:hAnsi="Times New Roman" w:cs="Times New Roman"/>
                <w:noProof/>
                <w:sz w:val="21"/>
                <w:szCs w:val="21"/>
              </w:rPr>
            </w:pPr>
            <w:r>
              <w:rPr>
                <w:rFonts w:ascii="Times New Roman" w:hAnsi="Times New Roman"/>
                <w:noProof/>
                <w:sz w:val="21"/>
              </w:rPr>
              <w:t>économies d'énergie annualisées de 1 548 436 MWh/an;</w:t>
            </w:r>
          </w:p>
          <w:p>
            <w:pPr>
              <w:spacing w:before="60" w:after="120" w:line="240" w:lineRule="auto"/>
              <w:rPr>
                <w:rFonts w:ascii="Times New Roman" w:hAnsi="Times New Roman" w:cs="Times New Roman"/>
                <w:noProof/>
                <w:sz w:val="21"/>
                <w:szCs w:val="21"/>
              </w:rPr>
            </w:pPr>
            <w:r>
              <w:rPr>
                <w:rFonts w:ascii="Times New Roman" w:hAnsi="Times New Roman"/>
                <w:noProof/>
                <w:sz w:val="21"/>
              </w:rPr>
              <w:t>réduction des émissions de CO</w:t>
            </w:r>
            <w:r>
              <w:rPr>
                <w:rFonts w:ascii="Times New Roman" w:hAnsi="Times New Roman"/>
                <w:noProof/>
                <w:sz w:val="21"/>
                <w:vertAlign w:val="subscript"/>
              </w:rPr>
              <w:t>2</w:t>
            </w:r>
            <w:r>
              <w:rPr>
                <w:rFonts w:ascii="Times New Roman" w:hAnsi="Times New Roman"/>
                <w:noProof/>
                <w:sz w:val="21"/>
              </w:rPr>
              <w:t xml:space="preserve"> de 389 434 tonnes/an</w:t>
            </w:r>
          </w:p>
        </w:tc>
        <w:tc>
          <w:tcPr>
            <w:tcW w:w="2857"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299,6 Mio EUR de nouveaux financements mobilisés au profit de 265 bénéficiaires finaux éligibles, visant à créer plus de 4 000 emplois.</w:t>
            </w:r>
          </w:p>
        </w:tc>
      </w:tr>
    </w:tbl>
    <w:p>
      <w:pPr>
        <w:pStyle w:val="Heading4"/>
        <w:numPr>
          <w:ilvl w:val="0"/>
          <w:numId w:val="0"/>
        </w:numPr>
        <w:spacing w:before="120"/>
        <w:rPr>
          <w:noProof/>
          <w:sz w:val="22"/>
          <w:szCs w:val="22"/>
        </w:rPr>
      </w:pPr>
      <w:bookmarkStart w:id="21" w:name="_Toc399517423"/>
      <w:r>
        <w:rPr>
          <w:noProof/>
        </w:rPr>
        <w:br w:type="page"/>
      </w:r>
      <w:r>
        <w:rPr>
          <w:noProof/>
          <w:sz w:val="22"/>
        </w:rPr>
        <w:t>F-INSTRUMENTS FINANCIERS CONCERNANT LES PAYS RELEVANT DE LA POLITIQUE DE VOISINAGE ET LES PAYS COUVERTS PAR L’ICD</w:t>
      </w:r>
      <w:bookmarkEnd w:id="21"/>
    </w:p>
    <w:tbl>
      <w:tblPr>
        <w:tblW w:w="15451" w:type="dxa"/>
        <w:tblInd w:w="-60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firstRow="1" w:lastRow="0" w:firstColumn="1" w:lastColumn="0" w:noHBand="0" w:noVBand="1"/>
      </w:tblPr>
      <w:tblGrid>
        <w:gridCol w:w="2127"/>
        <w:gridCol w:w="1701"/>
        <w:gridCol w:w="2977"/>
        <w:gridCol w:w="1842"/>
        <w:gridCol w:w="2268"/>
        <w:gridCol w:w="1985"/>
        <w:gridCol w:w="2551"/>
      </w:tblGrid>
      <w:tr>
        <w:trPr>
          <w:trHeight w:val="1613"/>
        </w:trPr>
        <w:tc>
          <w:tcPr>
            <w:tcW w:w="2127" w:type="dxa"/>
            <w:shd w:val="clear" w:color="auto" w:fill="4F81BD" w:themeFill="accent1"/>
          </w:tcPr>
          <w:p>
            <w:pPr>
              <w:spacing w:before="60" w:after="120"/>
              <w:rPr>
                <w:rFonts w:ascii="Times New Roman" w:hAnsi="Times New Roman" w:cs="Times New Roman"/>
                <w:b/>
                <w:bCs/>
                <w:noProof/>
                <w:color w:val="FFFFFF"/>
                <w:sz w:val="21"/>
                <w:szCs w:val="21"/>
              </w:rPr>
            </w:pPr>
          </w:p>
        </w:tc>
        <w:tc>
          <w:tcPr>
            <w:tcW w:w="1701"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Facilité d'investissement dans le cadre de la politique de voisinage – FIPV</w:t>
            </w:r>
          </w:p>
          <w:p>
            <w:pPr>
              <w:spacing w:after="0"/>
              <w:rPr>
                <w:rFonts w:ascii="Times New Roman" w:hAnsi="Times New Roman" w:cs="Times New Roman"/>
                <w:b/>
                <w:bCs/>
                <w:noProof/>
                <w:color w:val="FFFFFF"/>
                <w:sz w:val="21"/>
                <w:szCs w:val="21"/>
              </w:rPr>
            </w:pPr>
            <w:r>
              <w:rPr>
                <w:rFonts w:ascii="Times New Roman" w:hAnsi="Times New Roman"/>
                <w:b/>
                <w:noProof/>
                <w:color w:val="FFFFFF"/>
                <w:sz w:val="21"/>
              </w:rPr>
              <w:t>(point 6.1 du document de travail)</w:t>
            </w:r>
          </w:p>
          <w:p>
            <w:pPr>
              <w:spacing w:after="0"/>
              <w:rPr>
                <w:rFonts w:ascii="Times New Roman" w:hAnsi="Times New Roman" w:cs="Times New Roman"/>
                <w:b/>
                <w:bCs/>
                <w:noProof/>
                <w:color w:val="FFFFFF"/>
                <w:sz w:val="21"/>
                <w:szCs w:val="21"/>
              </w:rPr>
            </w:pPr>
            <w:r>
              <w:rPr>
                <w:rFonts w:ascii="Times New Roman" w:hAnsi="Times New Roman"/>
                <w:b/>
                <w:noProof/>
                <w:color w:val="FFFFFF"/>
                <w:sz w:val="21"/>
              </w:rPr>
              <w:t>DG responsable: NEAR</w:t>
            </w:r>
          </w:p>
        </w:tc>
        <w:tc>
          <w:tcPr>
            <w:tcW w:w="2977"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Facilité d’investissement pour l’Asie centrale (FIAC) et facilité d’investissement pour l’Asie (FIA)</w:t>
            </w:r>
          </w:p>
          <w:p>
            <w:pPr>
              <w:spacing w:after="0"/>
              <w:rPr>
                <w:rFonts w:ascii="Times New Roman" w:hAnsi="Times New Roman" w:cs="Times New Roman"/>
                <w:b/>
                <w:bCs/>
                <w:noProof/>
                <w:color w:val="FFFFFF"/>
                <w:sz w:val="21"/>
                <w:szCs w:val="21"/>
              </w:rPr>
            </w:pPr>
            <w:r>
              <w:rPr>
                <w:rFonts w:ascii="Times New Roman" w:hAnsi="Times New Roman"/>
                <w:b/>
                <w:noProof/>
                <w:color w:val="FFFFFF"/>
                <w:sz w:val="21"/>
              </w:rPr>
              <w:t>(point 6.2 du document de travail)</w:t>
            </w:r>
          </w:p>
          <w:p>
            <w:pPr>
              <w:spacing w:after="0"/>
              <w:rPr>
                <w:rFonts w:ascii="Times New Roman" w:hAnsi="Times New Roman" w:cs="Times New Roman"/>
                <w:b/>
                <w:bCs/>
                <w:noProof/>
                <w:color w:val="FFFFFF"/>
                <w:sz w:val="21"/>
                <w:szCs w:val="21"/>
              </w:rPr>
            </w:pPr>
            <w:r>
              <w:rPr>
                <w:rFonts w:ascii="Times New Roman" w:hAnsi="Times New Roman"/>
                <w:b/>
                <w:noProof/>
                <w:color w:val="FFFFFF"/>
                <w:sz w:val="21"/>
              </w:rPr>
              <w:t>DG responsable: DEVCO</w:t>
            </w:r>
          </w:p>
        </w:tc>
        <w:tc>
          <w:tcPr>
            <w:tcW w:w="1842"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Facilité d’investissement pour l'Amérique latine — FIAL</w:t>
            </w:r>
          </w:p>
          <w:p>
            <w:pPr>
              <w:spacing w:after="0"/>
              <w:rPr>
                <w:rFonts w:ascii="Times New Roman" w:hAnsi="Times New Roman" w:cs="Times New Roman"/>
                <w:b/>
                <w:bCs/>
                <w:noProof/>
                <w:color w:val="FFFFFF"/>
                <w:sz w:val="21"/>
                <w:szCs w:val="21"/>
              </w:rPr>
            </w:pPr>
            <w:r>
              <w:rPr>
                <w:rFonts w:ascii="Times New Roman" w:hAnsi="Times New Roman"/>
                <w:b/>
                <w:noProof/>
                <w:color w:val="FFFFFF"/>
                <w:sz w:val="21"/>
              </w:rPr>
              <w:t>(point 6.3 du document de travail)</w:t>
            </w:r>
          </w:p>
          <w:p>
            <w:pPr>
              <w:spacing w:after="0"/>
              <w:rPr>
                <w:rFonts w:ascii="Times New Roman" w:hAnsi="Times New Roman" w:cs="Times New Roman"/>
                <w:b/>
                <w:bCs/>
                <w:noProof/>
                <w:color w:val="FFFFFF"/>
                <w:sz w:val="21"/>
                <w:szCs w:val="21"/>
              </w:rPr>
            </w:pPr>
            <w:r>
              <w:rPr>
                <w:rFonts w:ascii="Times New Roman" w:hAnsi="Times New Roman"/>
                <w:b/>
                <w:noProof/>
                <w:color w:val="FFFFFF"/>
                <w:sz w:val="21"/>
              </w:rPr>
              <w:t>DG responsable: DEVCO</w:t>
            </w:r>
          </w:p>
        </w:tc>
        <w:tc>
          <w:tcPr>
            <w:tcW w:w="2268"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Soutien à la FEMIP</w:t>
            </w:r>
          </w:p>
          <w:p>
            <w:pPr>
              <w:spacing w:after="0"/>
              <w:rPr>
                <w:rFonts w:ascii="Times New Roman" w:hAnsi="Times New Roman" w:cs="Times New Roman"/>
                <w:b/>
                <w:bCs/>
                <w:noProof/>
                <w:color w:val="FFFFFF"/>
                <w:sz w:val="21"/>
                <w:szCs w:val="21"/>
              </w:rPr>
            </w:pPr>
            <w:r>
              <w:rPr>
                <w:rFonts w:ascii="Times New Roman" w:hAnsi="Times New Roman"/>
                <w:b/>
                <w:noProof/>
                <w:color w:val="FFFFFF"/>
                <w:sz w:val="21"/>
              </w:rPr>
              <w:t>(point 6.4 du document de travail)</w:t>
            </w:r>
          </w:p>
          <w:p>
            <w:pPr>
              <w:spacing w:after="0"/>
              <w:rPr>
                <w:rFonts w:ascii="Times New Roman" w:hAnsi="Times New Roman" w:cs="Times New Roman"/>
                <w:b/>
                <w:bCs/>
                <w:noProof/>
                <w:color w:val="FFFFFF"/>
                <w:sz w:val="21"/>
                <w:szCs w:val="21"/>
              </w:rPr>
            </w:pPr>
            <w:r>
              <w:rPr>
                <w:rFonts w:ascii="Times New Roman" w:hAnsi="Times New Roman"/>
                <w:b/>
                <w:noProof/>
                <w:color w:val="FFFFFF"/>
                <w:sz w:val="21"/>
              </w:rPr>
              <w:t>DG responsable:</w:t>
            </w:r>
          </w:p>
          <w:p>
            <w:pPr>
              <w:spacing w:after="0"/>
              <w:rPr>
                <w:rFonts w:ascii="Times New Roman" w:hAnsi="Times New Roman" w:cs="Times New Roman"/>
                <w:b/>
                <w:bCs/>
                <w:noProof/>
                <w:color w:val="FFFFFF"/>
                <w:sz w:val="21"/>
                <w:szCs w:val="21"/>
              </w:rPr>
            </w:pPr>
            <w:r>
              <w:rPr>
                <w:rFonts w:ascii="Times New Roman" w:hAnsi="Times New Roman"/>
                <w:b/>
                <w:noProof/>
                <w:color w:val="FFFFFF"/>
                <w:sz w:val="21"/>
              </w:rPr>
              <w:t>NEAR</w:t>
            </w:r>
          </w:p>
        </w:tc>
        <w:tc>
          <w:tcPr>
            <w:tcW w:w="1985"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Fonds mondial pour l'efficacité énergétique et les énergies renouvelables — GEEREF</w:t>
            </w:r>
          </w:p>
          <w:p>
            <w:pPr>
              <w:spacing w:after="0"/>
              <w:rPr>
                <w:rFonts w:ascii="Times New Roman" w:hAnsi="Times New Roman" w:cs="Times New Roman"/>
                <w:b/>
                <w:bCs/>
                <w:noProof/>
                <w:color w:val="FFFFFF"/>
                <w:sz w:val="21"/>
                <w:szCs w:val="21"/>
              </w:rPr>
            </w:pPr>
            <w:r>
              <w:rPr>
                <w:rFonts w:ascii="Times New Roman" w:hAnsi="Times New Roman"/>
                <w:b/>
                <w:noProof/>
                <w:color w:val="FFFFFF"/>
                <w:sz w:val="21"/>
              </w:rPr>
              <w:t>(point 6.5 du document de travail)</w:t>
            </w:r>
          </w:p>
          <w:p>
            <w:pPr>
              <w:spacing w:after="0"/>
              <w:rPr>
                <w:rFonts w:ascii="Times New Roman" w:hAnsi="Times New Roman" w:cs="Times New Roman"/>
                <w:b/>
                <w:bCs/>
                <w:noProof/>
                <w:color w:val="FFFFFF"/>
                <w:sz w:val="21"/>
                <w:szCs w:val="21"/>
              </w:rPr>
            </w:pPr>
            <w:r>
              <w:rPr>
                <w:rFonts w:ascii="Times New Roman" w:hAnsi="Times New Roman"/>
                <w:b/>
                <w:noProof/>
                <w:color w:val="FFFFFF"/>
                <w:sz w:val="21"/>
              </w:rPr>
              <w:t>DG responsable: DEVCO</w:t>
            </w:r>
          </w:p>
          <w:p>
            <w:pPr>
              <w:spacing w:after="0"/>
              <w:rPr>
                <w:rFonts w:ascii="Times New Roman" w:hAnsi="Times New Roman" w:cs="Times New Roman"/>
                <w:b/>
                <w:bCs/>
                <w:noProof/>
                <w:color w:val="FFFFFF"/>
                <w:sz w:val="21"/>
                <w:szCs w:val="21"/>
              </w:rPr>
            </w:pPr>
          </w:p>
        </w:tc>
        <w:tc>
          <w:tcPr>
            <w:tcW w:w="2551"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Combinaison thématique (ElectriFI, AgriFI, changement climatique)</w:t>
            </w:r>
          </w:p>
          <w:p>
            <w:pPr>
              <w:spacing w:after="0"/>
              <w:rPr>
                <w:rFonts w:ascii="Times New Roman" w:hAnsi="Times New Roman" w:cs="Times New Roman"/>
                <w:b/>
                <w:bCs/>
                <w:noProof/>
                <w:color w:val="FFFFFF"/>
                <w:sz w:val="21"/>
                <w:szCs w:val="21"/>
              </w:rPr>
            </w:pPr>
            <w:r>
              <w:rPr>
                <w:rFonts w:ascii="Times New Roman" w:hAnsi="Times New Roman"/>
                <w:b/>
                <w:noProof/>
                <w:color w:val="FFFFFF"/>
                <w:sz w:val="21"/>
              </w:rPr>
              <w:t>(point 6.6 du document de travail)</w:t>
            </w:r>
          </w:p>
          <w:p>
            <w:pPr>
              <w:spacing w:after="0"/>
              <w:rPr>
                <w:rFonts w:ascii="Times New Roman" w:hAnsi="Times New Roman" w:cs="Times New Roman"/>
                <w:b/>
                <w:bCs/>
                <w:noProof/>
                <w:color w:val="FFFFFF"/>
                <w:sz w:val="21"/>
                <w:szCs w:val="21"/>
              </w:rPr>
            </w:pPr>
            <w:r>
              <w:rPr>
                <w:rFonts w:ascii="Times New Roman" w:hAnsi="Times New Roman"/>
                <w:b/>
                <w:noProof/>
                <w:color w:val="FFFFFF"/>
                <w:sz w:val="21"/>
              </w:rPr>
              <w:t>DG responsable: DEVCO</w:t>
            </w:r>
          </w:p>
        </w:tc>
      </w:tr>
      <w:tr>
        <w:trPr>
          <w:trHeight w:val="1498"/>
        </w:trPr>
        <w:tc>
          <w:tcPr>
            <w:tcW w:w="2127"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a) Identification / acte de base</w:t>
            </w:r>
          </w:p>
        </w:tc>
        <w:tc>
          <w:tcPr>
            <w:tcW w:w="1701" w:type="dxa"/>
            <w:shd w:val="clear" w:color="auto" w:fill="D3DFEE"/>
          </w:tcPr>
          <w:p>
            <w:pPr>
              <w:spacing w:after="0" w:line="240" w:lineRule="auto"/>
              <w:rPr>
                <w:rFonts w:ascii="Times New Roman" w:hAnsi="Times New Roman" w:cs="Times New Roman"/>
                <w:noProof/>
                <w:sz w:val="21"/>
                <w:szCs w:val="21"/>
              </w:rPr>
            </w:pPr>
            <w:r>
              <w:rPr>
                <w:rFonts w:ascii="Times New Roman" w:hAnsi="Times New Roman"/>
                <w:noProof/>
                <w:sz w:val="21"/>
              </w:rPr>
              <w:t>Règlement (CE) n° 1638/2006</w:t>
            </w:r>
          </w:p>
          <w:p>
            <w:pPr>
              <w:spacing w:after="0" w:line="240" w:lineRule="auto"/>
              <w:rPr>
                <w:rFonts w:ascii="Times New Roman" w:hAnsi="Times New Roman" w:cs="Times New Roman"/>
                <w:noProof/>
                <w:sz w:val="21"/>
                <w:szCs w:val="21"/>
              </w:rPr>
            </w:pPr>
            <w:r>
              <w:rPr>
                <w:rFonts w:ascii="Times New Roman" w:hAnsi="Times New Roman"/>
                <w:noProof/>
                <w:sz w:val="21"/>
              </w:rPr>
              <w:t>Règlement (UE) n° 232/2014</w:t>
            </w:r>
          </w:p>
          <w:p>
            <w:pPr>
              <w:spacing w:after="0" w:line="240" w:lineRule="auto"/>
              <w:rPr>
                <w:rFonts w:ascii="Times New Roman" w:hAnsi="Times New Roman" w:cs="Times New Roman"/>
                <w:noProof/>
                <w:sz w:val="21"/>
                <w:szCs w:val="21"/>
              </w:rPr>
            </w:pPr>
            <w:r>
              <w:rPr>
                <w:rFonts w:ascii="Times New Roman" w:hAnsi="Times New Roman"/>
                <w:noProof/>
                <w:sz w:val="21"/>
              </w:rPr>
              <w:t>Règlement (UE) n° 236/2014</w:t>
            </w:r>
          </w:p>
        </w:tc>
        <w:tc>
          <w:tcPr>
            <w:tcW w:w="2977" w:type="dxa"/>
            <w:shd w:val="clear" w:color="auto" w:fill="D3DFEE"/>
          </w:tcPr>
          <w:p>
            <w:pPr>
              <w:spacing w:after="0" w:line="240" w:lineRule="auto"/>
              <w:rPr>
                <w:rFonts w:ascii="Times New Roman" w:hAnsi="Times New Roman" w:cs="Times New Roman"/>
                <w:noProof/>
                <w:sz w:val="21"/>
                <w:szCs w:val="21"/>
              </w:rPr>
            </w:pPr>
            <w:r>
              <w:rPr>
                <w:rFonts w:ascii="Times New Roman" w:hAnsi="Times New Roman"/>
                <w:noProof/>
                <w:sz w:val="21"/>
              </w:rPr>
              <w:t>Règlement (CE) n° 1905/2006</w:t>
            </w:r>
          </w:p>
          <w:p>
            <w:pPr>
              <w:spacing w:after="0" w:line="240" w:lineRule="auto"/>
              <w:rPr>
                <w:rFonts w:ascii="Times New Roman" w:hAnsi="Times New Roman" w:cs="Times New Roman"/>
                <w:noProof/>
                <w:sz w:val="21"/>
                <w:szCs w:val="21"/>
              </w:rPr>
            </w:pPr>
            <w:r>
              <w:rPr>
                <w:rFonts w:ascii="Times New Roman" w:hAnsi="Times New Roman"/>
                <w:noProof/>
                <w:sz w:val="21"/>
              </w:rPr>
              <w:t>Règlement (UE) n° 233/2014</w:t>
            </w:r>
          </w:p>
          <w:p>
            <w:pPr>
              <w:spacing w:after="0" w:line="240" w:lineRule="auto"/>
              <w:rPr>
                <w:rFonts w:ascii="Times New Roman" w:hAnsi="Times New Roman" w:cs="Times New Roman"/>
                <w:noProof/>
                <w:sz w:val="21"/>
                <w:szCs w:val="21"/>
              </w:rPr>
            </w:pPr>
            <w:r>
              <w:rPr>
                <w:rFonts w:ascii="Times New Roman" w:hAnsi="Times New Roman"/>
                <w:noProof/>
                <w:sz w:val="21"/>
              </w:rPr>
              <w:t>Règlement (UE) n° 236/2014</w:t>
            </w:r>
          </w:p>
        </w:tc>
        <w:tc>
          <w:tcPr>
            <w:tcW w:w="1842" w:type="dxa"/>
            <w:shd w:val="clear" w:color="auto" w:fill="D3DFEE"/>
          </w:tcPr>
          <w:p>
            <w:pPr>
              <w:spacing w:after="0" w:line="240" w:lineRule="auto"/>
              <w:rPr>
                <w:rFonts w:ascii="Times New Roman" w:hAnsi="Times New Roman" w:cs="Times New Roman"/>
                <w:noProof/>
                <w:sz w:val="21"/>
                <w:szCs w:val="21"/>
              </w:rPr>
            </w:pPr>
            <w:r>
              <w:rPr>
                <w:rFonts w:ascii="Times New Roman" w:hAnsi="Times New Roman"/>
                <w:noProof/>
                <w:sz w:val="21"/>
              </w:rPr>
              <w:t>Règlement (CE) n° 1905/2006</w:t>
            </w:r>
          </w:p>
          <w:p>
            <w:pPr>
              <w:spacing w:after="0" w:line="240" w:lineRule="auto"/>
              <w:rPr>
                <w:rFonts w:ascii="Times New Roman" w:hAnsi="Times New Roman" w:cs="Times New Roman"/>
                <w:noProof/>
                <w:sz w:val="21"/>
                <w:szCs w:val="21"/>
              </w:rPr>
            </w:pPr>
            <w:r>
              <w:rPr>
                <w:rFonts w:ascii="Times New Roman" w:hAnsi="Times New Roman"/>
                <w:noProof/>
                <w:sz w:val="21"/>
              </w:rPr>
              <w:t>Règlement (UE) n° 233/2014</w:t>
            </w:r>
          </w:p>
          <w:p>
            <w:pPr>
              <w:spacing w:after="0" w:line="240" w:lineRule="auto"/>
              <w:rPr>
                <w:rFonts w:ascii="Times New Roman" w:hAnsi="Times New Roman" w:cs="Times New Roman"/>
                <w:noProof/>
                <w:sz w:val="21"/>
                <w:szCs w:val="21"/>
              </w:rPr>
            </w:pPr>
            <w:r>
              <w:rPr>
                <w:rFonts w:ascii="Times New Roman" w:hAnsi="Times New Roman"/>
                <w:noProof/>
                <w:sz w:val="21"/>
              </w:rPr>
              <w:t>Règlement (UE) n° 236/2014</w:t>
            </w:r>
          </w:p>
        </w:tc>
        <w:tc>
          <w:tcPr>
            <w:tcW w:w="2268" w:type="dxa"/>
            <w:shd w:val="clear" w:color="auto" w:fill="D3DFEE"/>
          </w:tcPr>
          <w:p>
            <w:pPr>
              <w:spacing w:after="0" w:line="240" w:lineRule="auto"/>
              <w:rPr>
                <w:rFonts w:ascii="Times New Roman" w:hAnsi="Times New Roman" w:cs="Times New Roman"/>
                <w:noProof/>
                <w:sz w:val="21"/>
                <w:szCs w:val="21"/>
              </w:rPr>
            </w:pPr>
            <w:r>
              <w:rPr>
                <w:rFonts w:ascii="Times New Roman" w:hAnsi="Times New Roman"/>
                <w:noProof/>
                <w:sz w:val="21"/>
              </w:rPr>
              <w:t>Règlement (CE) n° 1638/2006</w:t>
            </w:r>
          </w:p>
        </w:tc>
        <w:tc>
          <w:tcPr>
            <w:tcW w:w="1985" w:type="dxa"/>
            <w:shd w:val="clear" w:color="auto" w:fill="D3DFEE"/>
          </w:tcPr>
          <w:p>
            <w:pPr>
              <w:spacing w:after="0" w:line="240" w:lineRule="auto"/>
              <w:ind w:right="57"/>
              <w:rPr>
                <w:rFonts w:ascii="Times New Roman" w:eastAsia="Times New Roman" w:hAnsi="Times New Roman" w:cs="Times New Roman"/>
                <w:noProof/>
                <w:sz w:val="21"/>
                <w:szCs w:val="21"/>
              </w:rPr>
            </w:pPr>
            <w:r>
              <w:rPr>
                <w:rFonts w:ascii="Times New Roman" w:hAnsi="Times New Roman"/>
                <w:noProof/>
                <w:sz w:val="21"/>
              </w:rPr>
              <w:t>Règlement (CE) n° 1905/2006</w:t>
            </w:r>
          </w:p>
          <w:p>
            <w:pPr>
              <w:spacing w:after="0" w:line="240" w:lineRule="auto"/>
              <w:ind w:right="57"/>
              <w:rPr>
                <w:rFonts w:ascii="Times New Roman" w:eastAsia="Times New Roman" w:hAnsi="Times New Roman" w:cs="Times New Roman"/>
                <w:noProof/>
                <w:sz w:val="21"/>
                <w:szCs w:val="21"/>
              </w:rPr>
            </w:pPr>
            <w:r>
              <w:rPr>
                <w:rFonts w:ascii="Times New Roman" w:hAnsi="Times New Roman"/>
                <w:noProof/>
                <w:sz w:val="21"/>
              </w:rPr>
              <w:t>Règlement (UE) n° 233/2014</w:t>
            </w:r>
          </w:p>
          <w:p>
            <w:pPr>
              <w:spacing w:after="0" w:line="240" w:lineRule="auto"/>
              <w:rPr>
                <w:rFonts w:ascii="Times New Roman" w:hAnsi="Times New Roman" w:cs="Times New Roman"/>
                <w:noProof/>
                <w:sz w:val="21"/>
                <w:szCs w:val="21"/>
              </w:rPr>
            </w:pPr>
            <w:r>
              <w:rPr>
                <w:rFonts w:ascii="Times New Roman" w:hAnsi="Times New Roman"/>
                <w:noProof/>
                <w:sz w:val="21"/>
              </w:rPr>
              <w:t>Règlement (UE) n° 236/2014</w:t>
            </w:r>
          </w:p>
        </w:tc>
        <w:tc>
          <w:tcPr>
            <w:tcW w:w="2551" w:type="dxa"/>
            <w:shd w:val="clear" w:color="auto" w:fill="D3DFEE"/>
          </w:tcPr>
          <w:p>
            <w:pPr>
              <w:spacing w:after="0" w:line="240" w:lineRule="auto"/>
              <w:ind w:right="57"/>
              <w:rPr>
                <w:rFonts w:ascii="Times New Roman" w:hAnsi="Times New Roman" w:cs="Times New Roman"/>
                <w:noProof/>
                <w:sz w:val="21"/>
                <w:szCs w:val="21"/>
              </w:rPr>
            </w:pPr>
            <w:r>
              <w:rPr>
                <w:rFonts w:ascii="Times New Roman" w:hAnsi="Times New Roman"/>
                <w:noProof/>
                <w:sz w:val="21"/>
              </w:rPr>
              <w:t>Règlement (CE) n° 1905/2006</w:t>
            </w:r>
          </w:p>
          <w:p>
            <w:pPr>
              <w:spacing w:after="0" w:line="240" w:lineRule="auto"/>
              <w:ind w:right="57"/>
              <w:rPr>
                <w:rFonts w:ascii="Times New Roman" w:hAnsi="Times New Roman" w:cs="Times New Roman"/>
                <w:noProof/>
                <w:sz w:val="21"/>
                <w:szCs w:val="21"/>
              </w:rPr>
            </w:pPr>
            <w:r>
              <w:rPr>
                <w:rFonts w:ascii="Times New Roman" w:hAnsi="Times New Roman"/>
                <w:noProof/>
                <w:sz w:val="21"/>
              </w:rPr>
              <w:t>Règlement (UE) n° 233/2014</w:t>
            </w:r>
          </w:p>
          <w:p>
            <w:pPr>
              <w:spacing w:after="0" w:line="240" w:lineRule="auto"/>
              <w:rPr>
                <w:rFonts w:ascii="Times New Roman" w:hAnsi="Times New Roman" w:cs="Times New Roman"/>
                <w:noProof/>
                <w:sz w:val="21"/>
                <w:szCs w:val="21"/>
              </w:rPr>
            </w:pPr>
            <w:r>
              <w:rPr>
                <w:rFonts w:ascii="Times New Roman" w:hAnsi="Times New Roman"/>
                <w:noProof/>
                <w:sz w:val="21"/>
              </w:rPr>
              <w:t>Règlement (UE) n° 236/2014</w:t>
            </w:r>
          </w:p>
        </w:tc>
      </w:tr>
      <w:tr>
        <w:tc>
          <w:tcPr>
            <w:tcW w:w="2127"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b) Description</w:t>
            </w:r>
          </w:p>
        </w:tc>
        <w:tc>
          <w:tcPr>
            <w:tcW w:w="1701" w:type="dxa"/>
            <w:shd w:val="clear" w:color="auto" w:fill="auto"/>
          </w:tcPr>
          <w:p>
            <w:pPr>
              <w:spacing w:after="0" w:line="240" w:lineRule="auto"/>
              <w:rPr>
                <w:rFonts w:ascii="Times New Roman" w:hAnsi="Times New Roman" w:cs="Times New Roman"/>
                <w:noProof/>
                <w:sz w:val="21"/>
                <w:szCs w:val="21"/>
              </w:rPr>
            </w:pPr>
            <w:r>
              <w:rPr>
                <w:rFonts w:ascii="Times New Roman" w:hAnsi="Times New Roman"/>
                <w:noProof/>
                <w:sz w:val="21"/>
              </w:rPr>
              <w:t>Instrument promouvant les investissements, l'accent étant mis sur l’énergie, le transport, l’environnement, les PME et le développement socio-économique</w:t>
            </w:r>
          </w:p>
        </w:tc>
        <w:tc>
          <w:tcPr>
            <w:tcW w:w="2977" w:type="dxa"/>
            <w:shd w:val="clear" w:color="auto" w:fill="auto"/>
          </w:tcPr>
          <w:p>
            <w:pPr>
              <w:spacing w:after="0" w:line="240" w:lineRule="auto"/>
              <w:rPr>
                <w:rFonts w:ascii="Times New Roman" w:hAnsi="Times New Roman" w:cs="Times New Roman"/>
                <w:noProof/>
                <w:sz w:val="21"/>
                <w:szCs w:val="21"/>
              </w:rPr>
            </w:pPr>
            <w:r>
              <w:rPr>
                <w:rFonts w:ascii="Times New Roman" w:hAnsi="Times New Roman"/>
                <w:noProof/>
                <w:sz w:val="21"/>
              </w:rPr>
              <w:t>FIAC: Instrument promouvant les investissements et les infrastructures clés, l'accent étant mis sur l’énergie et l’environnement.</w:t>
            </w:r>
          </w:p>
          <w:p>
            <w:pPr>
              <w:spacing w:after="0" w:line="240" w:lineRule="auto"/>
              <w:rPr>
                <w:rFonts w:ascii="Times New Roman" w:hAnsi="Times New Roman" w:cs="Times New Roman"/>
                <w:noProof/>
                <w:sz w:val="21"/>
                <w:szCs w:val="21"/>
              </w:rPr>
            </w:pPr>
            <w:r>
              <w:rPr>
                <w:rFonts w:ascii="Times New Roman" w:hAnsi="Times New Roman"/>
                <w:noProof/>
                <w:sz w:val="21"/>
              </w:rPr>
              <w:t>FIA: Instrument promouvant les investissements et les infrastructures clés, principalement axé sur le changement climatique et les instruments «verts» ainsi que les PME.</w:t>
            </w:r>
          </w:p>
        </w:tc>
        <w:tc>
          <w:tcPr>
            <w:tcW w:w="1842" w:type="dxa"/>
            <w:shd w:val="clear" w:color="auto" w:fill="auto"/>
          </w:tcPr>
          <w:p>
            <w:pPr>
              <w:spacing w:after="0" w:line="240" w:lineRule="auto"/>
              <w:rPr>
                <w:rFonts w:ascii="Times New Roman" w:hAnsi="Times New Roman" w:cs="Times New Roman"/>
                <w:noProof/>
                <w:sz w:val="21"/>
                <w:szCs w:val="21"/>
              </w:rPr>
            </w:pPr>
            <w:r>
              <w:rPr>
                <w:rFonts w:ascii="Times New Roman" w:hAnsi="Times New Roman"/>
                <w:noProof/>
                <w:sz w:val="21"/>
              </w:rPr>
              <w:t>Instrument destiné à promouvoir les investissements et les infrastructures dans les secteurs des transports, de l’énergie, de l’environnement et dans le secteur social en Amérique latine</w:t>
            </w:r>
          </w:p>
        </w:tc>
        <w:tc>
          <w:tcPr>
            <w:tcW w:w="2268" w:type="dxa"/>
          </w:tcPr>
          <w:p>
            <w:pPr>
              <w:spacing w:after="0" w:line="240" w:lineRule="auto"/>
              <w:rPr>
                <w:rFonts w:ascii="Times New Roman" w:hAnsi="Times New Roman" w:cs="Times New Roman"/>
                <w:noProof/>
                <w:sz w:val="21"/>
                <w:szCs w:val="21"/>
              </w:rPr>
            </w:pPr>
            <w:r>
              <w:rPr>
                <w:rFonts w:ascii="Times New Roman" w:hAnsi="Times New Roman"/>
                <w:noProof/>
                <w:sz w:val="21"/>
              </w:rPr>
              <w:t>Instrument fournissant des capitaux au secteur privé à des conditions qui ne sont pas offertes localement</w:t>
            </w:r>
          </w:p>
        </w:tc>
        <w:tc>
          <w:tcPr>
            <w:tcW w:w="1985" w:type="dxa"/>
          </w:tcPr>
          <w:p>
            <w:pPr>
              <w:spacing w:after="0" w:line="240" w:lineRule="auto"/>
              <w:rPr>
                <w:rFonts w:ascii="Times New Roman" w:hAnsi="Times New Roman" w:cs="Times New Roman"/>
                <w:noProof/>
                <w:sz w:val="21"/>
                <w:szCs w:val="21"/>
              </w:rPr>
            </w:pPr>
            <w:r>
              <w:rPr>
                <w:rFonts w:ascii="Times New Roman" w:hAnsi="Times New Roman"/>
                <w:noProof/>
                <w:sz w:val="21"/>
              </w:rPr>
              <w:t>Instrument de financement destiné à promouvoir les projets d'efficacité énergétique et d'énergies renouvelables par l'intermédiaire de fonds régionaux de capital-investissement</w:t>
            </w:r>
          </w:p>
        </w:tc>
        <w:tc>
          <w:tcPr>
            <w:tcW w:w="2551" w:type="dxa"/>
          </w:tcPr>
          <w:p>
            <w:pPr>
              <w:spacing w:after="0" w:line="240" w:lineRule="auto"/>
              <w:ind w:right="57"/>
              <w:rPr>
                <w:rFonts w:ascii="Times New Roman" w:hAnsi="Times New Roman" w:cs="Times New Roman"/>
                <w:noProof/>
                <w:sz w:val="21"/>
                <w:szCs w:val="21"/>
              </w:rPr>
            </w:pPr>
            <w:r>
              <w:rPr>
                <w:rFonts w:ascii="Times New Roman" w:hAnsi="Times New Roman"/>
                <w:noProof/>
                <w:sz w:val="21"/>
              </w:rPr>
              <w:t xml:space="preserve">ElectriFI vise à combler les lacunes en matière de structuration et de financement des investissements, afin de remédier à la difficulté d’accéder, partout dans le monde, à une électricité et à des services énergétiques propres, fiables et abordables. AgriFI a pour objectif principal le développement de chaînes de valeur reposant sur une agriculture inclusive et durable. Les mesures de lutte contre le changement climatique visent à traduire les stratégies climatiques locales en plans d’action, budgets et projets d’investissement. </w:t>
            </w:r>
          </w:p>
        </w:tc>
      </w:tr>
      <w:tr>
        <w:trPr>
          <w:trHeight w:val="401"/>
        </w:trPr>
        <w:tc>
          <w:tcPr>
            <w:tcW w:w="2127"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c) Institutions financières concernées</w:t>
            </w:r>
            <w:r>
              <w:rPr>
                <w:noProof/>
              </w:rPr>
              <w:t xml:space="preserve"> </w:t>
            </w:r>
            <w:r>
              <w:rPr>
                <w:rFonts w:ascii="Times New Roman" w:hAnsi="Times New Roman"/>
                <w:i/>
                <w:noProof/>
                <w:sz w:val="21"/>
              </w:rPr>
              <w:t>(institutions financières chefs de file pour les instrument de financement de la coopération au développement)</w:t>
            </w:r>
          </w:p>
        </w:tc>
        <w:tc>
          <w:tcPr>
            <w:tcW w:w="1701"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BEI, BERD, CEB, NIB, NEFCO, AFD, KfW, AECID, SIMEST</w:t>
            </w:r>
          </w:p>
        </w:tc>
        <w:tc>
          <w:tcPr>
            <w:tcW w:w="297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BEI, BERD, KfW, AFD</w:t>
            </w:r>
          </w:p>
        </w:tc>
        <w:tc>
          <w:tcPr>
            <w:tcW w:w="1842"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BEI, AFD, AECID, KfW</w:t>
            </w:r>
          </w:p>
        </w:tc>
        <w:tc>
          <w:tcPr>
            <w:tcW w:w="226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BEI</w:t>
            </w:r>
          </w:p>
        </w:tc>
        <w:tc>
          <w:tcPr>
            <w:tcW w:w="1985" w:type="dxa"/>
            <w:shd w:val="clear" w:color="auto" w:fill="D3DFEE"/>
          </w:tcPr>
          <w:p>
            <w:pPr>
              <w:spacing w:before="60" w:after="120" w:line="240" w:lineRule="auto"/>
              <w:ind w:right="57"/>
              <w:rPr>
                <w:rFonts w:ascii="Times New Roman" w:hAnsi="Times New Roman" w:cs="Times New Roman"/>
                <w:noProof/>
                <w:sz w:val="21"/>
                <w:szCs w:val="21"/>
              </w:rPr>
            </w:pPr>
            <w:r>
              <w:rPr>
                <w:rFonts w:ascii="Times New Roman" w:hAnsi="Times New Roman"/>
                <w:noProof/>
                <w:sz w:val="21"/>
              </w:rPr>
              <w:t>FEI (mandataire)</w:t>
            </w:r>
          </w:p>
          <w:p>
            <w:pPr>
              <w:spacing w:before="60" w:after="120" w:line="240" w:lineRule="auto"/>
              <w:rPr>
                <w:rFonts w:ascii="Times New Roman" w:hAnsi="Times New Roman" w:cs="Times New Roman"/>
                <w:noProof/>
                <w:sz w:val="21"/>
                <w:szCs w:val="21"/>
              </w:rPr>
            </w:pPr>
            <w:r>
              <w:rPr>
                <w:rFonts w:ascii="Times New Roman" w:hAnsi="Times New Roman"/>
                <w:noProof/>
                <w:sz w:val="21"/>
              </w:rPr>
              <w:t>BEI,</w:t>
            </w:r>
          </w:p>
        </w:tc>
        <w:tc>
          <w:tcPr>
            <w:tcW w:w="2551"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AFD, FMO, KfW, PROPARCO</w:t>
            </w:r>
          </w:p>
        </w:tc>
      </w:tr>
      <w:tr>
        <w:tc>
          <w:tcPr>
            <w:tcW w:w="2127" w:type="dxa"/>
            <w:shd w:val="clear" w:color="auto" w:fill="4F81BD" w:themeFill="accent1"/>
          </w:tcPr>
          <w:p>
            <w:pPr>
              <w:spacing w:before="60" w:after="120"/>
              <w:rPr>
                <w:rFonts w:ascii="Times New Roman" w:hAnsi="Times New Roman" w:cs="Times New Roman"/>
                <w:b/>
                <w:bCs/>
                <w:noProof/>
                <w:color w:val="FFFFFF"/>
                <w:sz w:val="21"/>
                <w:szCs w:val="21"/>
              </w:rPr>
            </w:pPr>
          </w:p>
        </w:tc>
        <w:tc>
          <w:tcPr>
            <w:tcW w:w="1701"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Facilité d'investissement dans le cadre de la politique de voisinage – FIPV</w:t>
            </w:r>
          </w:p>
        </w:tc>
        <w:tc>
          <w:tcPr>
            <w:tcW w:w="2977"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Facilité d’investissement pour l’Asie centrale (FIAC) et facilité d’investissement pour l’Asie (FIA)</w:t>
            </w:r>
          </w:p>
        </w:tc>
        <w:tc>
          <w:tcPr>
            <w:tcW w:w="1842"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Facilité d’investissement pour l'Amérique latine — FIAL</w:t>
            </w:r>
          </w:p>
        </w:tc>
        <w:tc>
          <w:tcPr>
            <w:tcW w:w="2268"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Soutien à la FEMIP</w:t>
            </w:r>
          </w:p>
          <w:p>
            <w:pPr>
              <w:spacing w:after="0"/>
              <w:rPr>
                <w:rFonts w:ascii="Times New Roman" w:hAnsi="Times New Roman" w:cs="Times New Roman"/>
                <w:b/>
                <w:bCs/>
                <w:noProof/>
                <w:color w:val="FFFFFF"/>
                <w:sz w:val="21"/>
                <w:szCs w:val="21"/>
              </w:rPr>
            </w:pPr>
          </w:p>
        </w:tc>
        <w:tc>
          <w:tcPr>
            <w:tcW w:w="1985"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Fonds mondial pour l'efficacité énergétique et les énergies renouvelables — GEEREF</w:t>
            </w:r>
          </w:p>
          <w:p>
            <w:pPr>
              <w:spacing w:after="0"/>
              <w:rPr>
                <w:rFonts w:ascii="Times New Roman" w:hAnsi="Times New Roman" w:cs="Times New Roman"/>
                <w:b/>
                <w:bCs/>
                <w:noProof/>
                <w:color w:val="FFFFFF"/>
                <w:sz w:val="21"/>
                <w:szCs w:val="21"/>
              </w:rPr>
            </w:pPr>
          </w:p>
        </w:tc>
        <w:tc>
          <w:tcPr>
            <w:tcW w:w="2551"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Combinaison thématiques (ElectriFI, AgriFI, changement climatique)</w:t>
            </w:r>
          </w:p>
        </w:tc>
      </w:tr>
      <w:tr>
        <w:trPr>
          <w:trHeight w:val="1516"/>
        </w:trPr>
        <w:tc>
          <w:tcPr>
            <w:tcW w:w="2127"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d) Total des engagements et des paiements budgétaires</w:t>
            </w:r>
          </w:p>
        </w:tc>
        <w:tc>
          <w:tcPr>
            <w:tcW w:w="1701"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1 678,64 Mio EUR</w:t>
            </w:r>
            <w:r>
              <w:rPr>
                <w:rFonts w:ascii="Times New Roman" w:hAnsi="Times New Roman" w:cs="Times New Roman"/>
                <w:noProof/>
                <w:sz w:val="21"/>
                <w:szCs w:val="21"/>
              </w:rPr>
              <w:br/>
            </w:r>
            <w:r>
              <w:rPr>
                <w:rFonts w:ascii="Times New Roman" w:hAnsi="Times New Roman"/>
                <w:noProof/>
                <w:sz w:val="21"/>
              </w:rPr>
              <w:t>757,17 Mio EUR</w:t>
            </w:r>
          </w:p>
        </w:tc>
        <w:tc>
          <w:tcPr>
            <w:tcW w:w="2977" w:type="dxa"/>
            <w:shd w:val="clear" w:color="auto" w:fill="auto"/>
          </w:tcPr>
          <w:p>
            <w:pPr>
              <w:spacing w:before="60" w:after="120" w:line="240" w:lineRule="auto"/>
              <w:rPr>
                <w:rFonts w:ascii="Times New Roman" w:hAnsi="Times New Roman" w:cs="Times New Roman"/>
                <w:noProof/>
                <w:sz w:val="21"/>
                <w:szCs w:val="21"/>
                <w:lang w:val="it-IT"/>
              </w:rPr>
            </w:pPr>
            <w:r>
              <w:rPr>
                <w:rFonts w:ascii="Times New Roman" w:hAnsi="Times New Roman"/>
                <w:noProof/>
                <w:sz w:val="21"/>
                <w:lang w:val="it-IT"/>
              </w:rPr>
              <w:t>349 Mio EUR</w:t>
            </w:r>
            <w:r>
              <w:rPr>
                <w:rFonts w:ascii="Times New Roman" w:hAnsi="Times New Roman" w:cs="Times New Roman"/>
                <w:noProof/>
                <w:sz w:val="21"/>
                <w:szCs w:val="21"/>
                <w:lang w:val="it-IT"/>
              </w:rPr>
              <w:br/>
            </w:r>
            <w:r>
              <w:rPr>
                <w:rFonts w:ascii="Times New Roman" w:hAnsi="Times New Roman"/>
                <w:noProof/>
                <w:sz w:val="21"/>
                <w:lang w:val="it-IT"/>
              </w:rPr>
              <w:t>(FIAC: 166 Mio EUR</w:t>
            </w:r>
            <w:r>
              <w:rPr>
                <w:rFonts w:ascii="Times New Roman" w:hAnsi="Times New Roman" w:cs="Times New Roman"/>
                <w:noProof/>
                <w:sz w:val="21"/>
                <w:szCs w:val="21"/>
                <w:lang w:val="it-IT"/>
              </w:rPr>
              <w:br/>
            </w:r>
            <w:r>
              <w:rPr>
                <w:rFonts w:ascii="Times New Roman" w:hAnsi="Times New Roman"/>
                <w:noProof/>
                <w:sz w:val="21"/>
                <w:lang w:val="it-IT"/>
              </w:rPr>
              <w:t>FIA: 183 Mio EUR)</w:t>
            </w:r>
            <w:r>
              <w:rPr>
                <w:rFonts w:ascii="Times New Roman" w:hAnsi="Times New Roman" w:cs="Times New Roman"/>
                <w:noProof/>
                <w:sz w:val="21"/>
                <w:szCs w:val="21"/>
                <w:lang w:val="it-IT"/>
              </w:rPr>
              <w:br/>
            </w:r>
            <w:r>
              <w:rPr>
                <w:rFonts w:ascii="Times New Roman" w:hAnsi="Times New Roman"/>
                <w:noProof/>
                <w:sz w:val="21"/>
                <w:lang w:val="it-IT"/>
              </w:rPr>
              <w:t>132 Mio EUR</w:t>
            </w:r>
            <w:r>
              <w:rPr>
                <w:rFonts w:ascii="Times New Roman" w:hAnsi="Times New Roman" w:cs="Times New Roman"/>
                <w:noProof/>
                <w:sz w:val="21"/>
                <w:szCs w:val="21"/>
                <w:lang w:val="it-IT"/>
              </w:rPr>
              <w:br/>
            </w:r>
            <w:r>
              <w:rPr>
                <w:rFonts w:ascii="Times New Roman" w:hAnsi="Times New Roman"/>
                <w:noProof/>
                <w:sz w:val="21"/>
                <w:lang w:val="it-IT"/>
              </w:rPr>
              <w:t>(FIAC: 82 Mio EUR</w:t>
            </w:r>
            <w:r>
              <w:rPr>
                <w:rFonts w:ascii="Times New Roman" w:hAnsi="Times New Roman" w:cs="Times New Roman"/>
                <w:noProof/>
                <w:sz w:val="21"/>
                <w:szCs w:val="21"/>
                <w:lang w:val="it-IT"/>
              </w:rPr>
              <w:br/>
            </w:r>
            <w:r>
              <w:rPr>
                <w:rFonts w:ascii="Times New Roman" w:hAnsi="Times New Roman"/>
                <w:noProof/>
                <w:sz w:val="21"/>
                <w:lang w:val="it-IT"/>
              </w:rPr>
              <w:t>FIA: 50 Mio EUR)</w:t>
            </w:r>
          </w:p>
        </w:tc>
        <w:tc>
          <w:tcPr>
            <w:tcW w:w="1842" w:type="dxa"/>
            <w:shd w:val="clear" w:color="auto" w:fill="auto"/>
          </w:tcPr>
          <w:p>
            <w:pPr>
              <w:shd w:val="clear" w:color="auto" w:fill="FFFFFF"/>
              <w:spacing w:before="60" w:after="120" w:line="240" w:lineRule="auto"/>
              <w:ind w:right="57"/>
              <w:rPr>
                <w:rFonts w:ascii="Times New Roman" w:hAnsi="Times New Roman" w:cs="Times New Roman"/>
                <w:noProof/>
                <w:sz w:val="21"/>
                <w:szCs w:val="21"/>
              </w:rPr>
            </w:pPr>
            <w:r>
              <w:rPr>
                <w:rFonts w:ascii="Times New Roman" w:hAnsi="Times New Roman"/>
                <w:noProof/>
                <w:sz w:val="21"/>
              </w:rPr>
              <w:t>305 Mio EUR</w:t>
            </w:r>
            <w:r>
              <w:rPr>
                <w:rFonts w:ascii="Times New Roman" w:hAnsi="Times New Roman" w:cs="Times New Roman"/>
                <w:noProof/>
                <w:sz w:val="21"/>
                <w:szCs w:val="21"/>
              </w:rPr>
              <w:br/>
            </w:r>
            <w:r>
              <w:rPr>
                <w:rFonts w:ascii="Times New Roman" w:hAnsi="Times New Roman"/>
                <w:noProof/>
                <w:sz w:val="21"/>
              </w:rPr>
              <w:t>151 Mio EUR</w:t>
            </w:r>
            <w:r>
              <w:rPr>
                <w:rFonts w:ascii="Times New Roman" w:hAnsi="Times New Roman" w:cs="Times New Roman"/>
                <w:noProof/>
                <w:sz w:val="21"/>
                <w:szCs w:val="21"/>
              </w:rPr>
              <w:br/>
            </w:r>
            <w:r>
              <w:rPr>
                <w:rFonts w:ascii="Times New Roman" w:hAnsi="Times New Roman"/>
                <w:noProof/>
                <w:sz w:val="21"/>
              </w:rPr>
              <w:t>Volet «changement climatique»:</w:t>
            </w:r>
            <w:r>
              <w:rPr>
                <w:rFonts w:ascii="Times New Roman" w:hAnsi="Times New Roman" w:cs="Times New Roman"/>
                <w:noProof/>
                <w:sz w:val="21"/>
                <w:szCs w:val="21"/>
              </w:rPr>
              <w:br/>
            </w:r>
            <w:r>
              <w:rPr>
                <w:rFonts w:ascii="Times New Roman" w:hAnsi="Times New Roman"/>
                <w:noProof/>
                <w:sz w:val="21"/>
              </w:rPr>
              <w:t>17,3 Mio EUR</w:t>
            </w:r>
            <w:r>
              <w:rPr>
                <w:rFonts w:ascii="Times New Roman" w:hAnsi="Times New Roman" w:cs="Times New Roman"/>
                <w:noProof/>
                <w:sz w:val="21"/>
                <w:szCs w:val="21"/>
              </w:rPr>
              <w:br/>
            </w:r>
            <w:r>
              <w:rPr>
                <w:rFonts w:ascii="Times New Roman" w:hAnsi="Times New Roman"/>
                <w:noProof/>
                <w:sz w:val="21"/>
              </w:rPr>
              <w:t>15,8 Mio EUR</w:t>
            </w:r>
          </w:p>
        </w:tc>
        <w:tc>
          <w:tcPr>
            <w:tcW w:w="2268" w:type="dxa"/>
          </w:tcPr>
          <w:p>
            <w:pPr>
              <w:spacing w:before="60" w:after="120" w:line="240" w:lineRule="auto"/>
              <w:ind w:right="57"/>
              <w:rPr>
                <w:rFonts w:ascii="Times New Roman" w:hAnsi="Times New Roman" w:cs="Times New Roman"/>
                <w:noProof/>
                <w:sz w:val="21"/>
                <w:szCs w:val="21"/>
              </w:rPr>
            </w:pPr>
            <w:r>
              <w:rPr>
                <w:rFonts w:ascii="Times New Roman" w:hAnsi="Times New Roman"/>
                <w:noProof/>
                <w:sz w:val="21"/>
              </w:rPr>
              <w:t>224 Mio EUR</w:t>
            </w:r>
            <w:r>
              <w:rPr>
                <w:rFonts w:ascii="Times New Roman" w:hAnsi="Times New Roman" w:cs="Times New Roman"/>
                <w:noProof/>
                <w:sz w:val="21"/>
                <w:szCs w:val="21"/>
              </w:rPr>
              <w:br/>
            </w:r>
            <w:r>
              <w:rPr>
                <w:rFonts w:ascii="Times New Roman" w:hAnsi="Times New Roman"/>
                <w:noProof/>
                <w:sz w:val="21"/>
              </w:rPr>
              <w:t>224 Mio EUR</w:t>
            </w:r>
          </w:p>
        </w:tc>
        <w:tc>
          <w:tcPr>
            <w:tcW w:w="1985" w:type="dxa"/>
          </w:tcPr>
          <w:p>
            <w:pPr>
              <w:spacing w:before="60" w:after="120" w:line="240" w:lineRule="auto"/>
              <w:ind w:right="57"/>
              <w:rPr>
                <w:rFonts w:ascii="Times New Roman" w:hAnsi="Times New Roman" w:cs="Times New Roman"/>
                <w:noProof/>
                <w:sz w:val="21"/>
                <w:szCs w:val="21"/>
              </w:rPr>
            </w:pPr>
            <w:r>
              <w:rPr>
                <w:rFonts w:ascii="Times New Roman" w:hAnsi="Times New Roman"/>
                <w:noProof/>
                <w:sz w:val="21"/>
              </w:rPr>
              <w:t>81,1 Mio EUR</w:t>
            </w:r>
            <w:r>
              <w:rPr>
                <w:rFonts w:ascii="Times New Roman" w:hAnsi="Times New Roman" w:cs="Times New Roman"/>
                <w:noProof/>
                <w:sz w:val="21"/>
                <w:szCs w:val="21"/>
              </w:rPr>
              <w:br/>
            </w:r>
            <w:r>
              <w:rPr>
                <w:rFonts w:ascii="Times New Roman" w:hAnsi="Times New Roman"/>
                <w:noProof/>
                <w:sz w:val="21"/>
              </w:rPr>
              <w:t>79,5 Mio EUR</w:t>
            </w:r>
          </w:p>
        </w:tc>
        <w:tc>
          <w:tcPr>
            <w:tcW w:w="2551" w:type="dxa"/>
          </w:tcPr>
          <w:p>
            <w:pPr>
              <w:spacing w:before="60" w:after="120" w:line="240" w:lineRule="auto"/>
              <w:ind w:right="57"/>
              <w:rPr>
                <w:rFonts w:ascii="Times New Roman" w:hAnsi="Times New Roman" w:cs="Times New Roman"/>
                <w:noProof/>
                <w:sz w:val="21"/>
                <w:szCs w:val="21"/>
              </w:rPr>
            </w:pPr>
            <w:r>
              <w:rPr>
                <w:rFonts w:ascii="Times New Roman" w:hAnsi="Times New Roman"/>
                <w:noProof/>
                <w:sz w:val="21"/>
              </w:rPr>
              <w:t>270,3 Mio EUR</w:t>
            </w:r>
            <w:r>
              <w:rPr>
                <w:rFonts w:ascii="Times New Roman" w:hAnsi="Times New Roman" w:cs="Times New Roman"/>
                <w:noProof/>
                <w:sz w:val="21"/>
                <w:szCs w:val="21"/>
              </w:rPr>
              <w:br/>
            </w:r>
            <w:r>
              <w:rPr>
                <w:rFonts w:ascii="Times New Roman" w:hAnsi="Times New Roman"/>
                <w:noProof/>
                <w:sz w:val="21"/>
              </w:rPr>
              <w:t>34,9 Mio EUR</w:t>
            </w:r>
          </w:p>
        </w:tc>
      </w:tr>
      <w:tr>
        <w:trPr>
          <w:trHeight w:val="2642"/>
        </w:trPr>
        <w:tc>
          <w:tcPr>
            <w:tcW w:w="2127"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e) Performances</w:t>
            </w:r>
          </w:p>
        </w:tc>
        <w:tc>
          <w:tcPr>
            <w:tcW w:w="1701"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16,95 Mrd EUR de financements approuvés pour 123 projets</w:t>
            </w:r>
          </w:p>
          <w:p>
            <w:pPr>
              <w:spacing w:before="60" w:after="120" w:line="240" w:lineRule="auto"/>
              <w:rPr>
                <w:rFonts w:ascii="Times New Roman" w:hAnsi="Times New Roman" w:cs="Times New Roman"/>
                <w:noProof/>
                <w:sz w:val="21"/>
                <w:szCs w:val="21"/>
              </w:rPr>
            </w:pPr>
          </w:p>
        </w:tc>
        <w:tc>
          <w:tcPr>
            <w:tcW w:w="297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 xml:space="preserve">4,1 Mrd EUR d’investissements financés au total, dont 2 672 Mio EUR de financements approuvés (285 Mio de contribution de l’UE, FIAC 143 Mio, FIA 142 Mio + 2 387 Mio – FICA 605 Mio, FIA 1 782 Mio) via les institutions financières européennes, en faveur de 46 projets (FIAC: 22, FIA: 24) </w:t>
            </w:r>
          </w:p>
        </w:tc>
        <w:tc>
          <w:tcPr>
            <w:tcW w:w="1842"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7,5 Mrd EUR d’investissements financés au total, dont 3 946 Mio EUR de financements approuvés (274 Mio de contribution de l’UE + 3 672 Mio) via les institutions financières européennes, en faveur de 33 projets</w:t>
            </w:r>
          </w:p>
        </w:tc>
        <w:tc>
          <w:tcPr>
            <w:tcW w:w="2268" w:type="dxa"/>
            <w:shd w:val="clear" w:color="auto" w:fill="D3DFEE"/>
          </w:tcPr>
          <w:p>
            <w:pPr>
              <w:spacing w:before="60" w:after="120" w:line="240" w:lineRule="auto"/>
              <w:ind w:right="57"/>
              <w:contextualSpacing/>
              <w:rPr>
                <w:rFonts w:ascii="Times New Roman" w:hAnsi="Times New Roman" w:cs="Times New Roman"/>
                <w:noProof/>
                <w:sz w:val="4"/>
                <w:szCs w:val="21"/>
              </w:rPr>
            </w:pPr>
          </w:p>
          <w:p>
            <w:pPr>
              <w:spacing w:before="60" w:after="120" w:line="240" w:lineRule="auto"/>
              <w:ind w:right="57"/>
              <w:contextualSpacing/>
              <w:rPr>
                <w:rFonts w:ascii="Times New Roman" w:hAnsi="Times New Roman" w:cs="Times New Roman"/>
                <w:noProof/>
                <w:sz w:val="21"/>
                <w:szCs w:val="21"/>
              </w:rPr>
            </w:pPr>
            <w:r>
              <w:rPr>
                <w:rFonts w:ascii="Times New Roman" w:hAnsi="Times New Roman"/>
                <w:noProof/>
                <w:sz w:val="21"/>
              </w:rPr>
              <w:t>33,1 Mio EUR alloués à des opérations d’assistance technique; 180,3 Mio EUR de financements alloués à 28 opérations de capital-risque, pour des projets d’un coût total de près de 4,4 Mrd EUR; Co-financement de la BEI de 2,3 Mrd EUR.</w:t>
            </w:r>
          </w:p>
        </w:tc>
        <w:tc>
          <w:tcPr>
            <w:tcW w:w="1985" w:type="dxa"/>
            <w:shd w:val="clear" w:color="auto" w:fill="D3DFEE"/>
          </w:tcPr>
          <w:p>
            <w:pPr>
              <w:spacing w:before="60" w:after="120" w:line="240" w:lineRule="auto"/>
              <w:ind w:right="57"/>
              <w:rPr>
                <w:rFonts w:ascii="Times New Roman" w:hAnsi="Times New Roman" w:cs="Times New Roman"/>
                <w:noProof/>
                <w:sz w:val="21"/>
                <w:szCs w:val="21"/>
              </w:rPr>
            </w:pPr>
            <w:r>
              <w:rPr>
                <w:rFonts w:ascii="Times New Roman" w:hAnsi="Times New Roman"/>
                <w:noProof/>
                <w:sz w:val="21"/>
              </w:rPr>
              <w:t xml:space="preserve">222 Mio EUR de financement attendu en faveur de projets éligibles; financement atteint: 148 Mio EUR en faveur de 84 projets. </w:t>
            </w:r>
          </w:p>
          <w:p>
            <w:pPr>
              <w:spacing w:before="60" w:after="120" w:line="240" w:lineRule="auto"/>
              <w:rPr>
                <w:rFonts w:ascii="Times New Roman" w:hAnsi="Times New Roman" w:cs="Times New Roman"/>
                <w:noProof/>
                <w:sz w:val="21"/>
                <w:szCs w:val="21"/>
              </w:rPr>
            </w:pPr>
            <w:r>
              <w:rPr>
                <w:rFonts w:ascii="Times New Roman" w:hAnsi="Times New Roman"/>
                <w:noProof/>
                <w:sz w:val="21"/>
              </w:rPr>
              <w:t xml:space="preserve"> </w:t>
            </w:r>
          </w:p>
        </w:tc>
        <w:tc>
          <w:tcPr>
            <w:tcW w:w="2551"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Pas encore disponible; premier accord conclu au titre d’EDFI ElectriFI en vue d’investir 2,5 Mio USD en obligations convertibles dans un projet en République d’Haïti</w:t>
            </w:r>
          </w:p>
        </w:tc>
      </w:tr>
      <w:tr>
        <w:trPr>
          <w:trHeight w:val="823"/>
        </w:trPr>
        <w:tc>
          <w:tcPr>
            <w:tcW w:w="2127"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f) Évaluation de l’utilisation des montants remboursés à l’instrument</w:t>
            </w:r>
          </w:p>
        </w:tc>
        <w:tc>
          <w:tcPr>
            <w:tcW w:w="1701"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97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1842"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268"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1985"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551"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r>
      <w:tr>
        <w:trPr>
          <w:trHeight w:val="947"/>
        </w:trPr>
        <w:tc>
          <w:tcPr>
            <w:tcW w:w="2127"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g) Solde du compte fiduciaire</w:t>
            </w:r>
            <w:r>
              <w:rPr>
                <w:rStyle w:val="FootnoteReference"/>
                <w:rFonts w:ascii="Times New Roman" w:hAnsi="Times New Roman"/>
                <w:b/>
                <w:noProof/>
                <w:sz w:val="21"/>
              </w:rPr>
              <w:footnoteReference w:id="24"/>
            </w:r>
          </w:p>
        </w:tc>
        <w:tc>
          <w:tcPr>
            <w:tcW w:w="1701"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Voir le détail des 10 comptes fiduciaires dans le document de travail 2, partie 6.1</w:t>
            </w:r>
          </w:p>
        </w:tc>
        <w:tc>
          <w:tcPr>
            <w:tcW w:w="2977"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Fonds d’investissement MIFA (sous FIAC et FIA): 9,23 Mio EUR</w:t>
            </w:r>
          </w:p>
        </w:tc>
        <w:tc>
          <w:tcPr>
            <w:tcW w:w="1842"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268"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 xml:space="preserve">45,37 Mio EUR </w:t>
            </w:r>
          </w:p>
        </w:tc>
        <w:tc>
          <w:tcPr>
            <w:tcW w:w="1985"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73,58 Mio EUR</w:t>
            </w:r>
          </w:p>
        </w:tc>
        <w:tc>
          <w:tcPr>
            <w:tcW w:w="2551"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30,3 Mio EUR</w:t>
            </w:r>
          </w:p>
        </w:tc>
      </w:tr>
      <w:tr>
        <w:tc>
          <w:tcPr>
            <w:tcW w:w="2127" w:type="dxa"/>
            <w:shd w:val="clear" w:color="auto" w:fill="4F81BD" w:themeFill="accent1"/>
          </w:tcPr>
          <w:p>
            <w:pPr>
              <w:spacing w:before="60" w:after="120"/>
              <w:rPr>
                <w:rFonts w:ascii="Times New Roman" w:hAnsi="Times New Roman" w:cs="Times New Roman"/>
                <w:b/>
                <w:bCs/>
                <w:noProof/>
                <w:color w:val="FFFFFF"/>
                <w:sz w:val="21"/>
                <w:szCs w:val="21"/>
              </w:rPr>
            </w:pPr>
          </w:p>
        </w:tc>
        <w:tc>
          <w:tcPr>
            <w:tcW w:w="1701"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Facilité d'investissement dans le cadre de la politique de voisinage – FIPV</w:t>
            </w:r>
          </w:p>
        </w:tc>
        <w:tc>
          <w:tcPr>
            <w:tcW w:w="2977"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Facilité d’investissement pour l’Asie centrale (FIAC) et facilité d’investissement pour l’Asie (FIA)</w:t>
            </w:r>
          </w:p>
        </w:tc>
        <w:tc>
          <w:tcPr>
            <w:tcW w:w="1842"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Facilité d’investissement pour l'Amérique latine — FIAL</w:t>
            </w:r>
          </w:p>
        </w:tc>
        <w:tc>
          <w:tcPr>
            <w:tcW w:w="2268"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Soutien à la FEMIP</w:t>
            </w:r>
          </w:p>
          <w:p>
            <w:pPr>
              <w:spacing w:after="0"/>
              <w:rPr>
                <w:rFonts w:ascii="Times New Roman" w:hAnsi="Times New Roman" w:cs="Times New Roman"/>
                <w:b/>
                <w:bCs/>
                <w:noProof/>
                <w:color w:val="FFFFFF"/>
                <w:sz w:val="21"/>
                <w:szCs w:val="21"/>
              </w:rPr>
            </w:pPr>
          </w:p>
        </w:tc>
        <w:tc>
          <w:tcPr>
            <w:tcW w:w="1985"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Fonds mondial pour l'efficacité énergétique et les énergies renouvelables — GEEREF</w:t>
            </w:r>
          </w:p>
          <w:p>
            <w:pPr>
              <w:spacing w:after="0"/>
              <w:rPr>
                <w:rFonts w:ascii="Times New Roman" w:hAnsi="Times New Roman" w:cs="Times New Roman"/>
                <w:b/>
                <w:bCs/>
                <w:noProof/>
                <w:color w:val="FFFFFF"/>
                <w:sz w:val="21"/>
                <w:szCs w:val="21"/>
              </w:rPr>
            </w:pPr>
          </w:p>
        </w:tc>
        <w:tc>
          <w:tcPr>
            <w:tcW w:w="2551"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b/>
                <w:noProof/>
                <w:color w:val="FFFFFF"/>
                <w:sz w:val="21"/>
              </w:rPr>
              <w:t>Combinaison thématiques (ElectriFI, AgriFI, changement climatique)</w:t>
            </w:r>
          </w:p>
        </w:tc>
      </w:tr>
      <w:tr>
        <w:tc>
          <w:tcPr>
            <w:tcW w:w="2127"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h) Recettes et remboursements</w:t>
            </w:r>
          </w:p>
        </w:tc>
        <w:tc>
          <w:tcPr>
            <w:tcW w:w="1701"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0 EUR</w:t>
            </w:r>
          </w:p>
        </w:tc>
        <w:tc>
          <w:tcPr>
            <w:tcW w:w="297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1842"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268"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13,7 Mio EUR</w:t>
            </w:r>
          </w:p>
        </w:tc>
        <w:tc>
          <w:tcPr>
            <w:tcW w:w="1985"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551"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r>
      <w:tr>
        <w:tc>
          <w:tcPr>
            <w:tcW w:w="2127"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i) Valeur des investissements de fonds propres</w:t>
            </w:r>
          </w:p>
        </w:tc>
        <w:tc>
          <w:tcPr>
            <w:tcW w:w="1701" w:type="dxa"/>
            <w:shd w:val="clear" w:color="auto" w:fill="D3DFEE"/>
          </w:tcPr>
          <w:p>
            <w:pPr>
              <w:spacing w:before="60" w:after="120" w:line="240" w:lineRule="auto"/>
              <w:rPr>
                <w:rFonts w:ascii="Times New Roman" w:hAnsi="Times New Roman" w:cs="Times New Roman"/>
                <w:noProof/>
                <w:sz w:val="21"/>
                <w:szCs w:val="21"/>
                <w:lang w:val="it-IT"/>
              </w:rPr>
            </w:pPr>
            <w:r>
              <w:rPr>
                <w:rFonts w:ascii="Times New Roman" w:hAnsi="Times New Roman"/>
                <w:noProof/>
                <w:sz w:val="21"/>
                <w:lang w:val="it-IT"/>
              </w:rPr>
              <w:t>SANAD: 8,76 Mio USD</w:t>
            </w:r>
            <w:r>
              <w:rPr>
                <w:rFonts w:ascii="Times New Roman" w:hAnsi="Times New Roman" w:cs="Times New Roman"/>
                <w:noProof/>
                <w:sz w:val="21"/>
                <w:szCs w:val="21"/>
                <w:lang w:val="it-IT"/>
              </w:rPr>
              <w:br/>
            </w:r>
            <w:r>
              <w:rPr>
                <w:rFonts w:ascii="Times New Roman" w:hAnsi="Times New Roman"/>
                <w:noProof/>
                <w:sz w:val="21"/>
                <w:lang w:val="it-IT"/>
              </w:rPr>
              <w:t>FEESE: 4,80 Mio EUR</w:t>
            </w:r>
            <w:r>
              <w:rPr>
                <w:rFonts w:ascii="Times New Roman" w:hAnsi="Times New Roman"/>
                <w:noProof/>
                <w:lang w:val="it-IT"/>
              </w:rPr>
              <w:t xml:space="preserve"> </w:t>
            </w:r>
            <w:r>
              <w:rPr>
                <w:rFonts w:ascii="Times New Roman" w:hAnsi="Times New Roman" w:cs="Times New Roman"/>
                <w:noProof/>
                <w:lang w:val="it-IT"/>
              </w:rPr>
              <w:br/>
            </w:r>
            <w:r>
              <w:rPr>
                <w:rFonts w:ascii="Times New Roman" w:hAnsi="Times New Roman"/>
                <w:noProof/>
                <w:lang w:val="it-IT"/>
              </w:rPr>
              <w:t>FCV: 9,94 Mio EUR</w:t>
            </w:r>
          </w:p>
        </w:tc>
        <w:tc>
          <w:tcPr>
            <w:tcW w:w="297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9,23 Mio EUR</w:t>
            </w:r>
          </w:p>
          <w:p>
            <w:pPr>
              <w:spacing w:before="60" w:after="120" w:line="240" w:lineRule="auto"/>
              <w:rPr>
                <w:rFonts w:ascii="Times New Roman" w:hAnsi="Times New Roman" w:cs="Times New Roman"/>
                <w:noProof/>
                <w:sz w:val="21"/>
                <w:szCs w:val="21"/>
              </w:rPr>
            </w:pPr>
            <w:r>
              <w:rPr>
                <w:rFonts w:ascii="Times New Roman" w:hAnsi="Times New Roman"/>
                <w:noProof/>
                <w:sz w:val="21"/>
              </w:rPr>
              <w:t>(MIFA, voir ci-dessus)</w:t>
            </w:r>
          </w:p>
        </w:tc>
        <w:tc>
          <w:tcPr>
            <w:tcW w:w="1842"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268" w:type="dxa"/>
            <w:shd w:val="clear" w:color="auto" w:fill="D3DFEE"/>
          </w:tcPr>
          <w:p>
            <w:pPr>
              <w:spacing w:before="60" w:after="120" w:line="240" w:lineRule="auto"/>
              <w:ind w:right="57"/>
              <w:rPr>
                <w:rFonts w:ascii="Times New Roman" w:hAnsi="Times New Roman" w:cs="Times New Roman"/>
                <w:noProof/>
                <w:sz w:val="21"/>
                <w:szCs w:val="21"/>
              </w:rPr>
            </w:pPr>
            <w:r>
              <w:rPr>
                <w:rFonts w:ascii="Times New Roman" w:hAnsi="Times New Roman"/>
                <w:noProof/>
                <w:sz w:val="21"/>
              </w:rPr>
              <w:t>81,4 Mio EUR</w:t>
            </w:r>
          </w:p>
          <w:p>
            <w:pPr>
              <w:spacing w:before="60" w:after="120" w:line="240" w:lineRule="auto"/>
              <w:rPr>
                <w:rFonts w:ascii="Times New Roman" w:hAnsi="Times New Roman" w:cs="Times New Roman"/>
                <w:noProof/>
                <w:sz w:val="21"/>
                <w:szCs w:val="21"/>
              </w:rPr>
            </w:pPr>
          </w:p>
        </w:tc>
        <w:tc>
          <w:tcPr>
            <w:tcW w:w="1985"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72,3 Mio EUR</w:t>
            </w:r>
          </w:p>
        </w:tc>
        <w:tc>
          <w:tcPr>
            <w:tcW w:w="2551"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r>
      <w:tr>
        <w:tc>
          <w:tcPr>
            <w:tcW w:w="2127"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j) Dépréciations / garanties appelées</w:t>
            </w:r>
          </w:p>
        </w:tc>
        <w:tc>
          <w:tcPr>
            <w:tcW w:w="1701"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0 EUR</w:t>
            </w:r>
          </w:p>
        </w:tc>
        <w:tc>
          <w:tcPr>
            <w:tcW w:w="297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1842"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268"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8,9 Mio EUR</w:t>
            </w:r>
          </w:p>
        </w:tc>
        <w:tc>
          <w:tcPr>
            <w:tcW w:w="1985"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c>
          <w:tcPr>
            <w:tcW w:w="2551" w:type="dxa"/>
          </w:tcPr>
          <w:p>
            <w:pPr>
              <w:spacing w:before="60" w:after="120" w:line="240" w:lineRule="auto"/>
              <w:rPr>
                <w:rFonts w:ascii="Times New Roman" w:hAnsi="Times New Roman" w:cs="Times New Roman"/>
                <w:noProof/>
                <w:sz w:val="21"/>
                <w:szCs w:val="21"/>
              </w:rPr>
            </w:pPr>
            <w:r>
              <w:rPr>
                <w:rFonts w:ascii="Times New Roman" w:hAnsi="Times New Roman"/>
                <w:noProof/>
                <w:sz w:val="21"/>
              </w:rPr>
              <w:t>Sans objet</w:t>
            </w:r>
          </w:p>
        </w:tc>
      </w:tr>
      <w:tr>
        <w:trPr>
          <w:trHeight w:val="1174"/>
        </w:trPr>
        <w:tc>
          <w:tcPr>
            <w:tcW w:w="2127" w:type="dxa"/>
            <w:shd w:val="clear" w:color="auto" w:fill="D3DFEE"/>
          </w:tcPr>
          <w:p>
            <w:pPr>
              <w:spacing w:before="60" w:after="120"/>
              <w:rPr>
                <w:rFonts w:ascii="Times New Roman" w:hAnsi="Times New Roman" w:cs="Times New Roman"/>
                <w:b/>
                <w:bCs/>
                <w:noProof/>
                <w:sz w:val="21"/>
                <w:szCs w:val="21"/>
              </w:rPr>
            </w:pPr>
            <w:r>
              <w:rPr>
                <w:rFonts w:ascii="Times New Roman" w:hAnsi="Times New Roman"/>
                <w:b/>
                <w:noProof/>
                <w:sz w:val="21"/>
              </w:rPr>
              <w:t>k) Effet de levier</w:t>
            </w:r>
          </w:p>
        </w:tc>
        <w:tc>
          <w:tcPr>
            <w:tcW w:w="1701"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Visé: 4 à 5</w:t>
            </w:r>
          </w:p>
          <w:p>
            <w:pPr>
              <w:spacing w:before="60" w:after="120" w:line="240" w:lineRule="auto"/>
              <w:rPr>
                <w:rFonts w:ascii="Times New Roman" w:hAnsi="Times New Roman" w:cs="Times New Roman"/>
                <w:noProof/>
                <w:sz w:val="21"/>
                <w:szCs w:val="21"/>
              </w:rPr>
            </w:pPr>
            <w:r>
              <w:rPr>
                <w:rFonts w:ascii="Times New Roman" w:hAnsi="Times New Roman"/>
                <w:noProof/>
                <w:sz w:val="21"/>
              </w:rPr>
              <w:t>Attendu: 6,48</w:t>
            </w:r>
          </w:p>
          <w:p>
            <w:pPr>
              <w:spacing w:before="60" w:after="120" w:line="240" w:lineRule="auto"/>
              <w:rPr>
                <w:rFonts w:ascii="Times New Roman" w:hAnsi="Times New Roman" w:cs="Times New Roman"/>
                <w:noProof/>
                <w:sz w:val="21"/>
                <w:szCs w:val="21"/>
              </w:rPr>
            </w:pPr>
            <w:r>
              <w:rPr>
                <w:rFonts w:ascii="Times New Roman" w:hAnsi="Times New Roman"/>
                <w:noProof/>
                <w:sz w:val="21"/>
              </w:rPr>
              <w:t>Atteint: 9,1</w:t>
            </w:r>
          </w:p>
        </w:tc>
        <w:tc>
          <w:tcPr>
            <w:tcW w:w="297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Visé: 4 à 5</w:t>
            </w:r>
          </w:p>
          <w:p>
            <w:pPr>
              <w:spacing w:before="60" w:after="120" w:line="240" w:lineRule="auto"/>
              <w:rPr>
                <w:rFonts w:ascii="Times New Roman" w:hAnsi="Times New Roman" w:cs="Times New Roman"/>
                <w:noProof/>
                <w:sz w:val="21"/>
                <w:szCs w:val="21"/>
              </w:rPr>
            </w:pPr>
            <w:r>
              <w:rPr>
                <w:rFonts w:ascii="Times New Roman" w:hAnsi="Times New Roman"/>
                <w:noProof/>
                <w:sz w:val="21"/>
              </w:rPr>
              <w:t>Atteint: 14,4</w:t>
            </w:r>
          </w:p>
          <w:p>
            <w:pPr>
              <w:spacing w:before="60" w:after="120" w:line="240" w:lineRule="auto"/>
              <w:rPr>
                <w:rFonts w:ascii="Times New Roman" w:hAnsi="Times New Roman" w:cs="Times New Roman"/>
                <w:noProof/>
                <w:sz w:val="21"/>
                <w:szCs w:val="21"/>
              </w:rPr>
            </w:pPr>
            <w:r>
              <w:rPr>
                <w:rFonts w:ascii="Times New Roman" w:hAnsi="Times New Roman"/>
                <w:noProof/>
                <w:sz w:val="21"/>
              </w:rPr>
              <w:t>(FIAC: 6,9 - FIA: 22,2)</w:t>
            </w:r>
          </w:p>
        </w:tc>
        <w:tc>
          <w:tcPr>
            <w:tcW w:w="1842"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Visé: 4 à 5</w:t>
            </w:r>
          </w:p>
          <w:p>
            <w:pPr>
              <w:spacing w:before="60" w:after="120" w:line="240" w:lineRule="auto"/>
              <w:rPr>
                <w:rFonts w:ascii="Times New Roman" w:hAnsi="Times New Roman" w:cs="Times New Roman"/>
                <w:noProof/>
                <w:sz w:val="21"/>
                <w:szCs w:val="21"/>
              </w:rPr>
            </w:pPr>
            <w:r>
              <w:rPr>
                <w:rFonts w:ascii="Times New Roman" w:hAnsi="Times New Roman"/>
                <w:noProof/>
                <w:sz w:val="21"/>
              </w:rPr>
              <w:t>Atteint: 27,5</w:t>
            </w:r>
          </w:p>
        </w:tc>
        <w:tc>
          <w:tcPr>
            <w:tcW w:w="2268" w:type="dxa"/>
            <w:shd w:val="clear" w:color="auto" w:fill="D3DFEE"/>
          </w:tcPr>
          <w:p>
            <w:pPr>
              <w:spacing w:before="60" w:after="120" w:line="240" w:lineRule="auto"/>
              <w:ind w:right="57"/>
              <w:rPr>
                <w:rFonts w:ascii="Times New Roman" w:hAnsi="Times New Roman" w:cs="Times New Roman"/>
                <w:noProof/>
                <w:sz w:val="21"/>
                <w:szCs w:val="21"/>
              </w:rPr>
            </w:pPr>
            <w:r>
              <w:rPr>
                <w:rFonts w:ascii="Times New Roman" w:hAnsi="Times New Roman"/>
                <w:noProof/>
                <w:sz w:val="21"/>
              </w:rPr>
              <w:t>Attendu (2007-2014): 6,0</w:t>
            </w:r>
          </w:p>
          <w:p>
            <w:pPr>
              <w:spacing w:before="60" w:after="120" w:line="240" w:lineRule="auto"/>
              <w:rPr>
                <w:rFonts w:ascii="Times New Roman" w:hAnsi="Times New Roman" w:cs="Times New Roman"/>
                <w:noProof/>
                <w:sz w:val="21"/>
                <w:szCs w:val="21"/>
              </w:rPr>
            </w:pPr>
            <w:r>
              <w:rPr>
                <w:rFonts w:ascii="Times New Roman" w:hAnsi="Times New Roman"/>
                <w:noProof/>
                <w:sz w:val="21"/>
              </w:rPr>
              <w:t>Atteint (2014): 26,8</w:t>
            </w:r>
          </w:p>
        </w:tc>
        <w:tc>
          <w:tcPr>
            <w:tcW w:w="1985" w:type="dxa"/>
            <w:shd w:val="clear" w:color="auto" w:fill="D3DFEE"/>
          </w:tcPr>
          <w:p>
            <w:pPr>
              <w:spacing w:before="60" w:after="120" w:line="240" w:lineRule="auto"/>
              <w:ind w:right="57"/>
              <w:rPr>
                <w:rFonts w:ascii="Times New Roman" w:hAnsi="Times New Roman" w:cs="Times New Roman"/>
                <w:i/>
                <w:noProof/>
                <w:sz w:val="21"/>
                <w:szCs w:val="21"/>
              </w:rPr>
            </w:pPr>
            <w:r>
              <w:rPr>
                <w:rFonts w:ascii="Times New Roman" w:hAnsi="Times New Roman"/>
                <w:noProof/>
                <w:sz w:val="21"/>
              </w:rPr>
              <w:t>Visé: 2,7</w:t>
            </w:r>
            <w:r>
              <w:rPr>
                <w:rFonts w:ascii="Times New Roman" w:hAnsi="Times New Roman" w:cs="Times New Roman"/>
                <w:noProof/>
                <w:sz w:val="21"/>
                <w:szCs w:val="21"/>
              </w:rPr>
              <w:br/>
            </w:r>
            <w:r>
              <w:rPr>
                <w:rFonts w:ascii="Times New Roman" w:hAnsi="Times New Roman"/>
                <w:noProof/>
                <w:sz w:val="21"/>
              </w:rPr>
              <w:t>Atteint: 2,7</w:t>
            </w:r>
            <w:r>
              <w:rPr>
                <w:rFonts w:ascii="Times New Roman" w:hAnsi="Times New Roman" w:cs="Times New Roman"/>
                <w:i/>
                <w:noProof/>
                <w:sz w:val="21"/>
                <w:szCs w:val="21"/>
              </w:rPr>
              <w:br/>
            </w:r>
            <w:r>
              <w:rPr>
                <w:rFonts w:ascii="Times New Roman" w:hAnsi="Times New Roman"/>
                <w:i/>
                <w:noProof/>
                <w:sz w:val="21"/>
              </w:rPr>
              <w:t>(au niveau du fonds de fonds –niveau de première contribution)</w:t>
            </w:r>
          </w:p>
        </w:tc>
        <w:tc>
          <w:tcPr>
            <w:tcW w:w="2551"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rPr>
              <w:t xml:space="preserve">Cible ElectriFI: 7,4 </w:t>
            </w:r>
          </w:p>
          <w:p>
            <w:pPr>
              <w:spacing w:before="60" w:after="120" w:line="240" w:lineRule="auto"/>
              <w:rPr>
                <w:rFonts w:ascii="Times New Roman" w:hAnsi="Times New Roman" w:cs="Times New Roman"/>
                <w:noProof/>
                <w:sz w:val="21"/>
                <w:szCs w:val="21"/>
              </w:rPr>
            </w:pPr>
            <w:r>
              <w:rPr>
                <w:rFonts w:ascii="Times New Roman" w:hAnsi="Times New Roman"/>
                <w:noProof/>
                <w:sz w:val="21"/>
              </w:rPr>
              <w:t>Cible AgriFI: 7,8</w:t>
            </w:r>
          </w:p>
        </w:tc>
      </w:tr>
      <w:tr>
        <w:trPr>
          <w:trHeight w:val="2017"/>
        </w:trPr>
        <w:tc>
          <w:tcPr>
            <w:tcW w:w="2127" w:type="dxa"/>
            <w:shd w:val="clear" w:color="auto" w:fill="auto"/>
          </w:tcPr>
          <w:p>
            <w:pPr>
              <w:spacing w:before="60" w:after="120"/>
              <w:rPr>
                <w:rFonts w:ascii="Times New Roman" w:hAnsi="Times New Roman" w:cs="Times New Roman"/>
                <w:b/>
                <w:bCs/>
                <w:noProof/>
                <w:sz w:val="21"/>
                <w:szCs w:val="21"/>
              </w:rPr>
            </w:pPr>
            <w:r>
              <w:rPr>
                <w:rFonts w:ascii="Times New Roman" w:hAnsi="Times New Roman"/>
                <w:b/>
                <w:noProof/>
                <w:sz w:val="21"/>
              </w:rPr>
              <w:t>l) Contribution à la réalisation des objectifs du programme</w:t>
            </w:r>
          </w:p>
        </w:tc>
        <w:tc>
          <w:tcPr>
            <w:tcW w:w="1701" w:type="dxa"/>
            <w:shd w:val="clear" w:color="auto" w:fill="auto"/>
          </w:tcPr>
          <w:p>
            <w:pPr>
              <w:autoSpaceDE w:val="0"/>
              <w:autoSpaceDN w:val="0"/>
              <w:adjustRightInd w:val="0"/>
              <w:spacing w:before="60" w:after="120" w:line="240" w:lineRule="auto"/>
              <w:rPr>
                <w:rFonts w:ascii="Times New Roman" w:hAnsi="Times New Roman" w:cs="Times New Roman"/>
                <w:noProof/>
                <w:sz w:val="21"/>
                <w:szCs w:val="21"/>
              </w:rPr>
            </w:pPr>
            <w:r>
              <w:rPr>
                <w:rFonts w:ascii="Times New Roman" w:hAnsi="Times New Roman"/>
                <w:noProof/>
                <w:sz w:val="21"/>
              </w:rPr>
              <w:t>29,22 Mrd EUR d’investissements mobilisés (coût total des projets);</w:t>
            </w:r>
          </w:p>
          <w:p>
            <w:pPr>
              <w:autoSpaceDE w:val="0"/>
              <w:autoSpaceDN w:val="0"/>
              <w:adjustRightInd w:val="0"/>
              <w:spacing w:before="60" w:after="120" w:line="240" w:lineRule="auto"/>
              <w:rPr>
                <w:rFonts w:ascii="Times New Roman" w:hAnsi="Times New Roman" w:cs="Times New Roman"/>
                <w:noProof/>
                <w:sz w:val="21"/>
                <w:szCs w:val="21"/>
              </w:rPr>
            </w:pPr>
            <w:r>
              <w:rPr>
                <w:rFonts w:ascii="Times New Roman" w:hAnsi="Times New Roman"/>
                <w:noProof/>
                <w:sz w:val="21"/>
              </w:rPr>
              <w:t>123 projets financés représentant 16,95 Mrd EUR de financement atteint.</w:t>
            </w:r>
          </w:p>
        </w:tc>
        <w:tc>
          <w:tcPr>
            <w:tcW w:w="2977" w:type="dxa"/>
            <w:shd w:val="clear" w:color="auto" w:fill="auto"/>
          </w:tcPr>
          <w:p>
            <w:pPr>
              <w:pStyle w:val="ListParagraph"/>
              <w:spacing w:after="120" w:line="240" w:lineRule="auto"/>
              <w:ind w:left="0"/>
              <w:rPr>
                <w:noProof/>
                <w:sz w:val="21"/>
                <w:szCs w:val="21"/>
              </w:rPr>
            </w:pPr>
            <w:r>
              <w:rPr>
                <w:noProof/>
                <w:sz w:val="21"/>
              </w:rPr>
              <w:t>4,1 Mrd EUR d’investissements mobilisés (FIAC: 970 Mio EUR,</w:t>
            </w:r>
          </w:p>
          <w:p>
            <w:pPr>
              <w:pStyle w:val="ListParagraph"/>
              <w:spacing w:after="120" w:line="240" w:lineRule="auto"/>
              <w:ind w:left="0"/>
              <w:rPr>
                <w:noProof/>
                <w:sz w:val="21"/>
                <w:szCs w:val="21"/>
              </w:rPr>
            </w:pPr>
            <w:r>
              <w:rPr>
                <w:noProof/>
                <w:sz w:val="21"/>
              </w:rPr>
              <w:t>FIA: 3 152 Mio EUR);</w:t>
            </w:r>
          </w:p>
          <w:p>
            <w:pPr>
              <w:pStyle w:val="ListParagraph"/>
              <w:spacing w:after="120" w:line="240" w:lineRule="auto"/>
              <w:ind w:left="0"/>
              <w:rPr>
                <w:noProof/>
                <w:sz w:val="21"/>
                <w:szCs w:val="21"/>
              </w:rPr>
            </w:pPr>
          </w:p>
          <w:p>
            <w:pPr>
              <w:pStyle w:val="ListParagraph"/>
              <w:spacing w:after="120" w:line="240" w:lineRule="auto"/>
              <w:ind w:left="0"/>
              <w:rPr>
                <w:noProof/>
                <w:sz w:val="21"/>
                <w:szCs w:val="21"/>
              </w:rPr>
            </w:pPr>
            <w:r>
              <w:rPr>
                <w:noProof/>
                <w:sz w:val="21"/>
              </w:rPr>
              <w:t>17 pays couverts (FIAC: 5, FIA: 12)</w:t>
            </w:r>
          </w:p>
        </w:tc>
        <w:tc>
          <w:tcPr>
            <w:tcW w:w="1842" w:type="dxa"/>
            <w:shd w:val="clear" w:color="auto" w:fill="auto"/>
          </w:tcPr>
          <w:p>
            <w:pPr>
              <w:spacing w:before="60" w:after="120" w:line="240" w:lineRule="auto"/>
              <w:ind w:right="57"/>
              <w:rPr>
                <w:rFonts w:ascii="Times New Roman" w:hAnsi="Times New Roman" w:cs="Times New Roman"/>
                <w:noProof/>
                <w:sz w:val="21"/>
                <w:szCs w:val="21"/>
              </w:rPr>
            </w:pPr>
            <w:r>
              <w:rPr>
                <w:rFonts w:ascii="Times New Roman" w:hAnsi="Times New Roman"/>
                <w:noProof/>
                <w:sz w:val="21"/>
              </w:rPr>
              <w:t>Plus de 7,5 Mrd EUR d’investissements mobilisés;</w:t>
            </w:r>
          </w:p>
          <w:p>
            <w:pPr>
              <w:pStyle w:val="ListParagraph"/>
              <w:spacing w:after="120" w:line="240" w:lineRule="auto"/>
              <w:ind w:left="0"/>
              <w:rPr>
                <w:noProof/>
                <w:sz w:val="21"/>
                <w:szCs w:val="21"/>
              </w:rPr>
            </w:pPr>
            <w:r>
              <w:rPr>
                <w:noProof/>
                <w:sz w:val="21"/>
              </w:rPr>
              <w:t>11 pays couverts.</w:t>
            </w:r>
          </w:p>
        </w:tc>
        <w:tc>
          <w:tcPr>
            <w:tcW w:w="2268" w:type="dxa"/>
          </w:tcPr>
          <w:p>
            <w:pPr>
              <w:spacing w:before="60" w:after="120" w:line="240" w:lineRule="auto"/>
              <w:ind w:right="57"/>
              <w:rPr>
                <w:rFonts w:ascii="Times New Roman" w:hAnsi="Times New Roman" w:cs="Times New Roman"/>
                <w:noProof/>
                <w:sz w:val="21"/>
                <w:szCs w:val="21"/>
              </w:rPr>
            </w:pPr>
            <w:r>
              <w:rPr>
                <w:rFonts w:ascii="Times New Roman" w:hAnsi="Times New Roman"/>
                <w:noProof/>
                <w:sz w:val="21"/>
              </w:rPr>
              <w:t>Près de 4,4 Mrd EUR d’investissements mobilisés;</w:t>
            </w:r>
          </w:p>
          <w:p>
            <w:pPr>
              <w:spacing w:before="60" w:after="120" w:line="240" w:lineRule="auto"/>
              <w:ind w:right="57"/>
              <w:rPr>
                <w:rFonts w:ascii="Times New Roman" w:hAnsi="Times New Roman" w:cs="Times New Roman"/>
                <w:noProof/>
                <w:sz w:val="21"/>
                <w:szCs w:val="21"/>
              </w:rPr>
            </w:pPr>
            <w:r>
              <w:rPr>
                <w:rFonts w:ascii="Times New Roman" w:hAnsi="Times New Roman"/>
                <w:noProof/>
                <w:sz w:val="21"/>
              </w:rPr>
              <w:t>6 pays couverts.</w:t>
            </w:r>
          </w:p>
        </w:tc>
        <w:tc>
          <w:tcPr>
            <w:tcW w:w="1985" w:type="dxa"/>
          </w:tcPr>
          <w:p>
            <w:pPr>
              <w:pStyle w:val="ListParagraph"/>
              <w:spacing w:after="120" w:line="240" w:lineRule="auto"/>
              <w:ind w:left="0" w:right="57"/>
              <w:rPr>
                <w:noProof/>
                <w:sz w:val="21"/>
                <w:szCs w:val="21"/>
              </w:rPr>
            </w:pPr>
            <w:r>
              <w:rPr>
                <w:noProof/>
                <w:sz w:val="21"/>
              </w:rPr>
              <w:t>148 Mio EUR de nouveaux financements investis dans 11 fonds régionaux de capital-investissement ou fonds constitués en sociétés; Près de 3 Mrd EUR d’investissements mobilisés/projets soutenus.</w:t>
            </w:r>
          </w:p>
        </w:tc>
        <w:tc>
          <w:tcPr>
            <w:tcW w:w="2551" w:type="dxa"/>
          </w:tcPr>
          <w:p>
            <w:pPr>
              <w:spacing w:before="60" w:after="120" w:line="240" w:lineRule="auto"/>
              <w:ind w:right="57"/>
              <w:rPr>
                <w:rFonts w:ascii="Times New Roman" w:hAnsi="Times New Roman" w:cs="Times New Roman"/>
                <w:noProof/>
                <w:sz w:val="21"/>
                <w:szCs w:val="21"/>
              </w:rPr>
            </w:pPr>
            <w:r>
              <w:rPr>
                <w:rFonts w:ascii="Times New Roman" w:hAnsi="Times New Roman"/>
                <w:noProof/>
                <w:sz w:val="21"/>
              </w:rPr>
              <w:t>Les investissements potentiels liés aux propositions retenues jusqu’à présent dans le cadre de l’EDFI ElectriFI s’élèveraient à 26,6 Mio EUR, pour une capacité installée de 38,3 MW.</w:t>
            </w:r>
          </w:p>
        </w:tc>
      </w:tr>
    </w:tbl>
    <w:p>
      <w:pPr>
        <w:rPr>
          <w:rFonts w:ascii="Times New Roman" w:hAnsi="Times New Roman" w:cs="Times New Roman"/>
          <w:noProof/>
          <w:sz w:val="20"/>
          <w:szCs w:val="20"/>
        </w:rPr>
      </w:pPr>
    </w:p>
    <w:sectPr>
      <w:headerReference w:type="even" r:id="rId25"/>
      <w:headerReference w:type="default" r:id="rId26"/>
      <w:footerReference w:type="even" r:id="rId27"/>
      <w:footerReference w:type="default" r:id="rId28"/>
      <w:headerReference w:type="first" r:id="rId29"/>
      <w:footerReference w:type="first" r:id="rId30"/>
      <w:pgSz w:w="16838" w:h="11906" w:orient="landscape" w:code="9"/>
      <w:pgMar w:top="1417" w:right="1417" w:bottom="1417" w:left="1417" w:header="708" w:footer="708"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before="0" w:after="120"/>
        <w:ind w:left="284" w:hanging="426"/>
        <w:jc w:val="both"/>
      </w:pPr>
      <w:r>
        <w:rPr>
          <w:rStyle w:val="FootnoteReference"/>
        </w:rPr>
        <w:footnoteRef/>
      </w:r>
      <w:r>
        <w:t xml:space="preserve"> </w:t>
      </w:r>
      <w:r>
        <w:tab/>
        <w:t>Le règlement financier actuel et ses règles d’application exigent une approche unifiée des informations diffusées concernant l'effet de levier. Étant donné que les dispositions applicables aux instruments financiers sont entrées en vigueur en janvier 2014, cette approche est appliquée uniquement aux instruments financiers de la période 2014-2020.</w:t>
      </w:r>
    </w:p>
  </w:footnote>
  <w:footnote w:id="3">
    <w:p>
      <w:pPr>
        <w:pStyle w:val="FootnoteText"/>
      </w:pPr>
      <w:r>
        <w:rPr>
          <w:rStyle w:val="FootnoteReference"/>
        </w:rPr>
        <w:footnoteRef/>
      </w:r>
      <w:r>
        <w:t xml:space="preserve"> Y compris tous les actifs: obligations et dépôts à terme courants et non courants, investissements en fonds propres et monnaies étrangères détenus sur les comptes de l’instrument financier</w:t>
      </w:r>
    </w:p>
  </w:footnote>
  <w:footnote w:id="4">
    <w:p>
      <w:pPr>
        <w:pStyle w:val="FootnoteText"/>
      </w:pPr>
      <w:r>
        <w:rPr>
          <w:rStyle w:val="FootnoteReference"/>
        </w:rPr>
        <w:footnoteRef/>
      </w:r>
      <w:r>
        <w:t xml:space="preserve"> Le chiffre de l’effet de levier visé correspond aux investissements envisagés dans des intermédiaires financiers</w:t>
      </w:r>
    </w:p>
  </w:footnote>
  <w:footnote w:id="5">
    <w:p>
      <w:pPr>
        <w:pStyle w:val="FootnoteText"/>
      </w:pPr>
      <w:r>
        <w:rPr>
          <w:rStyle w:val="FootnoteReference"/>
        </w:rPr>
        <w:footnoteRef/>
      </w:r>
      <w:r>
        <w:t xml:space="preserve"> Données incluant l’EFSI; pour plus de précisions, voir le document de travail. </w:t>
      </w:r>
    </w:p>
  </w:footnote>
  <w:footnote w:id="6">
    <w:p>
      <w:pPr>
        <w:pStyle w:val="FootnoteText"/>
      </w:pPr>
      <w:r>
        <w:rPr>
          <w:rStyle w:val="FootnoteReference"/>
        </w:rPr>
        <w:footnoteRef/>
      </w:r>
      <w:r>
        <w:t xml:space="preserve"> Y compris tous les actifs: obligations et dépôts à terme courants et non courants, investissements en fonds propres et monnaies étrangères détenus sur les comptes de l’instrument financier</w:t>
      </w:r>
    </w:p>
  </w:footnote>
  <w:footnote w:id="7">
    <w:p>
      <w:pPr>
        <w:pStyle w:val="FootnoteText"/>
        <w:jc w:val="both"/>
      </w:pPr>
      <w:r>
        <w:rPr>
          <w:rStyle w:val="FootnoteReference"/>
        </w:rPr>
        <w:footnoteRef/>
      </w:r>
      <w:r>
        <w:t xml:space="preserve"> Veuillez noter que le chiffre fourni est également inclus dans le MFPR.</w:t>
      </w:r>
    </w:p>
  </w:footnote>
  <w:footnote w:id="8">
    <w:p>
      <w:pPr>
        <w:pStyle w:val="FootnoteText"/>
      </w:pPr>
      <w:r>
        <w:rPr>
          <w:rStyle w:val="FootnoteReference"/>
        </w:rPr>
        <w:footnoteRef/>
      </w:r>
      <w:r>
        <w:t xml:space="preserve"> Données incluant l’EFSI; pour plus de précisions, voir le document de travail.</w:t>
      </w:r>
    </w:p>
  </w:footnote>
  <w:footnote w:id="9">
    <w:p>
      <w:pPr>
        <w:pStyle w:val="FootnoteText"/>
      </w:pPr>
      <w:r>
        <w:rPr>
          <w:rStyle w:val="FootnoteReference"/>
        </w:rPr>
        <w:footnoteRef/>
      </w:r>
      <w:r>
        <w:t xml:space="preserve"> Données incluant l’EFSI; pour plus de précisions, voir le document de travail.</w:t>
      </w:r>
    </w:p>
  </w:footnote>
  <w:footnote w:id="10">
    <w:p>
      <w:pPr>
        <w:pStyle w:val="FootnoteText"/>
      </w:pPr>
      <w:r>
        <w:rPr>
          <w:rStyle w:val="FootnoteReference"/>
        </w:rPr>
        <w:footnoteRef/>
      </w:r>
      <w:r>
        <w:t xml:space="preserve"> Y compris tous les actifs: obligations et dépôts à terme courants et non courants, investissements en fonds propres et monnaies étrangères détenus sur les comptes de l’instrument financier</w:t>
      </w:r>
    </w:p>
  </w:footnote>
  <w:footnote w:id="11">
    <w:p>
      <w:pPr>
        <w:pStyle w:val="FootnoteText"/>
      </w:pPr>
      <w:r>
        <w:rPr>
          <w:rStyle w:val="FootnoteReference"/>
        </w:rPr>
        <w:footnoteRef/>
      </w:r>
      <w:r>
        <w:t xml:space="preserve"> Chiffres H2020 et Mécanisme de garantie des prêts du programme COSME uniquement, n’inclut pas la contribution du FEDER (voir le document de travail pour plus de précisions).</w:t>
      </w:r>
    </w:p>
  </w:footnote>
  <w:footnote w:id="12">
    <w:p>
      <w:pPr>
        <w:pStyle w:val="FootnoteText"/>
      </w:pPr>
      <w:r>
        <w:rPr>
          <w:rStyle w:val="FootnoteReference"/>
        </w:rPr>
        <w:footnoteRef/>
      </w:r>
      <w:r>
        <w:t xml:space="preserve"> Y compris tous les actifs: obligations et dépôts à terme courants et non courants, investissements en fonds propres et monnaies étrangères détenus sur les comptes de l’instrument financier</w:t>
      </w:r>
    </w:p>
  </w:footnote>
  <w:footnote w:id="13">
    <w:p>
      <w:pPr>
        <w:pStyle w:val="FootnoteText"/>
      </w:pPr>
      <w:r>
        <w:rPr>
          <w:rStyle w:val="FootnoteReference"/>
        </w:rPr>
        <w:footnoteRef/>
      </w:r>
      <w:r>
        <w:t xml:space="preserve"> Il convient de noter que le chiffre fourni n’inclut pas la partie IPR (181 Mio EUR).</w:t>
      </w:r>
    </w:p>
  </w:footnote>
  <w:footnote w:id="14">
    <w:p>
      <w:pPr>
        <w:pStyle w:val="FootnoteText"/>
      </w:pPr>
      <w:r>
        <w:rPr>
          <w:rStyle w:val="FootnoteReference"/>
        </w:rPr>
        <w:footnoteRef/>
      </w:r>
      <w:r>
        <w:t xml:space="preserve"> Y compris tous les actifs: obligations et dépôts à terme courants et non courants, investissements en fonds propres et monnaies étrangères détenus sur les comptes de l’instrument financier</w:t>
      </w:r>
    </w:p>
  </w:footnote>
  <w:footnote w:id="15">
    <w:p>
      <w:pPr>
        <w:pStyle w:val="FootnoteText"/>
        <w:spacing w:before="0" w:after="120"/>
        <w:ind w:left="284" w:hanging="426"/>
        <w:jc w:val="both"/>
      </w:pPr>
      <w:r>
        <w:rPr>
          <w:rStyle w:val="FootnoteReference"/>
        </w:rPr>
        <w:footnoteRef/>
      </w:r>
      <w:r>
        <w:t xml:space="preserve"> </w:t>
      </w:r>
      <w:r>
        <w:tab/>
        <w:t>Mécanisme pour l’innovation et le développement des entreprises dans les Balkans occidentaux (WB EDIF)</w:t>
      </w:r>
    </w:p>
  </w:footnote>
  <w:footnote w:id="16">
    <w:p>
      <w:pPr>
        <w:pStyle w:val="FootnoteText"/>
        <w:spacing w:before="0" w:after="120"/>
        <w:ind w:left="284" w:hanging="426"/>
        <w:jc w:val="both"/>
      </w:pPr>
      <w:r>
        <w:rPr>
          <w:rStyle w:val="FootnoteReference"/>
        </w:rPr>
        <w:footnoteRef/>
      </w:r>
      <w:r>
        <w:t xml:space="preserve"> </w:t>
      </w:r>
      <w:r>
        <w:tab/>
        <w:t>Mécanisme pour l’innovation et le développement des entreprises dans les Balkans occidentaux (WB EDIF)</w:t>
      </w:r>
    </w:p>
  </w:footnote>
  <w:footnote w:id="17">
    <w:p>
      <w:pPr>
        <w:pStyle w:val="FootnoteText"/>
        <w:spacing w:before="0" w:after="120"/>
        <w:ind w:left="284" w:hanging="426"/>
        <w:jc w:val="both"/>
      </w:pPr>
      <w:r>
        <w:rPr>
          <w:rStyle w:val="FootnoteReference"/>
        </w:rPr>
        <w:footnoteRef/>
      </w:r>
      <w:r>
        <w:t xml:space="preserve"> </w:t>
      </w:r>
      <w:r>
        <w:tab/>
        <w:t>Dans le cadre du WB EDIF.</w:t>
      </w:r>
    </w:p>
  </w:footnote>
  <w:footnote w:id="18">
    <w:p>
      <w:pPr>
        <w:pStyle w:val="FootnoteText"/>
        <w:spacing w:before="0" w:after="120"/>
        <w:ind w:left="284" w:hanging="426"/>
        <w:jc w:val="both"/>
      </w:pPr>
      <w:r>
        <w:rPr>
          <w:rStyle w:val="FootnoteReference"/>
        </w:rPr>
        <w:footnoteRef/>
      </w:r>
      <w:r>
        <w:t xml:space="preserve"> Mécanisme pour l’innovation et le développement des entreprises dans les Balkans occidentaux (WB EDIF)</w:t>
      </w:r>
    </w:p>
  </w:footnote>
  <w:footnote w:id="19">
    <w:p>
      <w:pPr>
        <w:pStyle w:val="FootnoteText"/>
        <w:spacing w:before="0" w:after="120"/>
        <w:ind w:left="284" w:hanging="426"/>
        <w:jc w:val="both"/>
      </w:pPr>
      <w:r>
        <w:rPr>
          <w:rStyle w:val="FootnoteReference"/>
        </w:rPr>
        <w:footnoteRef/>
      </w:r>
      <w:r>
        <w:t xml:space="preserve"> Mécanisme pour l’innovation et le développement des entreprises dans les Balkans occidentaux (WB EDIF)</w:t>
      </w:r>
    </w:p>
  </w:footnote>
  <w:footnote w:id="20">
    <w:p>
      <w:pPr>
        <w:pStyle w:val="FootnoteText"/>
        <w:spacing w:before="0" w:after="120"/>
        <w:ind w:left="284" w:hanging="426"/>
        <w:jc w:val="both"/>
      </w:pPr>
      <w:r>
        <w:rPr>
          <w:rStyle w:val="FootnoteReference"/>
        </w:rPr>
        <w:footnoteRef/>
      </w:r>
      <w:r>
        <w:t xml:space="preserve"> Dans le cadre du WB EDIF.</w:t>
      </w:r>
    </w:p>
  </w:footnote>
  <w:footnote w:id="21">
    <w:p>
      <w:pPr>
        <w:pStyle w:val="FootnoteText"/>
        <w:spacing w:before="0" w:after="120"/>
        <w:ind w:left="284" w:hanging="426"/>
        <w:jc w:val="both"/>
      </w:pPr>
      <w:r>
        <w:rPr>
          <w:rStyle w:val="FootnoteReference"/>
        </w:rPr>
        <w:footnoteRef/>
      </w:r>
      <w:r>
        <w:t>Y compris tous les actifs: obligations et dépôts à terme courants et non courants, investissements en fonds propres et monnaies étrangères détenus sur les comptes de l’instrument financier</w:t>
      </w:r>
    </w:p>
    <w:p>
      <w:pPr>
        <w:pStyle w:val="FootnoteText"/>
      </w:pPr>
    </w:p>
  </w:footnote>
  <w:footnote w:id="22">
    <w:p>
      <w:pPr>
        <w:pStyle w:val="FootnoteText"/>
        <w:spacing w:before="0" w:after="120"/>
        <w:ind w:left="284" w:hanging="426"/>
        <w:jc w:val="both"/>
        <w:rPr>
          <w:color w:val="FF00FF"/>
        </w:rPr>
      </w:pPr>
      <w:r>
        <w:rPr>
          <w:rStyle w:val="FootnoteReference"/>
        </w:rPr>
        <w:footnoteRef/>
      </w:r>
      <w:r>
        <w:t xml:space="preserve"> </w:t>
      </w:r>
      <w:r>
        <w:tab/>
        <w:t>Dans le cadre du WB EDIF.</w:t>
      </w:r>
    </w:p>
  </w:footnote>
  <w:footnote w:id="23">
    <w:p>
      <w:pPr>
        <w:pStyle w:val="FootnoteText"/>
      </w:pPr>
      <w:r>
        <w:rPr>
          <w:rStyle w:val="FootnoteReference"/>
        </w:rPr>
        <w:footnoteRef/>
      </w:r>
      <w:r>
        <w:t xml:space="preserve"> Y compris tous les actifs: obligations et dépôts à terme courants et non courants, investissements en fonds propres et monnaies étrangères détenus sur les comptes de l’instrument financier</w:t>
      </w:r>
    </w:p>
  </w:footnote>
  <w:footnote w:id="24">
    <w:p>
      <w:pPr>
        <w:pStyle w:val="FootnoteText"/>
      </w:pPr>
      <w:r>
        <w:rPr>
          <w:rStyle w:val="FootnoteReference"/>
        </w:rPr>
        <w:footnoteRef/>
      </w:r>
      <w:r>
        <w:t xml:space="preserve"> Y compris tous les actifs: obligations et dépôts à terme courants et non courants, investissements en fonds propres et monnaies étrangères détenus sur les comptes de l’instrument financier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7E22E3"/>
    <w:multiLevelType w:val="hybridMultilevel"/>
    <w:tmpl w:val="10FCDBC6"/>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10">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0A5764"/>
    <w:multiLevelType w:val="hybridMultilevel"/>
    <w:tmpl w:val="9C6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7B0884"/>
    <w:multiLevelType w:val="hybridMultilevel"/>
    <w:tmpl w:val="0092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4"/>
  </w:num>
  <w:num w:numId="5">
    <w:abstractNumId w:val="0"/>
  </w:num>
  <w:num w:numId="6">
    <w:abstractNumId w:val="13"/>
  </w:num>
  <w:num w:numId="7">
    <w:abstractNumId w:val="12"/>
  </w:num>
  <w:num w:numId="8">
    <w:abstractNumId w:val="16"/>
  </w:num>
  <w:num w:numId="9">
    <w:abstractNumId w:val="9"/>
  </w:num>
  <w:num w:numId="10">
    <w:abstractNumId w:val="24"/>
  </w:num>
  <w:num w:numId="11">
    <w:abstractNumId w:val="8"/>
  </w:num>
  <w:num w:numId="12">
    <w:abstractNumId w:val="17"/>
  </w:num>
  <w:num w:numId="13">
    <w:abstractNumId w:val="7"/>
  </w:num>
  <w:num w:numId="14">
    <w:abstractNumId w:val="18"/>
  </w:num>
  <w:num w:numId="15">
    <w:abstractNumId w:val="20"/>
  </w:num>
  <w:num w:numId="16">
    <w:abstractNumId w:val="3"/>
  </w:num>
  <w:num w:numId="17">
    <w:abstractNumId w:val="10"/>
  </w:num>
  <w:num w:numId="18">
    <w:abstractNumId w:val="25"/>
  </w:num>
  <w:num w:numId="19">
    <w:abstractNumId w:val="1"/>
  </w:num>
  <w:num w:numId="20">
    <w:abstractNumId w:val="19"/>
  </w:num>
  <w:num w:numId="21">
    <w:abstractNumId w:val="22"/>
  </w:num>
  <w:num w:numId="22">
    <w:abstractNumId w:val="15"/>
  </w:num>
  <w:num w:numId="23">
    <w:abstractNumId w:val="23"/>
  </w:num>
  <w:num w:numId="24">
    <w:abstractNumId w:val="2"/>
  </w:num>
  <w:num w:numId="25">
    <w:abstractNumId w:val="21"/>
  </w:num>
  <w:num w:numId="26">
    <w:abstractNumId w:val="14"/>
  </w:num>
  <w:num w:numId="27">
    <w:abstractNumId w:val="24"/>
  </w:num>
  <w:num w:numId="2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erfederico Asdrubali">
    <w15:presenceInfo w15:providerId="Windows Live" w15:userId="98971def9a781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revisionView w:markup="0"/>
  <w:defaultTabStop w:val="720"/>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u"/>
    <w:docVar w:name="LW_ANNEX_NBR_FIRST" w:val="1"/>
    <w:docVar w:name="LW_ANNEX_NBR_LAST" w:val="1"/>
    <w:docVar w:name="LW_CONFIDENCE" w:val=" "/>
    <w:docVar w:name="LW_CONST_RESTREINT_UE" w:val="RESTREINT UE"/>
    <w:docVar w:name="LW_CORRIGENDUM" w:val="&lt;UNUSED&gt;"/>
    <w:docVar w:name="LW_COVERPAGE_GUID" w:val="2C321985EEF1419BAF7883393C67B949"/>
    <w:docVar w:name="LW_CROSSREFERENCE" w:val="{SWD(2017) 312 final}"/>
    <w:docVar w:name="LW_DocType" w:val="NORMAL"/>
    <w:docVar w:name="LW_EMISSION" w:val="25.9.2017"/>
    <w:docVar w:name="LW_EMISSION_ISODATE" w:val="2017-09-25"/>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concernant les instruments financiers soutenus par le budget général conformément à l'article 140, paragraphe 8, du règlement financier au 31 décembre 2016"/>
    <w:docVar w:name="LW_PART_NBR" w:val="1"/>
    <w:docVar w:name="LW_PART_NBR_TOTAL" w:val="1"/>
    <w:docVar w:name="LW_REF.INST.NEW" w:val="COM"/>
    <w:docVar w:name="LW_REF.INST.NEW_ADOPTED" w:val="final"/>
    <w:docVar w:name="LW_REF.INST.NEW_TEXT" w:val="(2017) 535"/>
    <w:docVar w:name="LW_REF.INTERNE" w:val="&lt;UNUSED&gt;"/>
    <w:docVar w:name="LW_SUPERTITRE" w:val="&lt;UNUSED&gt;"/>
    <w:docVar w:name="LW_TITRE.OBJ.CP" w:val="&lt;UNUSED&gt;"/>
    <w:docVar w:name="LW_TYPE.DOC.CP" w:val="ANNEXE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ind w:right="141"/>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rFonts w:ascii="Times New Roman" w:eastAsia="Calibri" w:hAnsi="Times New Roman" w:cs="Times New Roman"/>
      <w:b/>
      <w:sz w:val="24"/>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rFonts w:ascii="Times New Roman" w:eastAsia="Calibri" w:hAnsi="Times New Roman" w:cs="Times New Roman"/>
      <w:b/>
      <w:sz w:val="24"/>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rFonts w:ascii="Times New Roman" w:eastAsia="Calibri" w:hAnsi="Times New Roman" w:cs="Times New Roman"/>
      <w:b/>
      <w:i/>
      <w:iCs/>
      <w:sz w:val="24"/>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Pr>
      <w:rFonts w:ascii="Times New Roman" w:eastAsia="Calibri" w:hAnsi="Times New Roman" w:cs="Times New Roman"/>
      <w:b/>
      <w:sz w:val="24"/>
      <w:szCs w:val="24"/>
    </w:rPr>
  </w:style>
  <w:style w:type="character" w:customStyle="1" w:styleId="Heading3Char">
    <w:name w:val="Heading 3 Char"/>
    <w:aliases w:val="Heading 3 bis Char"/>
    <w:basedOn w:val="DefaultParagraphFont"/>
    <w:link w:val="Heading3"/>
    <w:uiPriority w:val="9"/>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uiPriority w:val="9"/>
    <w:rPr>
      <w:rFonts w:ascii="Times New Roman" w:eastAsia="Calibri" w:hAnsi="Times New Roman" w:cs="Times New Roman"/>
      <w:b/>
      <w:sz w:val="24"/>
      <w:szCs w:val="24"/>
    </w:rPr>
  </w:style>
  <w:style w:type="character" w:customStyle="1" w:styleId="Heading6Char">
    <w:name w:val="Heading 6 Char"/>
    <w:basedOn w:val="DefaultParagraphFont"/>
    <w:link w:val="Heading6"/>
    <w:uiPriority w:val="9"/>
    <w:rPr>
      <w:rFonts w:ascii="Times New Roman" w:eastAsia="Calibri" w:hAnsi="Times New Roman" w:cs="Times New Roman"/>
      <w:b/>
      <w:i/>
      <w:iCs/>
      <w:sz w:val="24"/>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paragraph" w:styleId="Header">
    <w:name w:val="header"/>
    <w:basedOn w:val="Normal"/>
    <w:link w:val="Head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ListParagraph">
    <w:name w:val="List Paragraph"/>
    <w:basedOn w:val="Normal"/>
    <w:uiPriority w:val="34"/>
    <w:qFormat/>
    <w:pPr>
      <w:spacing w:before="60" w:after="60"/>
      <w:ind w:left="720"/>
      <w:contextualSpacing/>
    </w:pPr>
    <w:rPr>
      <w:rFonts w:ascii="Times New Roman" w:eastAsia="Calibri" w:hAnsi="Times New Roman" w:cs="Times New Roman"/>
      <w:sz w:val="24"/>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before="60" w:after="100"/>
    </w:pPr>
    <w:rPr>
      <w:rFonts w:ascii="Times New Roman" w:eastAsia="Calibri" w:hAnsi="Times New Roman" w:cs="Times New Roman"/>
      <w:sz w:val="24"/>
    </w:rPr>
  </w:style>
  <w:style w:type="paragraph" w:styleId="TOC2">
    <w:name w:val="toc 2"/>
    <w:basedOn w:val="Normal"/>
    <w:next w:val="Normal"/>
    <w:autoRedefine/>
    <w:uiPriority w:val="39"/>
    <w:unhideWhenUsed/>
    <w:pPr>
      <w:spacing w:before="60" w:after="100"/>
      <w:ind w:left="220"/>
    </w:pPr>
    <w:rPr>
      <w:rFonts w:ascii="Times New Roman" w:eastAsia="Calibri" w:hAnsi="Times New Roman" w:cs="Times New Roman"/>
      <w:sz w:val="24"/>
    </w:rPr>
  </w:style>
  <w:style w:type="paragraph" w:styleId="TOC3">
    <w:name w:val="toc 3"/>
    <w:basedOn w:val="Normal"/>
    <w:next w:val="Normal"/>
    <w:autoRedefine/>
    <w:uiPriority w:val="39"/>
    <w:unhideWhenUsed/>
    <w:pPr>
      <w:spacing w:before="60" w:after="100"/>
      <w:ind w:left="440"/>
    </w:pPr>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60"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Text1">
    <w:name w:val="Text 1"/>
    <w:basedOn w:val="Normal"/>
    <w:pPr>
      <w:spacing w:before="60" w:after="240" w:line="240" w:lineRule="auto"/>
      <w:ind w:left="48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before="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before="60" w:after="0" w:line="240" w:lineRule="auto"/>
    </w:pPr>
    <w:rPr>
      <w:rFonts w:ascii="Times New Roman" w:eastAsia="Times New Roman" w:hAnsi="Times New Roman" w:cs="Times New Roman"/>
      <w:sz w:val="24"/>
      <w:szCs w:val="24"/>
    </w:rPr>
  </w:style>
  <w:style w:type="paragraph" w:customStyle="1" w:styleId="CM1">
    <w:name w:val="CM1"/>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CM3">
    <w:name w:val="CM3"/>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60" w:after="6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60" w:after="60"/>
    </w:pPr>
    <w:rPr>
      <w:rFonts w:ascii="Times New Roman" w:eastAsia="Calibri" w:hAnsi="Times New Roman" w:cs="Times New Roman"/>
      <w:sz w:val="24"/>
      <w:szCs w:val="24"/>
    </w:rPr>
  </w:style>
  <w:style w:type="paragraph" w:customStyle="1" w:styleId="Text2">
    <w:name w:val="Text 2"/>
    <w:basedOn w:val="Normal"/>
    <w:pPr>
      <w:tabs>
        <w:tab w:val="left" w:pos="2160"/>
      </w:tabs>
      <w:spacing w:before="60" w:after="240" w:line="240" w:lineRule="auto"/>
      <w:ind w:left="1077"/>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before="60" w:after="240" w:line="240" w:lineRule="auto"/>
      <w:jc w:val="both"/>
    </w:pPr>
    <w:rPr>
      <w:rFonts w:ascii="Times New Roman" w:eastAsia="Times New Roman" w:hAnsi="Times New Roman" w:cs="Times New Roman"/>
      <w:sz w:val="24"/>
      <w:szCs w:val="20"/>
    </w:rPr>
  </w:style>
  <w:style w:type="character" w:customStyle="1" w:styleId="Corpsdutexte">
    <w:name w:val="Corps du texte_"/>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ascii="Times New Roman" w:eastAsia="Times New Roman" w:hAnsi="Times New Roman" w:cs="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paragraph" w:styleId="Caption">
    <w:name w:val="caption"/>
    <w:basedOn w:val="Normal"/>
    <w:next w:val="Normal"/>
    <w:link w:val="CaptionChar"/>
    <w:uiPriority w:val="35"/>
    <w:unhideWhenUsed/>
    <w:qFormat/>
    <w:pPr>
      <w:spacing w:before="60" w:after="60"/>
    </w:pPr>
    <w:rPr>
      <w:rFonts w:ascii="Times New Roman" w:eastAsia="Calibri" w:hAnsi="Times New Roman" w:cs="Times New Roman"/>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before="60" w:after="160"/>
      <w:ind w:left="851"/>
    </w:pPr>
    <w:rPr>
      <w:rFonts w:ascii="Times New Roman" w:eastAsia="Calibri" w:hAnsi="Times New Roman" w:cs="Times New Roman"/>
      <w:b/>
      <w:i/>
      <w:sz w:val="21"/>
      <w:szCs w:val="20"/>
    </w:rPr>
  </w:style>
  <w:style w:type="character" w:customStyle="1" w:styleId="CaptionChar">
    <w:name w:val="Caption Char"/>
    <w:link w:val="Caption"/>
    <w:uiPriority w:val="35"/>
    <w:rPr>
      <w:rFonts w:ascii="Times New Roman" w:eastAsia="Calibri" w:hAnsi="Times New Roman" w:cs="Times New Roman"/>
      <w:b/>
      <w:bCs/>
      <w:sz w:val="20"/>
      <w:szCs w:val="20"/>
    </w:rPr>
  </w:style>
  <w:style w:type="character" w:customStyle="1" w:styleId="captionChar0">
    <w:name w:val="caption Char"/>
    <w:link w:val="Caption1"/>
    <w:rPr>
      <w:rFonts w:ascii="Times New Roman" w:eastAsia="Calibri" w:hAnsi="Times New Roman" w:cs="Times New Roman"/>
      <w:b/>
      <w:bCs/>
      <w:i/>
      <w:szCs w:val="20"/>
    </w:rPr>
  </w:style>
  <w:style w:type="character" w:customStyle="1" w:styleId="SourceCapChar">
    <w:name w:val="SourceCap Char"/>
    <w:link w:val="SourceCap"/>
    <w:rPr>
      <w:rFonts w:ascii="Times New Roman" w:eastAsia="Calibri" w:hAnsi="Times New Roman" w:cs="Times New Roman"/>
      <w:b/>
      <w:i/>
      <w:sz w:val="21"/>
      <w:szCs w:val="20"/>
    </w:rPr>
  </w:style>
  <w:style w:type="paragraph" w:customStyle="1" w:styleId="KeyPoints">
    <w:name w:val="KeyPoints"/>
    <w:basedOn w:val="Normal"/>
    <w:link w:val="KeyPointsChar"/>
    <w:qFormat/>
    <w:pPr>
      <w:numPr>
        <w:numId w:val="1"/>
      </w:numPr>
      <w:spacing w:before="60" w:after="60" w:line="240" w:lineRule="auto"/>
      <w:ind w:left="0" w:hanging="357"/>
      <w:contextualSpacing/>
      <w:jc w:val="both"/>
    </w:pPr>
    <w:rPr>
      <w:rFonts w:ascii="Times New Roman" w:eastAsia="Calibri" w:hAnsi="Times New Roman" w:cs="Times New Roman"/>
      <w:i/>
      <w:sz w:val="24"/>
      <w:szCs w:val="24"/>
    </w:rPr>
  </w:style>
  <w:style w:type="paragraph" w:styleId="TOC4">
    <w:name w:val="toc 4"/>
    <w:basedOn w:val="Normal"/>
    <w:next w:val="Normal"/>
    <w:autoRedefine/>
    <w:uiPriority w:val="39"/>
    <w:unhideWhenUsed/>
    <w:pPr>
      <w:spacing w:before="60" w:after="60"/>
      <w:ind w:left="720"/>
    </w:pPr>
    <w:rPr>
      <w:rFonts w:ascii="Times New Roman" w:eastAsia="Calibri" w:hAnsi="Times New Roman" w:cs="Times New Roman"/>
      <w:sz w:val="24"/>
    </w:rPr>
  </w:style>
  <w:style w:type="character" w:customStyle="1" w:styleId="KeyPointsChar">
    <w:name w:val="KeyPoints Char"/>
    <w:link w:val="KeyPoints"/>
    <w:rPr>
      <w:rFonts w:ascii="Times New Roman" w:eastAsia="Calibri" w:hAnsi="Times New Roman" w:cs="Times New Roman"/>
      <w:i/>
      <w:sz w:val="24"/>
      <w:szCs w:val="24"/>
    </w:rPr>
  </w:style>
  <w:style w:type="paragraph" w:styleId="TOC5">
    <w:name w:val="toc 5"/>
    <w:basedOn w:val="Normal"/>
    <w:next w:val="Normal"/>
    <w:autoRedefine/>
    <w:uiPriority w:val="39"/>
    <w:unhideWhenUsed/>
    <w:pPr>
      <w:spacing w:before="60" w:after="60"/>
      <w:ind w:left="960"/>
    </w:pPr>
    <w:rPr>
      <w:rFonts w:ascii="Times New Roman" w:eastAsia="Calibri" w:hAnsi="Times New Roman" w:cs="Times New Roman"/>
      <w:sz w:val="24"/>
    </w:rPr>
  </w:style>
  <w:style w:type="paragraph" w:styleId="TOC6">
    <w:name w:val="toc 6"/>
    <w:basedOn w:val="Normal"/>
    <w:next w:val="Normal"/>
    <w:autoRedefine/>
    <w:uiPriority w:val="39"/>
    <w:unhideWhenUsed/>
    <w:pPr>
      <w:spacing w:after="100"/>
      <w:ind w:left="1100"/>
    </w:pPr>
    <w:rPr>
      <w:rFonts w:ascii="Calibri" w:eastAsia="MS Mincho" w:hAnsi="Calibri" w:cs="Times New Roman"/>
    </w:rPr>
  </w:style>
  <w:style w:type="paragraph" w:styleId="TOC7">
    <w:name w:val="toc 7"/>
    <w:basedOn w:val="Normal"/>
    <w:next w:val="Normal"/>
    <w:autoRedefine/>
    <w:uiPriority w:val="39"/>
    <w:unhideWhenUsed/>
    <w:pPr>
      <w:spacing w:after="100"/>
      <w:ind w:left="1320"/>
    </w:pPr>
    <w:rPr>
      <w:rFonts w:ascii="Calibri" w:eastAsia="MS Mincho" w:hAnsi="Calibri" w:cs="Times New Roman"/>
    </w:rPr>
  </w:style>
  <w:style w:type="paragraph" w:styleId="TOC8">
    <w:name w:val="toc 8"/>
    <w:basedOn w:val="Normal"/>
    <w:next w:val="Normal"/>
    <w:autoRedefine/>
    <w:uiPriority w:val="39"/>
    <w:unhideWhenUsed/>
    <w:pPr>
      <w:spacing w:after="100"/>
      <w:ind w:left="1540"/>
    </w:pPr>
    <w:rPr>
      <w:rFonts w:ascii="Calibri" w:eastAsia="MS Mincho" w:hAnsi="Calibri" w:cs="Times New Roman"/>
    </w:rPr>
  </w:style>
  <w:style w:type="paragraph" w:styleId="TOC9">
    <w:name w:val="toc 9"/>
    <w:basedOn w:val="Normal"/>
    <w:next w:val="Normal"/>
    <w:autoRedefine/>
    <w:uiPriority w:val="39"/>
    <w:unhideWhenUsed/>
    <w:pPr>
      <w:spacing w:after="100"/>
      <w:ind w:left="1760"/>
    </w:pPr>
    <w:rPr>
      <w:rFonts w:ascii="Calibri" w:eastAsia="MS Mincho" w:hAnsi="Calibri" w:cs="Times New Roman"/>
    </w:rPr>
  </w:style>
  <w:style w:type="paragraph" w:styleId="Title">
    <w:name w:val="Title"/>
    <w:basedOn w:val="Normal"/>
    <w:next w:val="Normal"/>
    <w:link w:val="TitleChar"/>
    <w:uiPriority w:val="10"/>
    <w:qFormat/>
    <w:pPr>
      <w:spacing w:before="240" w:after="60"/>
      <w:jc w:val="center"/>
      <w:outlineLvl w:val="0"/>
    </w:pPr>
    <w:rPr>
      <w:rFonts w:ascii="Times New Roman" w:eastAsia="MS Gothic" w:hAnsi="Times New Roman" w:cs="Times New Roman"/>
      <w:b/>
      <w:bCs/>
      <w:kern w:val="28"/>
      <w:sz w:val="32"/>
      <w:szCs w:val="32"/>
    </w:rPr>
  </w:style>
  <w:style w:type="character" w:customStyle="1" w:styleId="TitleChar">
    <w:name w:val="Title Char"/>
    <w:basedOn w:val="DefaultParagraphFont"/>
    <w:link w:val="Title"/>
    <w:uiPriority w:val="10"/>
    <w:rPr>
      <w:rFonts w:ascii="Times New Roman" w:eastAsia="MS Gothic" w:hAnsi="Times New Roman" w:cs="Times New Roman"/>
      <w:b/>
      <w:bCs/>
      <w:kern w:val="28"/>
      <w:sz w:val="32"/>
      <w:szCs w:val="32"/>
    </w:rPr>
  </w:style>
  <w:style w:type="paragraph" w:styleId="Subtitle">
    <w:name w:val="Subtitle"/>
    <w:basedOn w:val="Normal"/>
    <w:next w:val="Normal"/>
    <w:link w:val="SubtitleChar"/>
    <w:uiPriority w:val="11"/>
    <w:qFormat/>
    <w:pPr>
      <w:spacing w:before="60" w:after="60"/>
      <w:outlineLvl w:val="1"/>
    </w:pPr>
    <w:rPr>
      <w:rFonts w:ascii="Times New Roman" w:eastAsia="MS Gothic" w:hAnsi="Times New Roman" w:cs="Times New Roman"/>
      <w:b/>
      <w:sz w:val="28"/>
      <w:szCs w:val="24"/>
    </w:rPr>
  </w:style>
  <w:style w:type="character" w:customStyle="1" w:styleId="SubtitleChar">
    <w:name w:val="Subtitle Char"/>
    <w:basedOn w:val="DefaultParagraphFont"/>
    <w:link w:val="Subtitle"/>
    <w:uiPriority w:val="11"/>
    <w:rPr>
      <w:rFonts w:ascii="Times New Roman" w:eastAsia="MS Gothic" w:hAnsi="Times New Roman" w:cs="Times New Roman"/>
      <w:b/>
      <w:sz w:val="28"/>
      <w:szCs w:val="24"/>
    </w:rPr>
  </w:style>
  <w:style w:type="paragraph" w:customStyle="1" w:styleId="s2">
    <w:name w:val="s2"/>
    <w:basedOn w:val="Normal"/>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20">
    <w:name w:val="bumpedfont20"/>
  </w:style>
  <w:style w:type="paragraph" w:customStyle="1" w:styleId="Bulletedlist">
    <w:name w:val="Bulleted list"/>
    <w:basedOn w:val="Normal"/>
    <w:qFormat/>
    <w:pPr>
      <w:numPr>
        <w:numId w:val="12"/>
      </w:numPr>
      <w:spacing w:before="60" w:after="60" w:line="240" w:lineRule="auto"/>
      <w:jc w:val="both"/>
    </w:pPr>
    <w:rPr>
      <w:rFonts w:ascii="Arial" w:eastAsia="MS Mincho" w:hAnsi="Arial" w:cs="Arial"/>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cs="Times New Roman"/>
      <w:b/>
      <w:bCs/>
      <w:sz w:val="24"/>
      <w:szCs w:val="24"/>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eastAsia="Calibri" w:hAnsi="Times New Roman" w:cs="Times New Roman"/>
      <w:b/>
      <w:sz w:val="24"/>
      <w:szCs w:val="24"/>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eastAsia="Calibri" w:hAnsi="Times New Roman" w:cs="Times New Roman"/>
      <w:b/>
      <w:sz w:val="24"/>
      <w:szCs w:val="24"/>
    </w:r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sz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table" w:styleId="LightShading">
    <w:name w:val="Light Shading"/>
    <w:basedOn w:val="TableNormal"/>
    <w:uiPriority w:val="6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ind w:right="141"/>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rFonts w:ascii="Times New Roman" w:eastAsia="Calibri" w:hAnsi="Times New Roman" w:cs="Times New Roman"/>
      <w:b/>
      <w:sz w:val="24"/>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rFonts w:ascii="Times New Roman" w:eastAsia="Calibri" w:hAnsi="Times New Roman" w:cs="Times New Roman"/>
      <w:b/>
      <w:sz w:val="24"/>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rFonts w:ascii="Times New Roman" w:eastAsia="Calibri" w:hAnsi="Times New Roman" w:cs="Times New Roman"/>
      <w:b/>
      <w:i/>
      <w:iCs/>
      <w:sz w:val="24"/>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Pr>
      <w:rFonts w:ascii="Times New Roman" w:eastAsia="Calibri" w:hAnsi="Times New Roman" w:cs="Times New Roman"/>
      <w:b/>
      <w:sz w:val="24"/>
      <w:szCs w:val="24"/>
    </w:rPr>
  </w:style>
  <w:style w:type="character" w:customStyle="1" w:styleId="Heading3Char">
    <w:name w:val="Heading 3 Char"/>
    <w:aliases w:val="Heading 3 bis Char"/>
    <w:basedOn w:val="DefaultParagraphFont"/>
    <w:link w:val="Heading3"/>
    <w:uiPriority w:val="9"/>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uiPriority w:val="9"/>
    <w:rPr>
      <w:rFonts w:ascii="Times New Roman" w:eastAsia="Calibri" w:hAnsi="Times New Roman" w:cs="Times New Roman"/>
      <w:b/>
      <w:sz w:val="24"/>
      <w:szCs w:val="24"/>
    </w:rPr>
  </w:style>
  <w:style w:type="character" w:customStyle="1" w:styleId="Heading6Char">
    <w:name w:val="Heading 6 Char"/>
    <w:basedOn w:val="DefaultParagraphFont"/>
    <w:link w:val="Heading6"/>
    <w:uiPriority w:val="9"/>
    <w:rPr>
      <w:rFonts w:ascii="Times New Roman" w:eastAsia="Calibri" w:hAnsi="Times New Roman" w:cs="Times New Roman"/>
      <w:b/>
      <w:i/>
      <w:iCs/>
      <w:sz w:val="24"/>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paragraph" w:styleId="Header">
    <w:name w:val="header"/>
    <w:basedOn w:val="Normal"/>
    <w:link w:val="Head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ListParagraph">
    <w:name w:val="List Paragraph"/>
    <w:basedOn w:val="Normal"/>
    <w:uiPriority w:val="34"/>
    <w:qFormat/>
    <w:pPr>
      <w:spacing w:before="60" w:after="60"/>
      <w:ind w:left="720"/>
      <w:contextualSpacing/>
    </w:pPr>
    <w:rPr>
      <w:rFonts w:ascii="Times New Roman" w:eastAsia="Calibri" w:hAnsi="Times New Roman" w:cs="Times New Roman"/>
      <w:sz w:val="24"/>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before="60" w:after="100"/>
    </w:pPr>
    <w:rPr>
      <w:rFonts w:ascii="Times New Roman" w:eastAsia="Calibri" w:hAnsi="Times New Roman" w:cs="Times New Roman"/>
      <w:sz w:val="24"/>
    </w:rPr>
  </w:style>
  <w:style w:type="paragraph" w:styleId="TOC2">
    <w:name w:val="toc 2"/>
    <w:basedOn w:val="Normal"/>
    <w:next w:val="Normal"/>
    <w:autoRedefine/>
    <w:uiPriority w:val="39"/>
    <w:unhideWhenUsed/>
    <w:pPr>
      <w:spacing w:before="60" w:after="100"/>
      <w:ind w:left="220"/>
    </w:pPr>
    <w:rPr>
      <w:rFonts w:ascii="Times New Roman" w:eastAsia="Calibri" w:hAnsi="Times New Roman" w:cs="Times New Roman"/>
      <w:sz w:val="24"/>
    </w:rPr>
  </w:style>
  <w:style w:type="paragraph" w:styleId="TOC3">
    <w:name w:val="toc 3"/>
    <w:basedOn w:val="Normal"/>
    <w:next w:val="Normal"/>
    <w:autoRedefine/>
    <w:uiPriority w:val="39"/>
    <w:unhideWhenUsed/>
    <w:pPr>
      <w:spacing w:before="60" w:after="100"/>
      <w:ind w:left="440"/>
    </w:pPr>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60"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Text1">
    <w:name w:val="Text 1"/>
    <w:basedOn w:val="Normal"/>
    <w:pPr>
      <w:spacing w:before="60" w:after="240" w:line="240" w:lineRule="auto"/>
      <w:ind w:left="48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before="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before="60" w:after="0" w:line="240" w:lineRule="auto"/>
    </w:pPr>
    <w:rPr>
      <w:rFonts w:ascii="Times New Roman" w:eastAsia="Times New Roman" w:hAnsi="Times New Roman" w:cs="Times New Roman"/>
      <w:sz w:val="24"/>
      <w:szCs w:val="24"/>
    </w:rPr>
  </w:style>
  <w:style w:type="paragraph" w:customStyle="1" w:styleId="CM1">
    <w:name w:val="CM1"/>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CM3">
    <w:name w:val="CM3"/>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60" w:after="6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60" w:after="60"/>
    </w:pPr>
    <w:rPr>
      <w:rFonts w:ascii="Times New Roman" w:eastAsia="Calibri" w:hAnsi="Times New Roman" w:cs="Times New Roman"/>
      <w:sz w:val="24"/>
      <w:szCs w:val="24"/>
    </w:rPr>
  </w:style>
  <w:style w:type="paragraph" w:customStyle="1" w:styleId="Text2">
    <w:name w:val="Text 2"/>
    <w:basedOn w:val="Normal"/>
    <w:pPr>
      <w:tabs>
        <w:tab w:val="left" w:pos="2160"/>
      </w:tabs>
      <w:spacing w:before="60" w:after="240" w:line="240" w:lineRule="auto"/>
      <w:ind w:left="1077"/>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before="60" w:after="240" w:line="240" w:lineRule="auto"/>
      <w:jc w:val="both"/>
    </w:pPr>
    <w:rPr>
      <w:rFonts w:ascii="Times New Roman" w:eastAsia="Times New Roman" w:hAnsi="Times New Roman" w:cs="Times New Roman"/>
      <w:sz w:val="24"/>
      <w:szCs w:val="20"/>
    </w:rPr>
  </w:style>
  <w:style w:type="character" w:customStyle="1" w:styleId="Corpsdutexte">
    <w:name w:val="Corps du texte_"/>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ascii="Times New Roman" w:eastAsia="Times New Roman" w:hAnsi="Times New Roman" w:cs="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paragraph" w:styleId="Caption">
    <w:name w:val="caption"/>
    <w:basedOn w:val="Normal"/>
    <w:next w:val="Normal"/>
    <w:link w:val="CaptionChar"/>
    <w:uiPriority w:val="35"/>
    <w:unhideWhenUsed/>
    <w:qFormat/>
    <w:pPr>
      <w:spacing w:before="60" w:after="60"/>
    </w:pPr>
    <w:rPr>
      <w:rFonts w:ascii="Times New Roman" w:eastAsia="Calibri" w:hAnsi="Times New Roman" w:cs="Times New Roman"/>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before="60" w:after="160"/>
      <w:ind w:left="851"/>
    </w:pPr>
    <w:rPr>
      <w:rFonts w:ascii="Times New Roman" w:eastAsia="Calibri" w:hAnsi="Times New Roman" w:cs="Times New Roman"/>
      <w:b/>
      <w:i/>
      <w:sz w:val="21"/>
      <w:szCs w:val="20"/>
    </w:rPr>
  </w:style>
  <w:style w:type="character" w:customStyle="1" w:styleId="CaptionChar">
    <w:name w:val="Caption Char"/>
    <w:link w:val="Caption"/>
    <w:uiPriority w:val="35"/>
    <w:rPr>
      <w:rFonts w:ascii="Times New Roman" w:eastAsia="Calibri" w:hAnsi="Times New Roman" w:cs="Times New Roman"/>
      <w:b/>
      <w:bCs/>
      <w:sz w:val="20"/>
      <w:szCs w:val="20"/>
    </w:rPr>
  </w:style>
  <w:style w:type="character" w:customStyle="1" w:styleId="captionChar0">
    <w:name w:val="caption Char"/>
    <w:link w:val="Caption1"/>
    <w:rPr>
      <w:rFonts w:ascii="Times New Roman" w:eastAsia="Calibri" w:hAnsi="Times New Roman" w:cs="Times New Roman"/>
      <w:b/>
      <w:bCs/>
      <w:i/>
      <w:szCs w:val="20"/>
    </w:rPr>
  </w:style>
  <w:style w:type="character" w:customStyle="1" w:styleId="SourceCapChar">
    <w:name w:val="SourceCap Char"/>
    <w:link w:val="SourceCap"/>
    <w:rPr>
      <w:rFonts w:ascii="Times New Roman" w:eastAsia="Calibri" w:hAnsi="Times New Roman" w:cs="Times New Roman"/>
      <w:b/>
      <w:i/>
      <w:sz w:val="21"/>
      <w:szCs w:val="20"/>
    </w:rPr>
  </w:style>
  <w:style w:type="paragraph" w:customStyle="1" w:styleId="KeyPoints">
    <w:name w:val="KeyPoints"/>
    <w:basedOn w:val="Normal"/>
    <w:link w:val="KeyPointsChar"/>
    <w:qFormat/>
    <w:pPr>
      <w:numPr>
        <w:numId w:val="1"/>
      </w:numPr>
      <w:spacing w:before="60" w:after="60" w:line="240" w:lineRule="auto"/>
      <w:ind w:left="0" w:hanging="357"/>
      <w:contextualSpacing/>
      <w:jc w:val="both"/>
    </w:pPr>
    <w:rPr>
      <w:rFonts w:ascii="Times New Roman" w:eastAsia="Calibri" w:hAnsi="Times New Roman" w:cs="Times New Roman"/>
      <w:i/>
      <w:sz w:val="24"/>
      <w:szCs w:val="24"/>
    </w:rPr>
  </w:style>
  <w:style w:type="paragraph" w:styleId="TOC4">
    <w:name w:val="toc 4"/>
    <w:basedOn w:val="Normal"/>
    <w:next w:val="Normal"/>
    <w:autoRedefine/>
    <w:uiPriority w:val="39"/>
    <w:unhideWhenUsed/>
    <w:pPr>
      <w:spacing w:before="60" w:after="60"/>
      <w:ind w:left="720"/>
    </w:pPr>
    <w:rPr>
      <w:rFonts w:ascii="Times New Roman" w:eastAsia="Calibri" w:hAnsi="Times New Roman" w:cs="Times New Roman"/>
      <w:sz w:val="24"/>
    </w:rPr>
  </w:style>
  <w:style w:type="character" w:customStyle="1" w:styleId="KeyPointsChar">
    <w:name w:val="KeyPoints Char"/>
    <w:link w:val="KeyPoints"/>
    <w:rPr>
      <w:rFonts w:ascii="Times New Roman" w:eastAsia="Calibri" w:hAnsi="Times New Roman" w:cs="Times New Roman"/>
      <w:i/>
      <w:sz w:val="24"/>
      <w:szCs w:val="24"/>
    </w:rPr>
  </w:style>
  <w:style w:type="paragraph" w:styleId="TOC5">
    <w:name w:val="toc 5"/>
    <w:basedOn w:val="Normal"/>
    <w:next w:val="Normal"/>
    <w:autoRedefine/>
    <w:uiPriority w:val="39"/>
    <w:unhideWhenUsed/>
    <w:pPr>
      <w:spacing w:before="60" w:after="60"/>
      <w:ind w:left="960"/>
    </w:pPr>
    <w:rPr>
      <w:rFonts w:ascii="Times New Roman" w:eastAsia="Calibri" w:hAnsi="Times New Roman" w:cs="Times New Roman"/>
      <w:sz w:val="24"/>
    </w:rPr>
  </w:style>
  <w:style w:type="paragraph" w:styleId="TOC6">
    <w:name w:val="toc 6"/>
    <w:basedOn w:val="Normal"/>
    <w:next w:val="Normal"/>
    <w:autoRedefine/>
    <w:uiPriority w:val="39"/>
    <w:unhideWhenUsed/>
    <w:pPr>
      <w:spacing w:after="100"/>
      <w:ind w:left="1100"/>
    </w:pPr>
    <w:rPr>
      <w:rFonts w:ascii="Calibri" w:eastAsia="MS Mincho" w:hAnsi="Calibri" w:cs="Times New Roman"/>
    </w:rPr>
  </w:style>
  <w:style w:type="paragraph" w:styleId="TOC7">
    <w:name w:val="toc 7"/>
    <w:basedOn w:val="Normal"/>
    <w:next w:val="Normal"/>
    <w:autoRedefine/>
    <w:uiPriority w:val="39"/>
    <w:unhideWhenUsed/>
    <w:pPr>
      <w:spacing w:after="100"/>
      <w:ind w:left="1320"/>
    </w:pPr>
    <w:rPr>
      <w:rFonts w:ascii="Calibri" w:eastAsia="MS Mincho" w:hAnsi="Calibri" w:cs="Times New Roman"/>
    </w:rPr>
  </w:style>
  <w:style w:type="paragraph" w:styleId="TOC8">
    <w:name w:val="toc 8"/>
    <w:basedOn w:val="Normal"/>
    <w:next w:val="Normal"/>
    <w:autoRedefine/>
    <w:uiPriority w:val="39"/>
    <w:unhideWhenUsed/>
    <w:pPr>
      <w:spacing w:after="100"/>
      <w:ind w:left="1540"/>
    </w:pPr>
    <w:rPr>
      <w:rFonts w:ascii="Calibri" w:eastAsia="MS Mincho" w:hAnsi="Calibri" w:cs="Times New Roman"/>
    </w:rPr>
  </w:style>
  <w:style w:type="paragraph" w:styleId="TOC9">
    <w:name w:val="toc 9"/>
    <w:basedOn w:val="Normal"/>
    <w:next w:val="Normal"/>
    <w:autoRedefine/>
    <w:uiPriority w:val="39"/>
    <w:unhideWhenUsed/>
    <w:pPr>
      <w:spacing w:after="100"/>
      <w:ind w:left="1760"/>
    </w:pPr>
    <w:rPr>
      <w:rFonts w:ascii="Calibri" w:eastAsia="MS Mincho" w:hAnsi="Calibri" w:cs="Times New Roman"/>
    </w:rPr>
  </w:style>
  <w:style w:type="paragraph" w:styleId="Title">
    <w:name w:val="Title"/>
    <w:basedOn w:val="Normal"/>
    <w:next w:val="Normal"/>
    <w:link w:val="TitleChar"/>
    <w:uiPriority w:val="10"/>
    <w:qFormat/>
    <w:pPr>
      <w:spacing w:before="240" w:after="60"/>
      <w:jc w:val="center"/>
      <w:outlineLvl w:val="0"/>
    </w:pPr>
    <w:rPr>
      <w:rFonts w:ascii="Times New Roman" w:eastAsia="MS Gothic" w:hAnsi="Times New Roman" w:cs="Times New Roman"/>
      <w:b/>
      <w:bCs/>
      <w:kern w:val="28"/>
      <w:sz w:val="32"/>
      <w:szCs w:val="32"/>
    </w:rPr>
  </w:style>
  <w:style w:type="character" w:customStyle="1" w:styleId="TitleChar">
    <w:name w:val="Title Char"/>
    <w:basedOn w:val="DefaultParagraphFont"/>
    <w:link w:val="Title"/>
    <w:uiPriority w:val="10"/>
    <w:rPr>
      <w:rFonts w:ascii="Times New Roman" w:eastAsia="MS Gothic" w:hAnsi="Times New Roman" w:cs="Times New Roman"/>
      <w:b/>
      <w:bCs/>
      <w:kern w:val="28"/>
      <w:sz w:val="32"/>
      <w:szCs w:val="32"/>
    </w:rPr>
  </w:style>
  <w:style w:type="paragraph" w:styleId="Subtitle">
    <w:name w:val="Subtitle"/>
    <w:basedOn w:val="Normal"/>
    <w:next w:val="Normal"/>
    <w:link w:val="SubtitleChar"/>
    <w:uiPriority w:val="11"/>
    <w:qFormat/>
    <w:pPr>
      <w:spacing w:before="60" w:after="60"/>
      <w:outlineLvl w:val="1"/>
    </w:pPr>
    <w:rPr>
      <w:rFonts w:ascii="Times New Roman" w:eastAsia="MS Gothic" w:hAnsi="Times New Roman" w:cs="Times New Roman"/>
      <w:b/>
      <w:sz w:val="28"/>
      <w:szCs w:val="24"/>
    </w:rPr>
  </w:style>
  <w:style w:type="character" w:customStyle="1" w:styleId="SubtitleChar">
    <w:name w:val="Subtitle Char"/>
    <w:basedOn w:val="DefaultParagraphFont"/>
    <w:link w:val="Subtitle"/>
    <w:uiPriority w:val="11"/>
    <w:rPr>
      <w:rFonts w:ascii="Times New Roman" w:eastAsia="MS Gothic" w:hAnsi="Times New Roman" w:cs="Times New Roman"/>
      <w:b/>
      <w:sz w:val="28"/>
      <w:szCs w:val="24"/>
    </w:rPr>
  </w:style>
  <w:style w:type="paragraph" w:customStyle="1" w:styleId="s2">
    <w:name w:val="s2"/>
    <w:basedOn w:val="Normal"/>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20">
    <w:name w:val="bumpedfont20"/>
  </w:style>
  <w:style w:type="paragraph" w:customStyle="1" w:styleId="Bulletedlist">
    <w:name w:val="Bulleted list"/>
    <w:basedOn w:val="Normal"/>
    <w:qFormat/>
    <w:pPr>
      <w:numPr>
        <w:numId w:val="12"/>
      </w:numPr>
      <w:spacing w:before="60" w:after="60" w:line="240" w:lineRule="auto"/>
      <w:jc w:val="both"/>
    </w:pPr>
    <w:rPr>
      <w:rFonts w:ascii="Arial" w:eastAsia="MS Mincho" w:hAnsi="Arial" w:cs="Arial"/>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cs="Times New Roman"/>
      <w:b/>
      <w:bCs/>
      <w:sz w:val="24"/>
      <w:szCs w:val="24"/>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eastAsia="Calibri" w:hAnsi="Times New Roman" w:cs="Times New Roman"/>
      <w:b/>
      <w:sz w:val="24"/>
      <w:szCs w:val="24"/>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eastAsia="Calibri" w:hAnsi="Times New Roman" w:cs="Times New Roman"/>
      <w:b/>
      <w:sz w:val="24"/>
      <w:szCs w:val="24"/>
    </w:r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sz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table" w:styleId="LightShading">
    <w:name w:val="Light Shading"/>
    <w:basedOn w:val="TableNormal"/>
    <w:uiPriority w:val="6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2EA9FEFF883564CB9E046C56A2E086A" ma:contentTypeVersion="0" ma:contentTypeDescription="Create a new document in this library." ma:contentTypeScope="" ma:versionID="82d426c05779cc8292c21bcceaf9eb4a">
  <xsd:schema xmlns:xsd="http://www.w3.org/2001/XMLSchema" xmlns:xs="http://www.w3.org/2001/XMLSchema" xmlns:p="http://schemas.microsoft.com/office/2006/metadata/properties" xmlns:ns2="http://schemas.microsoft.com/sharepoint/v3/fields" xmlns:ns3="9e03c6b4-6243-4216-b733-3273b98e981e" targetNamespace="http://schemas.microsoft.com/office/2006/metadata/properties" ma:root="true" ma:fieldsID="2a867769fb1e181c26d3ac7f5a0c88a3" ns2:_="" ns3:_="">
    <xsd:import namespace="http://schemas.microsoft.com/sharepoint/v3/fields"/>
    <xsd:import namespace="9e03c6b4-6243-4216-b733-3273b98e981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e03c6b4-6243-4216-b733-3273b98e981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9e03c6b4-6243-4216-b733-3273b98e981e" xsi:nil="true"/>
    <_Status xmlns="http://schemas.microsoft.com/sharepoint/v3/fields">Not Started</_Status>
    <EC_Collab_Status xmlns="9e03c6b4-6243-4216-b733-3273b98e981e">Not Started</EC_Collab_Status>
    <EC_Collab_DocumentLanguage xmlns="9e03c6b4-6243-4216-b733-3273b98e981e">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81A0-D3BC-46BC-803E-371F62BA8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e03c6b4-6243-4216-b733-3273b98e9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EB91C-5964-4B35-9506-B83363EC874D}">
  <ds:schemaRefs>
    <ds:schemaRef ds:uri="http://schemas.microsoft.com/office/2006/metadata/properties"/>
    <ds:schemaRef ds:uri="http://schemas.microsoft.com/office/infopath/2007/PartnerControls"/>
    <ds:schemaRef ds:uri="9e03c6b4-6243-4216-b733-3273b98e981e"/>
    <ds:schemaRef ds:uri="http://schemas.microsoft.com/sharepoint/v3/fields"/>
  </ds:schemaRefs>
</ds:datastoreItem>
</file>

<file path=customXml/itemProps3.xml><?xml version="1.0" encoding="utf-8"?>
<ds:datastoreItem xmlns:ds="http://schemas.openxmlformats.org/officeDocument/2006/customXml" ds:itemID="{7E467B92-D76E-47A6-B28B-BF3098E2BB38}">
  <ds:schemaRefs>
    <ds:schemaRef ds:uri="http://schemas.microsoft.com/sharepoint/v3/contenttype/forms"/>
  </ds:schemaRefs>
</ds:datastoreItem>
</file>

<file path=customXml/itemProps4.xml><?xml version="1.0" encoding="utf-8"?>
<ds:datastoreItem xmlns:ds="http://schemas.openxmlformats.org/officeDocument/2006/customXml" ds:itemID="{10795307-5C14-4F3D-932D-E24FBE09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5861</Words>
  <Characters>31419</Characters>
  <Application>Microsoft Office Word</Application>
  <DocSecurity>0</DocSecurity>
  <Lines>1963</Lines>
  <Paragraphs>981</Paragraphs>
  <ScaleCrop>false</ScaleCrop>
  <HeadingPairs>
    <vt:vector size="2" baseType="variant">
      <vt:variant>
        <vt:lpstr>Title</vt:lpstr>
      </vt:variant>
      <vt:variant>
        <vt:i4>1</vt:i4>
      </vt:variant>
    </vt:vector>
  </HeadingPairs>
  <TitlesOfParts>
    <vt:vector size="1" baseType="lpstr">
      <vt:lpstr>140.8 Annex</vt:lpstr>
    </vt:vector>
  </TitlesOfParts>
  <Company>European Commission</Company>
  <LinksUpToDate>false</LinksUpToDate>
  <CharactersWithSpaces>36299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140.8 Annex</dc:title>
  <dc:subject>140.8 Annex</dc:subject>
  <dc:creator>DRESSE Jean-Dominique (ECFIN)</dc:creator>
  <cp:lastModifiedBy>DIGIT/A3</cp:lastModifiedBy>
  <cp:revision>12</cp:revision>
  <cp:lastPrinted>2017-08-02T13:24:00Z</cp:lastPrinted>
  <dcterms:created xsi:type="dcterms:W3CDTF">2017-09-14T07:18:00Z</dcterms:created>
  <dcterms:modified xsi:type="dcterms:W3CDTF">2017-09-25T05:10:00Z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y fmtid="{D5CDD505-2E9C-101B-9397-08002B2CF9AE}" pid="8" name="ContentTypeId">
    <vt:lpwstr>0x010100258AA79CEB83498886A3A086811232500002EA9FEFF883564CB9E046C56A2E086A</vt:lpwstr>
  </property>
</Properties>
</file>