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DEF008AB163045149C2ABD0884527A74" style="width:450.4pt;height:403.5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10188"/>
      </w:tblGrid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tabs>
                <w:tab w:val="left" w:pos="2309"/>
              </w:tabs>
              <w:spacing w:before="60" w:after="6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ahoma" w:hAnsi="Tahoma"/>
                <w:b/>
                <w:noProof/>
                <w:sz w:val="20"/>
              </w:rPr>
              <w:lastRenderedPageBreak/>
              <w:t>Обобщение на оценката на въздействието</w:t>
            </w:r>
          </w:p>
        </w:tc>
      </w:tr>
      <w:t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jc w:val="both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/>
                <w:noProof/>
                <w:sz w:val="20"/>
              </w:rPr>
              <w:t>Оценка на въздействието на предложение за Директива относно борбата с измамата и подправянето на непарични платежни средства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tabs>
                <w:tab w:val="left" w:pos="2309"/>
              </w:tabs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A. Необходимост от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 какво се изразява проблемът и защо той е проблем на равнището на ЕС?</w:t>
            </w:r>
          </w:p>
        </w:tc>
      </w:tr>
      <w:tr>
        <w:trPr>
          <w:trHeight w:val="2467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Бяха установени три проблема като източник на измами с непарични платежни средства: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съгласно настоящата правна уредба някои престъпления не могат </w:t>
            </w:r>
            <w:r>
              <w:rPr>
                <w:rFonts w:ascii="Tahoma" w:hAnsi="Tahoma"/>
                <w:b/>
                <w:noProof/>
                <w:sz w:val="20"/>
              </w:rPr>
              <w:t>ефективно да бъдат разследвани и по тях да се повдигат и поддържат обвинения</w:t>
            </w:r>
            <w:r>
              <w:rPr>
                <w:rFonts w:ascii="Tahoma" w:hAnsi="Tahoma"/>
                <w:noProof/>
                <w:sz w:val="20"/>
              </w:rPr>
              <w:t>;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поради </w:t>
            </w:r>
            <w:r>
              <w:rPr>
                <w:rFonts w:ascii="Tahoma" w:hAnsi="Tahoma"/>
                <w:b/>
                <w:noProof/>
                <w:sz w:val="20"/>
              </w:rPr>
              <w:t>оперативни пречки</w:t>
            </w:r>
            <w:r>
              <w:rPr>
                <w:rFonts w:ascii="Tahoma" w:hAnsi="Tahoma"/>
                <w:noProof/>
                <w:sz w:val="20"/>
              </w:rPr>
              <w:t xml:space="preserve"> някои престъпления не могат </w:t>
            </w:r>
            <w:r>
              <w:rPr>
                <w:rFonts w:ascii="Tahoma" w:hAnsi="Tahoma"/>
                <w:b/>
                <w:noProof/>
                <w:sz w:val="20"/>
              </w:rPr>
              <w:t>ефективно да бъдат разследвани и по тях да се повдигат и поддържат обвинения</w:t>
            </w:r>
            <w:r>
              <w:rPr>
                <w:rFonts w:ascii="Tahoma" w:hAnsi="Tahoma"/>
                <w:noProof/>
                <w:sz w:val="20"/>
              </w:rPr>
              <w:t>;</w:t>
            </w:r>
          </w:p>
          <w:p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престъпниците се възползват от пропуски в областта на </w:t>
            </w:r>
            <w:r>
              <w:rPr>
                <w:rFonts w:ascii="Tahoma" w:hAnsi="Tahoma"/>
                <w:b/>
                <w:noProof/>
                <w:sz w:val="20"/>
              </w:rPr>
              <w:t>превенцията</w:t>
            </w:r>
            <w:r>
              <w:rPr>
                <w:rFonts w:ascii="Tahoma" w:hAnsi="Tahoma"/>
                <w:noProof/>
                <w:sz w:val="20"/>
              </w:rPr>
              <w:t>, за да извършват измами.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Измамата с непарични платежни средства е </w:t>
            </w:r>
            <w:r>
              <w:rPr>
                <w:rFonts w:ascii="Tahoma" w:hAnsi="Tahoma"/>
                <w:b/>
                <w:noProof/>
                <w:sz w:val="20"/>
              </w:rPr>
              <w:t>заплаха за сигурността</w:t>
            </w:r>
            <w:r>
              <w:rPr>
                <w:rFonts w:ascii="Tahoma" w:hAnsi="Tahoma"/>
                <w:noProof/>
                <w:sz w:val="20"/>
              </w:rPr>
              <w:t xml:space="preserve"> (тъй като представлява източник на приходи за организираната престъпност и следователно е фактор, способстващ извършването на други престъпни дейности, като тероризъм, трафик на наркотици и трафика на хора). Освен това тя е </w:t>
            </w:r>
            <w:r>
              <w:rPr>
                <w:rFonts w:ascii="Tahoma" w:hAnsi="Tahoma"/>
                <w:b/>
                <w:noProof/>
                <w:sz w:val="20"/>
              </w:rPr>
              <w:t>пречка за цифровия единен пазар</w:t>
            </w:r>
            <w:r>
              <w:rPr>
                <w:rFonts w:ascii="Tahoma" w:hAnsi="Tahoma"/>
                <w:noProof/>
                <w:sz w:val="20"/>
              </w:rPr>
              <w:t xml:space="preserve"> (намаляват доверието на потребителите и води до преки икономически загуби).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keepNext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цели се преследват?</w:t>
            </w:r>
          </w:p>
        </w:tc>
      </w:tr>
      <w:tr>
        <w:trPr>
          <w:trHeight w:val="2620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Две общи цели: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Повишаване на сигурността</w:t>
            </w:r>
            <w:r>
              <w:rPr>
                <w:rFonts w:ascii="Tahoma" w:hAnsi="Tahoma"/>
                <w:noProof/>
                <w:sz w:val="20"/>
              </w:rPr>
              <w:t xml:space="preserve"> чрез намаляване на привлекателността (т.е. намаляване на печалбите, увеличаване на риска) за организираните престъпни групи на измамите с непарични платежни средства като източник на приходи.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Подкрепа за цифровия единен пазар</w:t>
            </w:r>
            <w:r>
              <w:rPr>
                <w:rFonts w:ascii="Tahoma" w:hAnsi="Tahoma"/>
                <w:noProof/>
                <w:sz w:val="20"/>
              </w:rPr>
              <w:t xml:space="preserve"> чрез повишаване на доверието на потребителите и предприятията в процесите на плащане, както и чрез намаляване на преките загуби, причинени от измами с непарични платежни средства.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Три специфични цели: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Да се осигури ясна, стабилна и </w:t>
            </w:r>
            <w:r>
              <w:rPr>
                <w:rFonts w:ascii="Tahoma" w:hAnsi="Tahoma"/>
                <w:b/>
                <w:noProof/>
                <w:sz w:val="20"/>
              </w:rPr>
              <w:t>технологично неутрална</w:t>
            </w:r>
            <w:r>
              <w:rPr>
                <w:rFonts w:ascii="Tahoma" w:hAnsi="Tahoma"/>
                <w:noProof/>
                <w:sz w:val="20"/>
              </w:rPr>
              <w:t xml:space="preserve"> политическа/правна рамка.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Да се премахнат </w:t>
            </w:r>
            <w:r>
              <w:rPr>
                <w:rFonts w:ascii="Tahoma" w:hAnsi="Tahoma"/>
                <w:b/>
                <w:noProof/>
                <w:sz w:val="20"/>
              </w:rPr>
              <w:t>оперативните пречки</w:t>
            </w:r>
            <w:r>
              <w:rPr>
                <w:rFonts w:ascii="Tahoma" w:hAnsi="Tahoma"/>
                <w:noProof/>
                <w:sz w:val="20"/>
              </w:rPr>
              <w:t>, които възпрепятстват разследването и повдигането и поддържането на обвинения.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Да се засили </w:t>
            </w:r>
            <w:r>
              <w:rPr>
                <w:rFonts w:ascii="Tahoma" w:hAnsi="Tahoma"/>
                <w:b/>
                <w:noProof/>
                <w:sz w:val="20"/>
              </w:rPr>
              <w:t>превенцията.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Каква е добавената стойност от действия на равнището на ЕС (субсидиарност)?</w:t>
            </w:r>
          </w:p>
        </w:tc>
      </w:tr>
      <w:tr>
        <w:trPr>
          <w:trHeight w:val="1090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pacing w:val="-4"/>
                <w:sz w:val="20"/>
                <w:szCs w:val="20"/>
              </w:rPr>
            </w:pPr>
            <w:r>
              <w:rPr>
                <w:rFonts w:ascii="Tahoma" w:hAnsi="Tahoma"/>
                <w:noProof/>
                <w:spacing w:val="-4"/>
                <w:sz w:val="20"/>
              </w:rPr>
              <w:t xml:space="preserve">Измамата с непарични платежни средства има много силно </w:t>
            </w:r>
            <w:r>
              <w:rPr>
                <w:rFonts w:ascii="Tahoma" w:hAnsi="Tahoma"/>
                <w:b/>
                <w:noProof/>
                <w:spacing w:val="-4"/>
                <w:sz w:val="20"/>
              </w:rPr>
              <w:t>трансгранично</w:t>
            </w:r>
            <w:r>
              <w:rPr>
                <w:rFonts w:ascii="Tahoma" w:hAnsi="Tahoma"/>
                <w:noProof/>
                <w:spacing w:val="-4"/>
                <w:sz w:val="20"/>
              </w:rPr>
              <w:t xml:space="preserve"> измерение. Поради това държавите членки не могат ефективно да се борят с нея сами или без координация с други държави. </w:t>
            </w:r>
          </w:p>
          <w:p>
            <w:pPr>
              <w:jc w:val="both"/>
              <w:rPr>
                <w:rFonts w:ascii="Tahoma" w:hAnsi="Tahoma" w:cs="Tahoma"/>
                <w:noProof/>
                <w:spacing w:val="-4"/>
                <w:sz w:val="20"/>
                <w:szCs w:val="20"/>
              </w:rPr>
            </w:pPr>
            <w:r>
              <w:rPr>
                <w:rFonts w:ascii="Tahoma" w:hAnsi="Tahoma"/>
                <w:noProof/>
                <w:spacing w:val="-4"/>
                <w:sz w:val="20"/>
              </w:rPr>
              <w:t>Действията на ЕС също така улесняват сътрудничеството с трети държави, като се има предвид, че международното измерение на измамата с непарични платежни средства често излиза извън границите на ЕС.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Б. Решения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различните варианти за постигане на целите? Има ли предпочитан вариант сред тях? Ако няма такъв, каква е причината за това?</w:t>
            </w:r>
          </w:p>
        </w:tc>
      </w:tr>
      <w:tr>
        <w:trPr>
          <w:trHeight w:val="2089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Heading3"/>
              <w:numPr>
                <w:ilvl w:val="0"/>
                <w:numId w:val="0"/>
              </w:numPr>
              <w:spacing w:before="0"/>
              <w:ind w:left="850" w:hanging="850"/>
              <w:outlineLvl w:val="2"/>
              <w:rPr>
                <w:rFonts w:ascii="Tahoma" w:hAnsi="Tahoma" w:cs="Tahoma"/>
                <w:i w:val="0"/>
                <w:noProof/>
                <w:sz w:val="20"/>
                <w:szCs w:val="20"/>
              </w:rPr>
            </w:pPr>
            <w:bookmarkStart w:id="2" w:name="_Toc485620419"/>
            <w:r>
              <w:rPr>
                <w:rFonts w:ascii="Tahoma" w:hAnsi="Tahoma"/>
                <w:b/>
                <w:i w:val="0"/>
                <w:noProof/>
                <w:sz w:val="20"/>
              </w:rPr>
              <w:t>Вариант А</w:t>
            </w:r>
            <w:r>
              <w:rPr>
                <w:rFonts w:ascii="Tahoma" w:hAnsi="Tahoma"/>
                <w:i w:val="0"/>
                <w:noProof/>
                <w:sz w:val="20"/>
              </w:rPr>
              <w:t>: подобряване на прилагането на законодателството на ЕС и улесняване на саморегулирането в сътрудничеството между публичния и частния сектор</w:t>
            </w:r>
            <w:bookmarkEnd w:id="2"/>
            <w:r>
              <w:rPr>
                <w:rFonts w:ascii="Tahoma" w:hAnsi="Tahoma"/>
                <w:i w:val="0"/>
                <w:noProof/>
                <w:sz w:val="20"/>
              </w:rPr>
              <w:t>.</w:t>
            </w:r>
          </w:p>
          <w:p>
            <w:pPr>
              <w:pStyle w:val="Heading3"/>
              <w:numPr>
                <w:ilvl w:val="0"/>
                <w:numId w:val="0"/>
              </w:numPr>
              <w:ind w:left="850" w:hanging="850"/>
              <w:outlineLvl w:val="2"/>
              <w:rPr>
                <w:rFonts w:ascii="Tahoma" w:hAnsi="Tahoma" w:cs="Tahoma"/>
                <w:i w:val="0"/>
                <w:noProof/>
                <w:sz w:val="20"/>
                <w:szCs w:val="20"/>
              </w:rPr>
            </w:pPr>
            <w:bookmarkStart w:id="3" w:name="_Toc485620420"/>
            <w:r>
              <w:rPr>
                <w:rFonts w:ascii="Tahoma" w:hAnsi="Tahoma"/>
                <w:b/>
                <w:i w:val="0"/>
                <w:noProof/>
                <w:sz w:val="20"/>
              </w:rPr>
              <w:t>Вариант Б: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въвеждане на нова законодателна уредба и улесняване на саморегулирането в сътрудничеството между публичния и частния сектор</w:t>
            </w:r>
            <w:bookmarkEnd w:id="3"/>
            <w:r>
              <w:rPr>
                <w:rFonts w:ascii="Tahoma" w:hAnsi="Tahoma"/>
                <w:i w:val="0"/>
                <w:noProof/>
                <w:sz w:val="20"/>
              </w:rPr>
              <w:t>.</w:t>
            </w:r>
          </w:p>
          <w:p>
            <w:pPr>
              <w:pStyle w:val="Heading3"/>
              <w:numPr>
                <w:ilvl w:val="0"/>
                <w:numId w:val="0"/>
              </w:numPr>
              <w:ind w:left="1080" w:hanging="1080"/>
              <w:outlineLvl w:val="2"/>
              <w:rPr>
                <w:rFonts w:ascii="Tahoma" w:hAnsi="Tahoma" w:cs="Tahoma"/>
                <w:i w:val="0"/>
                <w:noProof/>
                <w:sz w:val="20"/>
                <w:szCs w:val="20"/>
              </w:rPr>
            </w:pPr>
            <w:bookmarkStart w:id="4" w:name="_Toc485620421"/>
            <w:r>
              <w:rPr>
                <w:rFonts w:ascii="Tahoma" w:hAnsi="Tahoma"/>
                <w:b/>
                <w:i w:val="0"/>
                <w:noProof/>
                <w:sz w:val="20"/>
              </w:rPr>
              <w:t>Вариант В: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същият като вариант Б, но с разпоредби за насърчаване на съобщаването за публично-частното сътрудничество вместо за саморегулирането, и нови разпоредби за повишаване на осведомеността</w:t>
            </w:r>
            <w:bookmarkEnd w:id="4"/>
            <w:r>
              <w:rPr>
                <w:rFonts w:ascii="Tahoma" w:hAnsi="Tahoma"/>
                <w:i w:val="0"/>
                <w:noProof/>
                <w:sz w:val="20"/>
              </w:rPr>
              <w:t>.</w:t>
            </w:r>
          </w:p>
          <w:p>
            <w:pPr>
              <w:pStyle w:val="Heading3"/>
              <w:numPr>
                <w:ilvl w:val="0"/>
                <w:numId w:val="0"/>
              </w:numPr>
              <w:ind w:left="1080" w:hanging="1080"/>
              <w:outlineLvl w:val="2"/>
              <w:rPr>
                <w:rFonts w:ascii="Tahoma" w:hAnsi="Tahoma" w:cs="Tahoma"/>
                <w:b/>
                <w:i w:val="0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i w:val="0"/>
                <w:noProof/>
                <w:sz w:val="20"/>
              </w:rPr>
              <w:t>Вариант Г:</w:t>
            </w:r>
            <w:r>
              <w:rPr>
                <w:rFonts w:ascii="Tahoma" w:hAnsi="Tahoma"/>
                <w:i w:val="0"/>
                <w:noProof/>
                <w:sz w:val="20"/>
              </w:rPr>
              <w:t xml:space="preserve"> същият като вариант В, но с допълнителни разпоредби за компетентността, допълващи европейската заповед за разследване и правилата за разпореждане.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Вариант В е предпочитаният вариант, </w:t>
            </w:r>
            <w:r>
              <w:rPr>
                <w:rFonts w:ascii="Tahoma" w:hAnsi="Tahoma"/>
                <w:noProof/>
                <w:sz w:val="20"/>
              </w:rPr>
              <w:t>както в качествено отношение, така и след анализ на разходите и ползите.</w:t>
            </w:r>
          </w:p>
        </w:tc>
      </w:tr>
      <w:tr>
        <w:tc>
          <w:tcPr>
            <w:tcW w:w="10188" w:type="dxa"/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pacing w:val="-6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pacing w:val="-6"/>
                <w:sz w:val="20"/>
              </w:rPr>
              <w:t>Каква позиция застъпват различните заинтересовани страни? Кой подкрепя отделните варианти?</w:t>
            </w:r>
          </w:p>
        </w:tc>
      </w:tr>
      <w:tr>
        <w:trPr>
          <w:trHeight w:val="3430"/>
        </w:trP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Като цяло заинтересованите страни изразиха съмнения относно целесъобразността, ефективността и добавената стойност на настоящата правна уредба (Рамково решение 2001/413/ПВР на Съвета относно борбата с измамата и подправянето на платежни средства, различни от парите в брой).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По-специално заинтересованите страни са съгласиха, че определенията, включени в Рамковото решение, не са актуални (по-конкретно експерти от съдебните органи изтъкнаха случая с виртуалните валути; в подкрепа на това виждане бяха и голяма част от становищата, изразени от гражданите и заинтересованите страни по време на откритата обществена консултация) и че следва да се обмисли въвеждането на нови престъпления, които не са предвидени в законодателството (експерти от правоприлагащите и съдебните органи посочиха по-специално продажбата, придобиването и предоставянето на откраднати идентификационни данни за достъп; в подкрепа и на това виждане бяха голяма част от отговорите, получени по време на откритата обществена консултация).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Заинтересованите страни изтъкнаха необходимостта от подобряване на сътрудничеството между националните органи и между публичните органи и частния сектор. Заинтересованите страни от финансовите институции и други частноправни субекти (напр. търговци) изразиха недоволство от липсата на правна сигурност, което им пречи да споделят информация, а пък експерти от правоприлагащите органи отбелязаха, че времето, необходимо за получаване на информация, не им позволява ефективно да разследват престъпленията.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В. Въздействие на предпочитания вариант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color w:val="auto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color w:val="auto"/>
                <w:sz w:val="20"/>
              </w:rPr>
              <w:t>Какви са предимствата на предпочитания вариант (ако има такъв, в противен случай — на основните варианти)?</w:t>
            </w:r>
          </w:p>
        </w:tc>
      </w:tr>
      <w:tr>
        <w:trPr>
          <w:trHeight w:val="1342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Очаква се инициативата да проправи пътя към по-ефективни и ефикасни правоприлагащи действия спрямо измамите с непарични платежни средства, благодарение на по-съгласуваното прилагане на правилата в целия ЕС, по-доброто трансгранично сътрудничество и подобряването на публично-частното сътрудничество и обмена на информация.</w:t>
            </w:r>
          </w:p>
          <w:p>
            <w:pPr>
              <w:spacing w:before="240"/>
              <w:jc w:val="both"/>
              <w:rPr>
                <w:rFonts w:ascii="Tahoma" w:hAnsi="Tahoma" w:cs="Tahoma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ahoma" w:hAnsi="Tahoma"/>
                <w:noProof/>
                <w:spacing w:val="-6"/>
                <w:sz w:val="20"/>
              </w:rPr>
              <w:t>Чрез повишаване на сигурността инициативата ще насърчи също така доверието в цифровия единен пазар.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Какви са разходите за предпочитания вариант (ако има такъв, в противен случай — за основните варианти)?</w:t>
            </w:r>
          </w:p>
        </w:tc>
      </w:tr>
      <w:tr>
        <w:trPr>
          <w:trHeight w:val="919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- Изготвянето на нова инициатива и разходите по прилагането за държавите членки се изчисляват на 561 000 EUR (еднократни разходи).</w:t>
            </w:r>
          </w:p>
          <w:p>
            <w:pPr>
              <w:spacing w:after="240"/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- Постоянните разходи за изпълнение и прилагане за държавите членки се изчисляват на 2 285 140 EUR годишно (общо за всички държави членки).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keepNext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Какво е въздействието върху МСП и конкурентоспособността?</w:t>
            </w:r>
          </w:p>
        </w:tc>
      </w:tr>
      <w:tr>
        <w:trPr>
          <w:trHeight w:val="910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Тъй като в предложението не са предвидени задължителни правила за съобщаването за престъпления, за предприятията, включително МСП, не следва да има допълнителни разходи. Другите разпоредби, които ще бъдат включени в предложението, също не засягат МСП.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значително въздействие върху националните бюджети и администрации?</w:t>
            </w:r>
          </w:p>
        </w:tc>
      </w:tr>
      <w:tr>
        <w:trPr>
          <w:trHeight w:val="2800"/>
        </w:trP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Като цяло, кумулативното въздействие на предложените мерки по отношение на административните и финансовите разходи се очаква да бъде по-високо от сегашните равнища, тъй като броят на случаите, които да бъдат разследвани, би оказал натиск върху ресурсите за правоприлагане в тази област, които ще трябва да бъдат увеличени. Основните причини за това са: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по-широкото определение на платежните средства и допълнителните престъпления, които да бъдат разследвани (приготовлението към престъпление), вероятно ще увеличат броя на случаите, за които носят отговорност полицейските и съдебните органи;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необходими са допълнителни средства, за да се засили трансграничното сътрудничество;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задължението за държавите членки да събират статистика ще създаде допълнителна административна тежест.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От друга страна, установяването на ясна правна уредба за преодоляване на факторите, способстващи за извършването на измами с непарични платежни средства, ще даде възможност за по-ранното откриване, наказателно преследване и санкциониране на свързаните с измама престъпления. Освен това, въпреки че подобряването на публично-частното сътрудничество има своята цена по отношение на ресурсите, възвращаемостта на тази инвестиция по отношение на ефективността и ефикасността на действията на правоприлагащите органи е непосредствена.</w:t>
            </w:r>
          </w:p>
          <w:p>
            <w:pPr>
              <w:jc w:val="both"/>
              <w:rPr>
                <w:rFonts w:ascii="Tahoma" w:hAnsi="Tahoma" w:cs="Tahoma"/>
                <w:noProof/>
                <w:color w:val="FF0000"/>
                <w:sz w:val="20"/>
                <w:szCs w:val="20"/>
              </w:rPr>
            </w:pP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Ще има ли друго значително въздействие?</w:t>
            </w:r>
          </w:p>
        </w:tc>
      </w:tr>
      <w:tr>
        <w:trPr>
          <w:trHeight w:val="86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Няма значително въздействие върху околната среда или въздействие върху общото равнище на заетост на равнище ЕС.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Чрез подобряване на съгласуваността със съществуващото законодателство (напр. Директивата за платежните услуги</w:t>
            </w:r>
            <w:r>
              <w:rPr>
                <w:rStyle w:val="FootnoteReference"/>
                <w:rFonts w:ascii="Tahoma" w:hAnsi="Tahoma"/>
                <w:noProof/>
                <w:sz w:val="20"/>
              </w:rPr>
              <w:footnoteReference w:id="1"/>
            </w:r>
            <w:r>
              <w:rPr>
                <w:rFonts w:ascii="Tahoma" w:hAnsi="Tahoma"/>
                <w:noProof/>
                <w:sz w:val="20"/>
              </w:rPr>
              <w:t>) инициативата ще създаде полезни взаимодействия по отношение на защитата на непаричните платежни инструменти.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Пропорционалност</w:t>
            </w:r>
          </w:p>
        </w:tc>
      </w:tr>
      <w:tr>
        <w:trPr>
          <w:trHeight w:val="2332"/>
        </w:trPr>
        <w:tc>
          <w:tcPr>
            <w:tcW w:w="10188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ще въведе минимален набор от общи, широко скроени определения, минимално равнище на максималния размер на санкциите и права за пострадалите. Следователно държавите членки ще запазят известна свобода на действие при определяне на размера на санкциите. Също така държавите членки ще могат да предоставят по-благоприятни права на пострадалите от измама с непарични платежни средства.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няма да наложи прекомерни задължения на частния сектор (включително на МСП) и гражданите, тъй като не налага задължения за съобщаване за извършени престъпления.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Накрая, избраният инструмент е директива, което осигурява на държавите членки гъвкавост по отношение на изпълнението.</w:t>
            </w:r>
          </w:p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Предпочитаният вариант не надхвърля необходимото за решаване на първоначалния проблем и отговаря на целите, установени, за да е налице необходимост от интервенция на ЕС.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Г. Последващи действия</w:t>
            </w:r>
          </w:p>
        </w:tc>
      </w:tr>
      <w:tr>
        <w:tc>
          <w:tcPr>
            <w:tcW w:w="10188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Кога ще се извърши преглед на политиката?</w:t>
            </w:r>
          </w:p>
        </w:tc>
      </w:tr>
      <w:tr>
        <w:trPr>
          <w:trHeight w:val="1315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color w:val="FF0000"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Комисията следва да направи преглед на прилагането на предложението относно измамата с непарични плащания във връзка с постигането на целите на политиката, набелязани в настоящата оценка на въздействието. Оценката следва да бъде извършена 6 години след крайния срок за транспонирането на законодателния акт, за да е сигурно, че е налице достатъчно дълъг период, за да се направи оценка на въздействието на инициативата, след като е била изцяло приложена във всички държави членки.</w:t>
            </w:r>
          </w:p>
        </w:tc>
      </w:tr>
    </w:tbl>
    <w:p>
      <w:pPr>
        <w:rPr>
          <w:rFonts w:ascii="Tahoma" w:hAnsi="Tahoma" w:cs="Tahoma"/>
          <w:noProof/>
          <w:sz w:val="20"/>
          <w:szCs w:val="2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567" w:bottom="624" w:left="1134" w:header="284" w:footer="25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0711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left"/>
        <w:rPr>
          <w:rFonts w:ascii="Tahoma" w:hAnsi="Tahoma" w:cs="Tahoma"/>
        </w:rPr>
      </w:pPr>
      <w:r>
        <w:rPr>
          <w:rStyle w:val="FootnoteReference"/>
          <w:rFonts w:ascii="Tahoma" w:hAnsi="Tahoma"/>
          <w:sz w:val="18"/>
        </w:rPr>
        <w:footnoteRef/>
      </w:r>
      <w:r>
        <w:rPr>
          <w:rFonts w:ascii="Tahoma" w:hAnsi="Tahoma"/>
          <w:sz w:val="18"/>
        </w:rPr>
        <w:t xml:space="preserve"> </w:t>
      </w:r>
      <w:r>
        <w:tab/>
      </w:r>
      <w:hyperlink r:id="rId1">
        <w:r>
          <w:rPr>
            <w:rStyle w:val="Hyperlink"/>
            <w:rFonts w:ascii="Tahoma" w:hAnsi="Tahoma"/>
            <w:sz w:val="18"/>
          </w:rPr>
          <w:t>Директива (ЕС) 2015/2366</w:t>
        </w:r>
      </w:hyperlink>
      <w:r>
        <w:rPr>
          <w:rFonts w:ascii="Tahoma" w:hAnsi="Tahoma"/>
          <w:sz w:val="18"/>
        </w:rPr>
        <w:t xml:space="preserve"> от 25 ноември 2015 г. за платежните услуги във вътрешния пазар, за изменение на директиви 2002/65/ЕО, 2009/110/ЕО и 2013/36/ЕС и Регламент (ЕС) № 1093/2010 и за отмяна на Директива 2007/64/ЕО.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9F9"/>
    <w:multiLevelType w:val="hybridMultilevel"/>
    <w:tmpl w:val="56C685BE"/>
    <w:lvl w:ilvl="0" w:tplc="59881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177A"/>
    <w:multiLevelType w:val="hybridMultilevel"/>
    <w:tmpl w:val="08621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725"/>
    <w:multiLevelType w:val="hybridMultilevel"/>
    <w:tmpl w:val="3736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12FA4"/>
    <w:multiLevelType w:val="multilevel"/>
    <w:tmpl w:val="5F407CF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C902B09"/>
    <w:multiLevelType w:val="hybridMultilevel"/>
    <w:tmpl w:val="68AE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516B"/>
    <w:multiLevelType w:val="hybridMultilevel"/>
    <w:tmpl w:val="5BDA153C"/>
    <w:lvl w:ilvl="0" w:tplc="59881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DEF008AB163045149C2ABD0884527A74"/>
    <w:docVar w:name="LW_CROSSREFERENCE" w:val="{COM(2017) 489 final}_x000b_{SWD(2017) 298 final}"/>
    <w:docVar w:name="LW_DocType" w:val="NORMAL"/>
    <w:docVar w:name="LW_EMISSION" w:val="13.9.2017"/>
    <w:docVar w:name="LW_EMISSION_ISODATE" w:val="2017-09-13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SWD"/>
    <w:docVar w:name="LW_REF.INST.NEW_ADOPTED" w:val="final"/>
    <w:docVar w:name="LW_REF.INST.NEW_TEXT" w:val="(2017) 299"/>
    <w:docVar w:name="LW_REF.INTERNE" w:val="&lt;UNUSED&gt;"/>
    <w:docVar w:name="LW_SOUS.TITRE.OBJ.CP" w:val="&lt;UNUSED&gt;"/>
    <w:docVar w:name="LW_SUPERTITRE" w:val="&lt;UNUSED&gt;"/>
    <w:docVar w:name="LW_TITRE.OBJ.CP" w:val="\u1087?\u1088?\u1080?\u1076?\u1088?\u1091?\u1078?\u1072?\u1074?\u1072?\u1097?\u1072?_x000b__x000b_\u1055?\u1088?\u1077?\u1076?\u1083?\u1086?\u1078?\u1077?\u1085?\u1080?\u1077? \u1079?\u1072? \u1044?\u1080?\u1088?\u1077?\u1082?\u1090?\u1080?\u1074?\u1072? \u1085?\u1072? \u1045?\u1074?\u1088?\u1086?\u1087?\u1077?\u1081?\u1089?\u1082?\u1080?\u1103? \u1087?\u1072?\u1088?\u1083?\u1072?\u1084?\u1077?\u1085?\u1090? \u1080? \u1085?\u1072? \u1057?\u1098?\u1074?\u1077?\u1090?\u1072? \u1086?\u1090?\u1085?\u1086?\u1089?\u1085?\u1086? \u1073?\u1086?\u1088?\u1073?\u1072?\u1090?\u1072? \u1089? \u1080?\u1079?\u1084?\u1072?\u1084?\u1072?\u1090?\u1072? \u1080? \u1087?\u1086?\u1076?\u1087?\u1088?\u1072?\u1074?\u1103?\u1085?\u1077?\u1090?\u1086? \u1085?\u1072? \u1085?\u1077?\u1087?\u1072?\u1088?\u1080?\u1095?\u1085?\u1080? \u1087?\u1083?\u1072?\u1090?\u1077?\u1078?\u1085?\u1080? \u1089?\u1088?\u1077?\u1076?\u1089?\u1090?\u1074?\u1072? \u1080? \u1079?\u1072? \u1079?\u1072?\u1084?\u1103?\u1085?\u1072? \u1085?\u1072? \u1056?\u1072?\u1084?\u1082?\u1086?\u1074?\u1086? \u1088?\u1077?\u1096?\u1077?\u1085?\u1080?\u1077? 2001/413/\u1055?\u1042?\u1056? \u1085?\u1072? \u1057?\u1098?\u1074?\u1077?\u1090?\u1072?"/>
    <w:docVar w:name="LW_TYPE.DOC.CP" w:val="\u1056?\u1040?\u1041?\u1054?\u1058?\u1045?\u1053? \u1044?\u1054?\u1050?\u1059?\u1052?\u1045?\u1053?\u1058? \u1053?\u1040? \u1057?\u1051?\u1059?\u1046?\u1041?\u1048?\u1058?\u1045? \u1053?\u1040? \u1050?\u1054?\u1052?\u1048?\u1057?\u1048?\u1071?\u1058?\u1040?_x000b__x000b_\u1054?\u1041?\u1054?\u1041?\u1065?\u1045?\u1053?\u1040? \u1054?\u1062?\u1045?\u1053?\u1050?\u1040? \u1053?\u1040? \u1042?\u1066?\u1047?\u1044?\u1045?\u1049?\u1057?\u1058?\u1042?\u1048?\u1045?\u1058?\u1054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3"/>
      </w:numPr>
      <w:spacing w:before="360" w:after="120"/>
      <w:jc w:val="both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3"/>
      </w:numPr>
      <w:spacing w:before="120" w:after="120"/>
      <w:jc w:val="both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3"/>
      </w:numPr>
      <w:spacing w:before="120" w:after="120"/>
      <w:jc w:val="both"/>
      <w:outlineLvl w:val="2"/>
    </w:pPr>
    <w:rPr>
      <w:bCs/>
      <w:i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before="120" w:after="120"/>
      <w:jc w:val="both"/>
      <w:outlineLvl w:val="3"/>
    </w:pPr>
    <w:rPr>
      <w:bCs/>
      <w:i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Cs/>
      <w:iCs/>
      <w:sz w:val="24"/>
      <w:lang w:eastAsia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semiHidden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3"/>
      </w:numPr>
      <w:spacing w:before="360" w:after="120"/>
      <w:jc w:val="both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3"/>
      </w:numPr>
      <w:spacing w:before="120" w:after="120"/>
      <w:jc w:val="both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3"/>
      </w:numPr>
      <w:spacing w:before="120" w:after="120"/>
      <w:jc w:val="both"/>
      <w:outlineLvl w:val="2"/>
    </w:pPr>
    <w:rPr>
      <w:bCs/>
      <w:i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3"/>
      </w:numPr>
      <w:spacing w:before="120" w:after="120"/>
      <w:jc w:val="both"/>
      <w:outlineLvl w:val="3"/>
    </w:pPr>
    <w:rPr>
      <w:bCs/>
      <w:i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Cs/>
      <w:iCs/>
      <w:sz w:val="24"/>
      <w:lang w:eastAsia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semiHidden/>
    <w:pPr>
      <w:ind w:left="720" w:hanging="7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BG/TXT/?uri=celex%3A32015L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3D72-0ED7-41AE-B8A8-27C82ACC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1272</Words>
  <Characters>8003</Characters>
  <Application>Microsoft Office Word</Application>
  <DocSecurity>0</DocSecurity>
  <Lines>133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2017-08-31T12:20:00Z</cp:lastPrinted>
  <dcterms:created xsi:type="dcterms:W3CDTF">2017-09-05T11:37:00Z</dcterms:created>
  <dcterms:modified xsi:type="dcterms:W3CDTF">2017-09-25T08:12:00Z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