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159469A75FF4339BD9A119A3AF247B7" style="width:451.5pt;height:4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rPr>
      </w:pPr>
      <w:bookmarkStart w:id="1" w:name="_GoBack"/>
      <w:bookmarkEnd w:id="1"/>
      <w:r>
        <w:rPr>
          <w:rFonts w:ascii="Times New Roman Bold" w:hAnsi="Times New Roman Bold"/>
          <w:b/>
          <w:caps/>
          <w:noProof/>
          <w:sz w:val="24"/>
          <w:u w:val="single"/>
        </w:rPr>
        <w:lastRenderedPageBreak/>
        <w:t>Приложение ХІ</w:t>
      </w: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w:eastAsia="Times New Roman" w:hAnsi="Times New Roman" w:cs="Times New Roman"/>
          <w:caps/>
          <w:noProof/>
          <w:sz w:val="24"/>
          <w:szCs w:val="24"/>
        </w:rPr>
      </w:pPr>
      <w:r>
        <w:rPr>
          <w:rFonts w:ascii="Times New Roman" w:hAnsi="Times New Roman"/>
          <w:caps/>
          <w:noProof/>
          <w:sz w:val="24"/>
        </w:rPr>
        <w:t>Допълнителни обществени поръчки, които са включени</w:t>
      </w:r>
    </w:p>
    <w:p>
      <w:pPr>
        <w:spacing w:after="0" w:line="360" w:lineRule="auto"/>
        <w:jc w:val="center"/>
        <w:rPr>
          <w:rFonts w:ascii="Times New Roman Bold" w:eastAsia="Times New Roman" w:hAnsi="Times New Roman Bold" w:cs="Times New Roman"/>
          <w:caps/>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А.</w:t>
      </w:r>
      <w:r>
        <w:rPr>
          <w:noProof/>
        </w:rPr>
        <w:tab/>
      </w:r>
      <w:r>
        <w:rPr>
          <w:rFonts w:ascii="Times New Roman" w:hAnsi="Times New Roman"/>
          <w:noProof/>
          <w:sz w:val="24"/>
        </w:rPr>
        <w:t>Европейски съюз:</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Договори за концесии за строителство, уредени с Директива 2014/23/ЕС на Европейския парламент и на Съвета от 26 февруари 2014 г. за възлагане на договори за концесия (изменена), когато тези договори са възложени от субект, посочен в списъците от приложения 1 и 2 на Европейския съюз на допълнение I към Споразумението на СТО за държавните поръчки, съгласно режима, предвиден в тази директива. Този режим е в съответствие с членове I, II, IV, VI, VII (с изключение на точка 2, буква д) и точка 2, буква л), член XVI (с изключение на параграфи 3 и 4) и член XVIII от Споразумението на СТО за държавните поръчки.</w:t>
      </w:r>
    </w:p>
    <w:p>
      <w:pPr>
        <w:spacing w:after="0" w:line="360" w:lineRule="auto"/>
        <w:jc w:val="both"/>
        <w:rPr>
          <w:rFonts w:ascii="Times New Roman" w:eastAsia="Times New Roman" w:hAnsi="Times New Roman" w:cs="Times New Roman"/>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Б.</w:t>
      </w:r>
      <w:r>
        <w:rPr>
          <w:noProof/>
        </w:rPr>
        <w:tab/>
      </w:r>
      <w:r>
        <w:rPr>
          <w:rFonts w:ascii="Times New Roman" w:hAnsi="Times New Roman"/>
          <w:noProof/>
          <w:sz w:val="24"/>
        </w:rPr>
        <w:t>Република Армения:</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Договори за концесии, уредени от Закона за обществените поръчки, когато тези договори са възложени от субект, посочен в списъците от приложения 1 и 2 на Република Армения на допълнение I към Споразумението на СТО за държавните поръчки.</w:t>
      </w: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center"/>
        <w:rPr>
          <w:rFonts w:ascii="Times New Roman" w:eastAsia="Times New Roman" w:hAnsi="Times New Roman" w:cs="Times New Roman"/>
          <w:noProof/>
          <w:sz w:val="24"/>
          <w:szCs w:val="24"/>
        </w:rPr>
      </w:pPr>
      <w:r>
        <w:rPr>
          <w:rFonts w:ascii="Times New Roman" w:hAnsi="Times New Roman"/>
          <w:noProof/>
          <w:sz w:val="24"/>
        </w:rPr>
        <w:t>________________</w:t>
      </w:r>
    </w:p>
    <w:p>
      <w:pPr>
        <w:spacing w:after="0" w:line="360" w:lineRule="auto"/>
        <w:ind w:left="567"/>
        <w:jc w:val="center"/>
        <w:rPr>
          <w:rFonts w:ascii="Times New Roman" w:eastAsia="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ПРИЛОЖЕНИЕ ХІІ</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към ГЛАВА 2 „РАЗПОРЕДБИ ЗА БОРБА С ИЗМАМИТЕ И ЗА КОНТРОЛ“ от ДЯЛ VII „ФИНАНСОВА ПОМОЩ И РАЗПОРЕДБИ ЗА БОРБА С ИЗМАМИТЕ И ЗА КОНТРОЛ“</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Конвенция за защитата на финансовите интереси на Европейските общности от 26 юли 1995 г.</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тази конвенция се прилагат посочените по-долу разпоредби:</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 Общи разпоредби, определения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параграф 1, като се вземат необходимите мерки за гарантиране, че деянието, посочено в член 1, както и съучастието, подбудителството или опитът да бъде извършено деянието, посочено в член 1, параграф 1, ще бъдат наказуеми с ефективни, съразмерни и възпиращи наказания</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Конвенцията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Наказателна отговорност на управители на търговски дружества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Конвенцията започват да се прилагат в срок от 3 години след влизането в сила на настоящото споразумение.</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Протокол към Конвенцията за защитата на финансовите интереси на Европейските общности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този протокол се прилагат посочените по-долу разпоредби:</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параграф 1, буква в) и член 1, параграф 2 — Определения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 Пасивна корупция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Активна корупция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5, параграф 1, като се вземат необходимите мерки, за да се гарантира, че деянията по членове 2 и 3, както и съучастието и подбудителството да бъде извършено това деяние се наказват с ефективни, съразмерни и възпиращи наказания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7, доколкото се позовава на член 3 от Конвенцията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Протокола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Втори протокол към Конвенцията за защитата на финансовите интереси на Европейските общности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този протокол се прилагат посочените по-долу разпоредби: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 Определения</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 Изпиране на пари</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Отговорност на юридически лица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4 — Санкции на юридическо лице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12, доколкото се позовава на член 3 от Конвенцията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Протокола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Защита на парите от фалшифициране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Регламент (ЕО) № 1338/2001 на Съвета от 28 юни 2001 г. определя необходимите мерки за защита на еврото срещу фалшифициране.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Директива 2014/62/ЕС на Европейския парламент и на Съвета от 15 май 2014 г. относно защитата на еврото и на другите парични знаци срещу подправяне</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Регламент (ЕО) № 1338/2001 и Директива 2014/62/ЕС започват да се прилагат в срок от 3 години след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Международна конвенция за премахване и преследване фабрикуването на фалшиви парични знаци (Женева, 1929 г.)</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Конвенцията ще бъде подписана и ратифицирана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t xml:space="preserve">ПРОТОКОЛ към ДЯЛ VII </w:t>
      </w:r>
      <w:r>
        <w:rPr>
          <w:rFonts w:ascii="Times New Roman" w:hAnsi="Times New Roman"/>
          <w:noProof/>
          <w:sz w:val="24"/>
        </w:rPr>
        <w:br/>
        <w:t>„ФИНАНСОВА ПОМОЩ</w:t>
      </w:r>
      <w:r>
        <w:rPr>
          <w:rFonts w:ascii="Times New Roman" w:hAnsi="Times New Roman"/>
          <w:noProof/>
          <w:sz w:val="24"/>
        </w:rPr>
        <w:br/>
        <w:t>И РАЗПОРЕДБИ ЗА БОРБА С ИЗМАМИТЕ И ЗА КОНТРОЛ“</w:t>
      </w:r>
      <w:r>
        <w:rPr>
          <w:rFonts w:ascii="Times New Roman" w:hAnsi="Times New Roman"/>
          <w:noProof/>
          <w:sz w:val="24"/>
        </w:rPr>
        <w:br/>
        <w:t>от ГЛАВА 2 „РАЗПОРЕДБИ ЗА БОРБА С ИЗМАМИТЕ И ЗА КОНТРОЛ“</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Протокол относно определенията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noProof/>
        </w:rPr>
        <w:tab/>
      </w:r>
      <w:r>
        <w:rPr>
          <w:rFonts w:ascii="Times New Roman" w:hAnsi="Times New Roman"/>
          <w:noProof/>
          <w:sz w:val="24"/>
        </w:rPr>
        <w:t>„Нередност“ означава всяко нарушение на разпоредба на правото на ЕС, на настоящото споразумение или на произтичащите спогодби и договори в резултат на действие или бездействие от икономически оператор, което е имало или би имало за резултат нарушаването на общия бюджет на Европейския съюз или на бюджетите, управлявани от Европейския съюз, или посредством намаляването или загубата на приходи, произтичащи от собствени ресурси, които се събират направо от името на Европейския съюз, или посредством извършването на неоправдан разход.</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„Измама“ означава:</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а)</w:t>
      </w:r>
      <w:r>
        <w:rPr>
          <w:noProof/>
        </w:rPr>
        <w:tab/>
      </w:r>
      <w:r>
        <w:rPr>
          <w:rFonts w:ascii="Times New Roman" w:hAnsi="Times New Roman"/>
          <w:noProof/>
          <w:sz w:val="24"/>
        </w:rPr>
        <w:t>във връзка с разходите — всяко преднамерено действие или бездействие, свързано с:</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използването или представянето на подправени, неточни или непълни декларации или документи, в резултат на което се присвояват или неправомерно се задържат финансови средства от общия бюджет на Европейския съюз или от бюджети, управлявани от Европейския съюз или от негово име,</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неоповестяването на информация в нарушение на конкретно задължение, което води до същия резултат, описан в първото тире на настоящата точка,</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неправилното използване на финансовите средства, посочени в първото тире на настоящата точка, за цели, различни от тези, за които първоначално са предоставени.</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б)</w:t>
      </w:r>
      <w:r>
        <w:rPr>
          <w:noProof/>
        </w:rPr>
        <w:tab/>
      </w:r>
      <w:r>
        <w:rPr>
          <w:rFonts w:ascii="Times New Roman" w:hAnsi="Times New Roman"/>
          <w:noProof/>
          <w:sz w:val="24"/>
        </w:rPr>
        <w:t>във връзка с приходите — всяко преднамерено действие или бездействие, свързано с:</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използването или представянето на подправени, неточни или непълни декларации или документи, в резултат на което финансовите средства от общия бюджет на Европейския съюз или от бюджети, управлявани от Европейския съюз или от негово име, неправомерно намаляват,</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неоповестяването на информация в нарушение на конкретно задължение, което води до същия резултат,</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неправилното използване на законно предоставени ползи, което води до същия резултат.</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„Активна корупция“ означава умишлено деяние на лице, което обещава или дава пряко или чрез посредник облага от какъвто и да е характер на служител, за него или за трето лице, за да извърши или да не извърши действие по служба, или да наруши служебните си задължения при осъществяване на функциите си, с което уврежда или може да увреди на финансовите интереси на Европейския съюз.</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noProof/>
        </w:rPr>
        <w:tab/>
      </w:r>
      <w:r>
        <w:rPr>
          <w:rFonts w:ascii="Times New Roman" w:hAnsi="Times New Roman"/>
          <w:noProof/>
          <w:sz w:val="24"/>
        </w:rPr>
        <w:t>„Пасивна корупция“ означава умишлено деяние на служител, който пряко или чрез посредник иска или получава облага от какъвто и да е характер за себе си или за трето лице, или приема обещание за такава облага, за да извърши или да не извърши действие по служба, или да наруши служебните си задължения при осъществяване на функциите си, с което уврежда или може да увреди финансовите интереси на Европейския съюз.</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5.</w:t>
      </w:r>
      <w:r>
        <w:rPr>
          <w:noProof/>
        </w:rPr>
        <w:tab/>
      </w:r>
      <w:r>
        <w:rPr>
          <w:rFonts w:ascii="Times New Roman" w:hAnsi="Times New Roman"/>
          <w:noProof/>
          <w:sz w:val="24"/>
        </w:rPr>
        <w:t>„Конфликт на интереси“ означава всяка ситуация, която може да породи съмнение относно способността на персонала да действа безпристрастно и обективно поради причините, посочени в член 57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„Недължимо платен“ означава платен в нарушение на разпоредбите, уреждащи средствата на ЕС.</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noProof/>
        </w:rPr>
        <w:tab/>
      </w:r>
      <w:r>
        <w:rPr>
          <w:rFonts w:ascii="Times New Roman" w:hAnsi="Times New Roman"/>
          <w:noProof/>
          <w:sz w:val="24"/>
        </w:rPr>
        <w:t>Европейската служба за борба с измамите (OLAF) е специализираната служба на Европейската комисията за борба с измамите. OLAF е оперативно независима и отговаря за провеждането на административни разследвания, предназначени за борба с измамите, корупцията и всички други незаконни дейности, които засягат финансовите интереси на Европейския съюз, както е посочено в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и в Регламент (Евратом, EО)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rPr>
      </w:pPr>
      <w:r>
        <w:rPr>
          <w:rFonts w:asciiTheme="majorBidi" w:hAnsiTheme="majorBidi" w:cstheme="majorBidi"/>
          <w:noProof/>
          <w:snapToGrid w:val="0"/>
          <w:sz w:val="24"/>
        </w:rPr>
        <w:t>ПРОТОКОЛ</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ОТНОСНО АДМИНИСТРАТИВНАТА ВЗАИМОПОМОЩ ПО МИТНИЧЕСКИ ВЪПРОСИ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Определения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За целите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„митническо законодателство“ означава всички законови или подзаконови разпоредби, приложими на териториите на страните, които уреждат вноса, износа и транзита на стоки и тяхното поставяне под всякакъв друг митнически режим или процедура, включително мерки за забрана, ограничение и контрол;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„орган заявител“ означава компетентен административен орган, който е определен за тази цел от страна и който отправя искане за помощ въз основа на настоящия протокол;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„запитан орган“ означава компетентен административен орган, който е определен за тази цел от страна и който получава искане за помощ въз основа на настоящия протокол;</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„лични данни“ означава всяка информация, отнасяща се до физическо лице с определена или подлежаща на определяне самоличност;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„операция в нарушение на митническото законодателство“ означава всяко нарушаване или опит за нарушаване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2</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Приложно поле</w:t>
      </w:r>
    </w:p>
    <w:p>
      <w:pPr>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Страните си оказват взаимопомощ в областите от тяхната компетентност, по начина и при условията, установени в настоящия протокол, за да се гарантира правилното прилагане на митническото законодателство, по-специално чрез предотвратяване, разследване и борба с операциите в нарушение на посоченото законодателство.</w:t>
      </w:r>
    </w:p>
    <w:p>
      <w:pPr>
        <w:tabs>
          <w:tab w:val="left" w:pos="567"/>
        </w:tabs>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Помощта по митнически въпроси, предвидена в настоящия протокол, се прилага по отношение на всеки административен орган на страна, който е компетентен за прилагането на настоящия протокол. Тази помощ не засяга разпоредбите, които уреждат взаимопомощта по наказателноправни въпроси, нито се прилага по отношение на информация, получена съгласно правомощия, упражнявани по искане на съдебен орган, освен ако съобщаването на тази информация е разрешено от посочения орган.</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Помощта при възстановяване на мита, данъци или глоби, не попада в приложното поле на настоящия протокол.</w:t>
      </w: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3</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Помощ при отправено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По искане на органа заявител запитаният орган му предоставя цялата съответна информация, която може да му позволи да гарантира правилното прилагане на митническото законодателство, включително информация относно установени или планирани дейности, които представляват или могат да представляват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По искане на органа заявител запитаният орган го информира:</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дали стоките, изнесени от територията на една от страните, са били редовно внесени на територията на другата страна, като уточнява, където е целесъобразно, приложения по отношение на стоките митнически режим;</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дали стоките, внесени на територията на една от страните, са били редовно изнесени от територията на другата страна, като уточнява, където е целесъобразно, приложения по отношение на стоките митнически режим.</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По искане на органа заявител запитаният орган предприема необходимите мерки, в рамките на своите законови или подзаконови разпоредби, за да гарантира упражняването на специален надзор върху:</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или</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места, където са складирани или могат да бъдат складирани стоки по такъв начин, че са налице основателни причини да се счита, че тези стоки са предназначени да бъдат използвани при операции в нарушение на митническото законодателство;</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стоки, които са транспортирани или могат да бъдат транспортирани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транспортни средства, които са използвани или могат да бъдат използвани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4</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Помощ без отправено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Страните си оказват взаимопомощ по своя собствена инициатива и в съответствие със своите законови или подзаконови разпоредби, ако считат това за необходимо за правилното прилагане на митническото законодателство, и по-специално чрез предоставяне на получена информация, която се отнася до:</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дейности, които са или изглежда, че са операции в нарушение на митническото законодателство, и които могат да бъдат от интерес за другата страна;</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нови средства или методи, използвани за извършване на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стоки, за които е известно, че са предмет на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транспортни средства, по отношение на които са налице основателни причини да се счита, че са били използвани, са използвани или могат да бъдат използвани при операции в нарушение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5</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Предоставяне и уведомяване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По искане на органа заявител запитаният орган предприема всички необходими мерки в съответствие с приложимите към него законови или подзаконови разпоредби, за да връчи на адресати, които пребивават или са установени на територията на запитания орган, всякакви документи или уведомления за всякакви решения, които произхождат от органа заявител и попадат в приложното поле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за предоставяне на документи или за съобщаване на решения се изготвят в писмен вид на един от официалните езици на запитания орган или на език, приемлив за този орган.</w:t>
      </w: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6</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Форма и съдържание на исканията за помощ</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Исканията в съответствие с настоящия протокол се отправят в писмен вид. Те се придружават от документите, необходими за удовлетворяване на искането. При неотложна ситуация запитаният орган може да приеме искания, отправени устно, но тези устни искания трябва незабавно да бъдат потвърдени в писмен вид от органа заявител.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отправени в съответствие с параграф 1, съдържат следната информация:</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наименованието на органа заявител;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исканата помощ;</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предмета и основанието за отправяне на искането;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законовите или подзаконовите разпоредби и другите правни съображения;</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възможно най-точни и пълни сведения за физическите или юридическите лица, които са обект на разследванията;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е)</w:t>
      </w:r>
      <w:r>
        <w:rPr>
          <w:noProof/>
        </w:rPr>
        <w:tab/>
      </w:r>
      <w:r>
        <w:rPr>
          <w:rFonts w:asciiTheme="majorBidi" w:hAnsiTheme="majorBidi" w:cstheme="majorBidi"/>
          <w:noProof/>
          <w:snapToGrid w:val="0"/>
          <w:sz w:val="24"/>
        </w:rPr>
        <w:t>обобщение на съответните факти и вече проведените разследвания.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Исканията се отправят на език, който е официален за запитания орган, или на език, приемлив за този орган. Това изискване не се прилага за документите, които придружават искането по параграф 1.</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Ако дадено искане не отговаря на формалните условия, посочени в параграфи 1—3, запитаният орган може да поиска искането да бъде поправено или допълнено. Междувременно органите на всяка страна могат да предприемат обезпечителни мерки.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7</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Изпълнение на исканията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За да изпълни дадено искане за помощ, запитаният орган, при отправено искане от страна на органа заявител, пристъпва към действие в рамките на своята компетентност и налични ресурси, както би действал за своя сметка или по искане на други органи на същата страна, като представя вече притежаваната от него информация, провежда подходящите административни разследвания или организира провеждането на подобни разследвания. Тази разпоредба се прилага също за всеки друг орган, до който искането е било отнесено от запитания орган, когато запитаният орган не може да действа самостоятелно.</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за помощ се изпълняват в съответствие със законовите или подзаконовите разпоредби на запитаната страна.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Със съгласието на другата страна и при определени от нея условия надлежно оправомощени служители на някоя от страните могат да събират в помещенията на запитания орган или във всеки друг засегнат орган в съответствие с параграф 1 информация във връзка с дейности, които са операции в нарушение на митническото законодателство или е възможно да са такива операции, от която информация запитващият орган се нуждае за целите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Със съгласието на другата страна и при определени от нея условия надлежно оправомощени служители на някоя от страните могат да присъстват на разследванията, провеждани на територията на другата страна.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8</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Форма на предоставяната информация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Запитаният орган предоставя на органа заявител резултатите от разследванията в писмен вид заедно със съответните документи, заверени копия или други материали.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Тази информация може да бъде предоставена в електронен формат.</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Органът заявител може да поиска да му бъдат предадени оригиналите на документите единствено в случаите, когато заверените копия са недостатъчни. Тези оригинали се връщат при първа възможност.</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9</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Изключения от задължението за оказване на помощ</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Оказването на помощ може да бъде отказано или да бъде обвързано с изпълнението на определени условия или изисквания в случаите, когато една от страните е на мнение, че помощта съгласно настоящия протокол може:</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да накърни суверенитета на Република Армения или на държава членка, от която е поискано да окаже помощ съгласно настоящия протокол;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да засегне обществения ред, сигурността, държавна тайна или други съществени интереси, по-специално в случаите, посочени в член 10, параграф 2; или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да наруши промишлени, търговски или професионални тайни.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Оказването на помощ може да бъде отложено от запитания орган на основание, че тя би попречила на провеждано разследване, наказателно преследване или съдебно производство. В такъв случай запитаният орган се консултира с органа заявител, за да определи дали помощта може да бъде предоставена в съответствие с реда или условията, които запитаният орган може да изисква.</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Ако органът заявител изисква помощ, която самият той не би могъл да предостави, ако това се поиска от него, в своето искане той обръща внимание на този факт. В такива случаи се оставя на преценката на запитания орган да вземе решение как да отговори на такова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В случаите, посочени в параграфи 1 и 2, запитаният орган уведомява незабавно органа заявител за решението си и основанията за него.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10</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Обмен на информация и поверителност</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Всякаква информация, съобщена под каквато и да било форма в съответствие с настоящия протокол, е поверителна или с ограничен достъп, в зависимост от законовите и подзаконовите разпоредби, приложими във всяка от страните. Тази информация влиза в обхвата на задължението за опазване на служебна тайна и се ползва от защитата, на която подлежи подобна информация съгласно съответните законови и подзаконови разпоредби на страната, която я е получила.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Лични данни могат да се обменят само когато страната, която ги е получила, се ангажира да осигури на тези данни защита, която другата страна смята за адекватна.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Използването на информация, получена съгласно настоящия протокол, при съдебни производства или административни процедури, образувани вследствие на нарушения на митническото законодателство, се счита за използване за целите на настоящия протокол. Поради това в своите протоколи с представени доказателства, доклади и свидетелски показания, и в рамките на производства и обвинения, повдигнати пред съдилищата, страните могат да използват като доказателство получената информация и проучените документи в съответствие с разпоредбите на настоящия протокол. Запитаният орган може да постави като условие за предоставянето на информация или на достъп до документи това да бъде уведомяван за това използване.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Получената информация се използва единствено за целите на настоящия протокол. Когато една от страните желае да използва тази информация за други цели, тя трябва да получи предварителното писмено съгласие на органа, който я е предоставил. В такъв случай това използване подлежи на всички ограничения, установени от този орган.</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11</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Вещи лица и свидетели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Служител на другата страна може да бъде упълномощен от запитания орган да се яви, в рамките на границите на предоставените му пълномощия, като вещо лице или свидетел по съдебни производства или административни процедури по въпросите от обхвата на настоящия протокол и да представи вещи, документи или заверени копия от тях, които могат да се окажат необходими при съответните производства или процедури. В искането за явяване трябва конкретно да бъде посочено пред кой съдебен или административен орган трябва да се яви служителят и по какви въпроси и въз основа на каква заемана длъжност или квалификация той ще бъде разпитван.</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12</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Разходи във връзка с помощта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Страните се отказват от всякакви взаимни претенции за възстановяване на разходите по прилагането на настоящия протокол, с изключение на разходите за вещи лица и свидетели, когато е целесъобразно, както и на разходите за устни и писмени преводачи, които не са държавни служители.</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13</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Прилагане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Прилагането на настоящия протокол се възлага, от една страна, на митническите органи на Република Армения, а от друга страна — на компетентните служби на Европейската комисия и, когато е целесъобразно, на митническите органи на държавите членки. Те вземат решение относно всички практически мерки и разпоредби, необходими за неговото прилагане, като вземат предвид действащите законови и подзаконови разпоредби, и по-специално тези за защитата на лични данни.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Страните провеждат консултации помежду си и впоследствие се информират взаимно относно мерките за прилагане, които те приемат в съответствие с разпоредбите на настоящия протокол.</w:t>
      </w:r>
    </w:p>
    <w:p>
      <w:pPr>
        <w:spacing w:after="0" w:line="360" w:lineRule="auto"/>
        <w:rPr>
          <w:rFonts w:asciiTheme="majorBidi" w:hAnsiTheme="majorBidi" w:cstheme="majorBidi"/>
          <w:noProof/>
          <w:sz w:val="24"/>
          <w:szCs w:val="24"/>
        </w:rPr>
      </w:pPr>
      <w:r>
        <w:rPr>
          <w:noProof/>
        </w:rPr>
        <w:br w:type="page"/>
      </w:r>
      <w:r>
        <w:rPr>
          <w:rFonts w:asciiTheme="majorBidi" w:hAnsiTheme="majorBidi" w:cstheme="majorBidi"/>
          <w:noProof/>
          <w:sz w:val="24"/>
        </w:rPr>
        <w:t>3.</w:t>
      </w:r>
      <w:r>
        <w:rPr>
          <w:noProof/>
        </w:rPr>
        <w:tab/>
      </w:r>
      <w:r>
        <w:rPr>
          <w:rFonts w:asciiTheme="majorBidi" w:hAnsiTheme="majorBidi" w:cstheme="majorBidi"/>
          <w:noProof/>
          <w:sz w:val="24"/>
        </w:rPr>
        <w:t>В Европейския съюз разпоредбите на настоящия протокол не засягат обмена между компетентните служби на Европейската комисия и митническите органи на държавите членки на всякаква информация, получена съгласно настоящия протокол. В Република Армения разпоредбите на настоящия протокол не засягат обмена между митническите органи на Армения на всякаква информация, получена съгласно настоящия протокол.</w:t>
      </w:r>
    </w:p>
    <w:p>
      <w:pPr>
        <w:spacing w:after="0" w:line="360" w:lineRule="auto"/>
        <w:rPr>
          <w:rFonts w:asciiTheme="majorBidi" w:hAnsiTheme="majorBidi" w:cstheme="majorBidi"/>
          <w:noProof/>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14</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Други споразумения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Разпоредбите на настоящия протокол имат предимство пред разпоредбите на всички двустранни споразумения за взаимопомощ, които са сключени или могат да бъдат сключени между отделни държави членки и Република Армения, в случай че разпоредбите на тези споразумения се окажат несъвместими с разпоредбите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15</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Консултации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По отношение на тълкуването и прилагането на настоящия протокол страните провеждат консултации помежду си за разрешаване на въпроса в рамките на Митническия подкомитет, създаден с член 126 от настоящото споразумение.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noProof/>
          <w:snapToGrid w:val="0"/>
          <w:sz w:val="24"/>
          <w:lang w:val="it-IT"/>
        </w:rPr>
      </w:pPr>
      <w:r>
        <w:rPr>
          <w:rFonts w:asciiTheme="majorBidi" w:hAnsiTheme="majorBidi" w:cstheme="majorBidi"/>
          <w:noProof/>
          <w:snapToGrid w:val="0"/>
          <w:sz w:val="24"/>
        </w:rPr>
        <w:t>________________</w:t>
      </w: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p>
      <w:pPr>
        <w:spacing w:after="0" w:line="360" w:lineRule="auto"/>
        <w:jc w:val="center"/>
        <w:rPr>
          <w:rFonts w:ascii="Times New Roman" w:hAnsi="Times New Roman"/>
          <w:noProof/>
          <w:sz w:val="24"/>
          <w:lang w:val="it-IT"/>
        </w:rPr>
      </w:pP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AM/EU/P/FIN/bg </w:t>
    </w:r>
    <w:sdt>
      <w:sdtPr>
        <w:id w:val="-1492634410"/>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AM/EU/P/MAA/bg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XI/bg </w:t>
    </w:r>
    <w:sdt>
      <w:sdtPr>
        <w:id w:val="406967380"/>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XII/bg </w:t>
    </w:r>
    <w:sdt>
      <w:sdtPr>
        <w:id w:val="162291148"/>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6"/>
    <w:docVar w:name="LW_ANNEX_NBR_LAST" w:val="6"/>
    <w:docVar w:name="LW_CONFIDENCE" w:val=" "/>
    <w:docVar w:name="LW_CONST_RESTREINT_UE" w:val="RESTREINT UE"/>
    <w:docVar w:name="LW_CORRIGENDUM" w:val="&lt;UNUSED&gt;"/>
    <w:docVar w:name="LW_COVERPAGE_GUID" w:val="3159469A75FF4339BD9A119A3AF247B7"/>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3354</Words>
  <Characters>19289</Characters>
  <Application>Microsoft Office Word</Application>
  <DocSecurity>0</DocSecurity>
  <Lines>551</Lines>
  <Paragraphs>179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18</cp:revision>
  <dcterms:created xsi:type="dcterms:W3CDTF">2017-08-10T15:24:00Z</dcterms:created>
  <dcterms:modified xsi:type="dcterms:W3CDTF">2017-09-18T14:24:00Z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