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9BDEA29242E44B21A8E5AAB2C068CEE5" style="width:451.05pt;height:406.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360" w:lineRule="auto"/>
        <w:jc w:val="center"/>
        <w:rPr>
          <w:rFonts w:ascii="Times New Roman" w:hAnsi="Times New Roman"/>
          <w:noProof/>
          <w:sz w:val="24"/>
        </w:rPr>
      </w:pPr>
      <w:bookmarkStart w:id="1" w:name="_GoBack"/>
      <w:bookmarkEnd w:id="1"/>
      <w:r>
        <w:rPr>
          <w:rFonts w:ascii="Times New Roman" w:hAnsi="Times New Roman"/>
          <w:noProof/>
          <w:sz w:val="24"/>
        </w:rPr>
        <w:lastRenderedPageBreak/>
        <w:t xml:space="preserve">ANNEXES ET PROTOCOLES </w:t>
      </w:r>
      <w:r>
        <w:rPr>
          <w:rFonts w:ascii="Times New Roman" w:hAnsi="Times New Roman"/>
          <w:noProof/>
          <w:sz w:val="24"/>
        </w:rPr>
        <w:br/>
        <w:t>DE L’ACCORD DE PARTENARIAT GLOBAL ET RENFORCÉ</w:t>
      </w:r>
      <w:r>
        <w:rPr>
          <w:rFonts w:ascii="Times New Roman" w:hAnsi="Times New Roman"/>
          <w:noProof/>
          <w:sz w:val="24"/>
        </w:rPr>
        <w:br/>
        <w:t>ENTRE L’UE ET L’ARMÉNIE</w:t>
      </w:r>
    </w:p>
    <w:p>
      <w:pPr>
        <w:rPr>
          <w:rFonts w:ascii="Times New Roman" w:hAnsi="Times New Roman"/>
          <w:noProof/>
          <w:sz w:val="24"/>
        </w:rPr>
        <w:sectPr>
          <w:headerReference w:type="even" r:id="rId16"/>
          <w:headerReference w:type="default" r:id="rId17"/>
          <w:footerReference w:type="even" r:id="rId18"/>
          <w:footerReference w:type="default" r:id="rId19"/>
          <w:headerReference w:type="first" r:id="rId20"/>
          <w:footerReference w:type="first" r:id="rId21"/>
          <w:pgSz w:w="11909" w:h="16834" w:code="9"/>
          <w:pgMar w:top="1134" w:right="1134" w:bottom="1134" w:left="1134" w:header="1134" w:footer="1134" w:gutter="0"/>
          <w:cols w:space="720"/>
          <w:vAlign w:val="center"/>
          <w:noEndnote/>
          <w:docGrid w:linePitch="36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I</w:t>
      </w:r>
    </w:p>
    <w:p>
      <w:pPr>
        <w:spacing w:after="0" w:line="360" w:lineRule="auto"/>
        <w:jc w:val="center"/>
        <w:rPr>
          <w:rFonts w:ascii="Times New Roman" w:hAnsi="Times New Roman"/>
          <w:noProof/>
          <w:sz w:val="24"/>
          <w:highlight w:val="red"/>
        </w:rPr>
      </w:pPr>
    </w:p>
    <w:p>
      <w:pPr>
        <w:spacing w:after="0" w:line="360" w:lineRule="auto"/>
        <w:jc w:val="center"/>
        <w:rPr>
          <w:rFonts w:ascii="Times New Roman" w:hAnsi="Times New Roman"/>
          <w:noProof/>
          <w:sz w:val="24"/>
          <w:highlight w:val="red"/>
        </w:rPr>
      </w:pPr>
    </w:p>
    <w:p>
      <w:pPr>
        <w:spacing w:after="0" w:line="360" w:lineRule="auto"/>
        <w:jc w:val="center"/>
        <w:rPr>
          <w:rFonts w:ascii="Times New Roman" w:hAnsi="Times New Roman"/>
          <w:noProof/>
          <w:sz w:val="24"/>
        </w:rPr>
      </w:pPr>
      <w:r>
        <w:rPr>
          <w:rFonts w:ascii="Times New Roman" w:hAnsi="Times New Roman"/>
          <w:noProof/>
          <w:sz w:val="24"/>
        </w:rPr>
        <w:t>relative au CHAPITRE 1 «TRANSPORTS» 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et des instruments internationaux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Transports routiers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Conditions techniques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92/6/CEE du Conseil du 10 février 1992 relative à l’installation et à l’utilisation, dans la Communauté, de limiteurs de vitesse sur certaines catégories de véhicules à moteur</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92/6/CEE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96/53/CE du Conseil du 25 juillet 1996 fixant, pour certains véhicules routiers circulant dans la Communauté, les dimensions maximales autorisées en trafic national et international et les poids maximaux autorisés en trafic international,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96/53/CE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(UE) 2015/719 du Parlement européen et du Conseil du 29 avril 2015 modifiant la directive 96/53/CE du Conseil fixant, pour certains véhicules routiers circulant dans la Communauté, les dimensions maximales autorisées en trafic national et international et les poids maximaux autorisés en trafic international</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Les modifications introduites par la directive (UE) 2015/719 sont applicables à partir du 7 mai 2017.</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(UE) 2015/719 doivent être mises en œuvre dans les trois ans qui suivent l’entrée en vigueur de l’accord.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2014/47/UE du Parlement européen et du Conseil du 3 avril 2014 relative au contrôle technique routier des véhicules utilitaires circulant dans l’Union, et abrogeant la directive 2000/30/CE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2014/47/UE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2009/40/CE du Parlement européen et du Conseil du 6 mai 2009 relative au contrôle technique des véhicules à moteur et de leurs remorques, telle que modifiée, applicable jusqu’au 19 mai 2018</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2009/40/CE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2014/45/UE du Parlement européen et du Conseil du 3 avril 2014 relative au contrôle technique périodique des véhicules à moteur et de leurs remorques, et abrogeant la directive 2009/40/CE, applicable à partir du 20 mai 2018</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2014/45/UE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2000/30/CE du Parlement européen et du Conseil du 6 juin 2000 relative au contrôle technique routier des véhicules utilitaires circulant dans la Communauté, telle que modifiée, applicable jusqu’au 19 mai 2018</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2000/30/CE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Conditions de sécurité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2006/126/CE du Parlement européen et du Conseil du 20 décembre 2006 relative au permis de conduire. 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2" w:name="bookmark9"/>
      <w:r>
        <w:rPr>
          <w:rFonts w:ascii="Arial Narrow" w:hAnsi="Arial Narrow"/>
          <w:noProof/>
          <w:sz w:val="24"/>
        </w:rPr>
        <w:t>–</w:t>
      </w:r>
      <w:r>
        <w:rPr>
          <w:noProof/>
        </w:rPr>
        <w:tab/>
      </w:r>
      <w:r>
        <w:rPr>
          <w:rFonts w:ascii="Times New Roman" w:hAnsi="Times New Roman"/>
          <w:noProof/>
          <w:sz w:val="24"/>
        </w:rPr>
        <w:t>introduction des catégories de permis de conduire (article 4)</w:t>
      </w:r>
      <w:bookmarkEnd w:id="2"/>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Arial Narrow" w:hAnsi="Arial Narrow"/>
          <w:noProof/>
          <w:sz w:val="24"/>
        </w:rPr>
        <w:t>–</w:t>
      </w:r>
      <w:r>
        <w:rPr>
          <w:noProof/>
        </w:rPr>
        <w:tab/>
      </w:r>
      <w:r>
        <w:rPr>
          <w:rFonts w:ascii="Times New Roman" w:hAnsi="Times New Roman"/>
          <w:noProof/>
          <w:sz w:val="24"/>
        </w:rPr>
        <w:t>conditions de délivrance des permis de conduire (articles 4, 5, 6 et 7 et annexe III)</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Arial Narrow" w:hAnsi="Arial Narrow"/>
          <w:noProof/>
          <w:sz w:val="24"/>
        </w:rPr>
        <w:t>–</w:t>
      </w:r>
      <w:r>
        <w:rPr>
          <w:noProof/>
        </w:rPr>
        <w:tab/>
      </w:r>
      <w:r>
        <w:rPr>
          <w:rFonts w:ascii="Times New Roman" w:hAnsi="Times New Roman"/>
          <w:noProof/>
          <w:sz w:val="24"/>
        </w:rPr>
        <w:t>exigences pour les examens de conduite (annexe II)</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2006/126/CE doivent être mises en œuvre dans l’année qui suit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95/50/CE du Conseil, du 6 octobre 1995, concernant des procédures uniformes en matière de contrôle des transports de marchandises dangereuses par route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2008/68/CE du Parlement européen et du Conseil du 24 septembre 2008 relative au transport intérieur des marchandises dangereuses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2010/35/UE du Parlement européen et du Conseil du 16 juin 2010 relative aux équipements sous pression transportables et abrogeant les directives du Conseil 76/767/CEE, 84/525/CEE, 84/526/CEE, 84/527/CEE et 1999/36/CE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des directives 2008/68/CE, 95/50/CE et 2010/35/UE doivent être mises en œuvre dans les quatre ans qui suivent l’entrée en vigueur du présent accord (huit ans pour ce qui est des transports ferroviaires).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Conditions sociales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(CEE) nº 3821/85 du Conseil du 20 décembre 1985 concernant l’appareil de contrôle dans le domaine des transports par route, tel que modifié, applicable jusqu’à l’entrée en application de l’article 46 du règlement (UE) nº 165/2014 du Parlement européen et du Conseil du 4 février 2014 relatif aux tachygraphes dans les transports routiers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(CEE) nº 3821/85 ne concernent que les transports internationaux et doivent être mises en œuvre dans les deux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Règlement (CE) nº 561/2006 du Parlement européen et du Conseil du 15 mars 2006 relatif à l’harmonisation de certaines dispositions de la législation sociale dans le domaine des transports par route, modifiant les règlements (CEE) nº 3821/85 et (CE) nº 2135/98 du Conseil et abrogeant le règlement (CEE) nº 3820/85 du Conseil,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561/2006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165/2014 du Parlement Européen et du Conseil du 4 février 2014 relatif aux tachygraphes dans les transports routiers, abrogeant le règlement (CEE) nº 3821/85 du Conseil concernant l’appareil de contrôle dans le domaine des transports par route et modifiant le règlement (CE) nº 561/2006 du Parlement européen et du Conseil relatif à l’harmonisation de certaines dispositions de la législation sociale dans le domaine des transports par route, applicable, en ce qui concerne le règlement (CEE) nº 3821/85 du 20 décembre 1985, à partir de la date d’entrée en application des actes d’exécution visés à l’article 46 du règlement (UE) nº 165/2014</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165/2014 relatives aux transports internationaux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2006/22/CE du Parlement européen et du Conseil du 15 mars 2006 établissant les conditions minimales à respecter pour la mise en œuvre des règlements du Conseil (CEE) nº 3820/85 et (CEE) nº 3821/85 concernant la législation sociale relative aux activités de transport routier et abrogeant la directive 88/599/CEE du Conseil</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2006/22/CE doivent être mises en œuvre dans les deux ans qui suivent l’entrée en vigueur du présent accord pour ce qui concerne les transports internationaux.</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1071/2009 du Parlement européen et du Conseil du 21 octobre 2009 établissant des règles communes sur les conditions à respecter pour exercer la profession de transporteur par route, et abrogeant la directive 96/26/CE du Conseil,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1071/2009 – articles 3, 4, 5, 6, 7 (exception faite de la valeur monétaire de la capacité financière), 8, 10, 11, 12, 13, 14 et 15 et annexe I –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2002/15/CE du Parlement européen et du Conseil du 11 mars 2002 relative à l’aménagement du temps de travail des personnes exécutant des activités mobiles de transport routier</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2002/15/CE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2003/59/CE du Parlement européen et du Conseil du 15 juillet 2003 relative à la qualification initiale et à la formation continue des conducteurs de certains véhicules routiers affectés aux transports de marchandises ou de voyageurs, modifiant le règlement (CEE) nº 3820/85 du Conseil ainsi que la directive 91/439/CEE du Conseil et abrogeant la directive 76/914/CEE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2003/59/CE doivent être mises en œuvre dans les deux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Conditions fiscales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3" w:name="bookmark10"/>
      <w:r>
        <w:rPr>
          <w:rFonts w:ascii="Times New Roman" w:hAnsi="Times New Roman"/>
          <w:noProof/>
          <w:sz w:val="24"/>
        </w:rPr>
        <w:t>Directive 1999/62/CE du Parlement européen et du Conseil, du 17 juin 1999, relative à la taxation des poids lourds pour l’utilisation de certaines infrastructures</w:t>
      </w:r>
      <w:bookmarkEnd w:id="3"/>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2004/52/CE du Parlement européen et du Conseil du 29 avril 2004 concernant l’interopérabilité des systèmes de télépéage routier dans la Communauté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2004/54/CE du Parlement européen et du Conseil du 29 avril 2004 concernant les exigences de sécurité minimales applicables aux tunnels du réseau routier transeuropéen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2008/96/CE du Parlement européen et du Conseil du 19 novembre 2008 concernant la gestion de la sécurité des infrastructures routières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des directives 1999/62/CE, 2004/52/CE, 2004/54/CE et 2008/96/CE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Transports ferroviaires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Accès au marché et à l’infrastructure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4" w:name="bookmark11"/>
      <w:r>
        <w:rPr>
          <w:rFonts w:ascii="Times New Roman" w:hAnsi="Times New Roman"/>
          <w:noProof/>
          <w:sz w:val="24"/>
        </w:rPr>
        <w:t>Directive 2012/34/UE du Parlement européen et du Conseil du 21 novembre 2012 établissant un espace ferroviaire unique européen</w:t>
      </w:r>
      <w:bookmarkEnd w:id="4"/>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introduction de l’indépendance de gestion et assainissement de la situation financière</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5" w:name="bookmark12"/>
      <w:r>
        <w:rPr>
          <w:rFonts w:ascii="Times New Roman" w:hAnsi="Times New Roman"/>
          <w:noProof/>
          <w:sz w:val="24"/>
        </w:rPr>
        <w:t>–</w:t>
      </w:r>
      <w:r>
        <w:rPr>
          <w:noProof/>
        </w:rPr>
        <w:tab/>
      </w:r>
      <w:r>
        <w:rPr>
          <w:rFonts w:ascii="Times New Roman" w:hAnsi="Times New Roman"/>
          <w:noProof/>
          <w:sz w:val="24"/>
        </w:rPr>
        <w:t>séparation entre la gestion de l’infrastructure et l’activité de transport</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introduction de licences</w:t>
      </w:r>
      <w:bookmarkEnd w:id="5"/>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2012/34/UE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913/2010 du Parlement européen et du Conseil du 22 septembre 2010 relatif au réseau ferroviaire européen pour un fret compétitif,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 conseil de partenariat décidera du calendrier de mise en œuvre des dispositions du règlement (UE) nº 913/2010 dans un délai de deux ans à compter de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Conditions techniques et conditions de sécurité, interopérabilité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2004/49/CE du Parlement européen et du Conseil du 29 avril 2004 concernant la sécurité des chemins de fer communautaires et modifiant la directive 95/18/CE du Conseil concernant les licences des entreprises ferroviaires, ainsi que la directive 2001/14/CE concernant la répartition des capacités d’infrastructure ferroviaire, la tarification de l’infrastructure ferroviaire et la certification en matière de sécurité (directive sur la sécurité ferroviaire)</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2004/49/CE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2007/59/CE du Parlement européen et du Conseil du 23 octobre 2007 relative à la certification des conducteurs de train assurant la conduite de locomotives et de trains sur le système ferroviaire dans la Communauté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2007/59/CE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2008/57/CE du Parlement européen et du Conseil du 17 juin 2008 relative à l’interopérabilité du système ferroviaire au sein de la Communauté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2008/57/CE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1370/2007 du Parlement européen et du Conseil du 23 octobre 2007 relatif aux services publics de transport de voyageurs par chemin de fer et par route, et abrogeant les règlements (CEE) nº 1191/69 et (CEE) nº 1107/70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1370/2007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1371/2007 du Parlement européen et du Conseil du 23 octobre 2007 sur les droits et obligations des voyageurs ferroviaires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1371/2007 doivent être mises en œuvre dans les deux ans qui suivent l’entrée en vigueur du présent accord.</w:t>
      </w:r>
    </w:p>
    <w:p>
      <w:pPr>
        <w:spacing w:after="0" w:line="360" w:lineRule="auto"/>
        <w:rPr>
          <w:rFonts w:ascii="Times New Roman" w:hAnsi="Times New Roman"/>
          <w:noProof/>
          <w:sz w:val="24"/>
          <w:highlight w:val="yellow"/>
        </w:rPr>
      </w:pPr>
    </w:p>
    <w:p>
      <w:pPr>
        <w:spacing w:after="0" w:line="360" w:lineRule="auto"/>
        <w:rPr>
          <w:rFonts w:ascii="Times New Roman" w:hAnsi="Times New Roman"/>
          <w:noProof/>
          <w:sz w:val="24"/>
        </w:rPr>
      </w:pPr>
      <w:r>
        <w:rPr>
          <w:rFonts w:ascii="Times New Roman" w:hAnsi="Times New Roman"/>
          <w:noProof/>
          <w:sz w:val="24"/>
        </w:rPr>
        <w:t>Transports combinés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lastRenderedPageBreak/>
        <w:t>Directive 92/106/CEE du Conseil, du 7 décembre 1992, relative à l’établissement de règles communes pour certains transports combinés de marchandises entre États membres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Calendrier: les dispositions de la directive 92/106/CEE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Transports aériens</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Conclure et mettre en œuvre un accord global relatif à un espace aérien commun.</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Sans préjudice de la conclusion d’un accord relatif à un espace aérien commun, assurer la mise en œuvre et le développement coordonné des accords bilatéraux sur les services aériens entre la République d’Arménie et les États membres de l’UE, tels que modifiés par l’«accord horizontal».</w:t>
      </w:r>
    </w:p>
    <w:p>
      <w:pPr>
        <w:spacing w:after="0" w:line="360" w:lineRule="auto"/>
        <w:rPr>
          <w:rFonts w:ascii="Times New Roman" w:hAnsi="Times New Roman"/>
          <w:noProof/>
          <w:sz w:val="24"/>
        </w:rPr>
      </w:pPr>
    </w:p>
    <w:p>
      <w:pPr>
        <w:rPr>
          <w:rFonts w:ascii="Times New Roman" w:hAnsi="Times New Roman"/>
          <w:noProof/>
          <w:sz w:val="24"/>
        </w:rPr>
      </w:pPr>
      <w:r>
        <w:rPr>
          <w:rFonts w:ascii="Times New Roman" w:hAnsi="Times New Roman"/>
          <w:noProof/>
          <w:sz w:val="24"/>
        </w:rPr>
        <w:t>Transports maritimes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Sécurité maritime – État du pavillon/sociétés de classification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6" w:name="bookmark18"/>
      <w:r>
        <w:rPr>
          <w:rFonts w:ascii="Times New Roman" w:hAnsi="Times New Roman"/>
          <w:noProof/>
          <w:sz w:val="24"/>
        </w:rPr>
        <w:t>Directive 2009/15/CE du Parlement européen et du Conseil du 23 avril 2009 établissant des règles et normes communes concernant les organismes habilités à effectuer l’inspection et la visite des navires et les activités pertinentes des administrations maritimes</w:t>
      </w:r>
      <w:bookmarkEnd w:id="6"/>
      <w:r>
        <w:rPr>
          <w:rFonts w:ascii="Times New Roman" w:hAnsi="Times New Roman"/>
          <w:noProof/>
          <w:sz w:val="24"/>
        </w:rPr>
        <w:t>,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7" w:name="bookmark19"/>
      <w:r>
        <w:rPr>
          <w:rFonts w:ascii="Times New Roman" w:hAnsi="Times New Roman"/>
          <w:noProof/>
          <w:sz w:val="24"/>
        </w:rPr>
        <w:t>Calendrier: les dispositions de la directive 2009/15/CE doivent être mises en œuvre dans les cinq ans qui suivent l’entrée en vigueur du présent accord</w:t>
      </w:r>
      <w:bookmarkEnd w:id="7"/>
      <w:r>
        <w:rPr>
          <w:rFonts w:ascii="Times New Roman" w:hAnsi="Times New Roman"/>
          <w:noProof/>
          <w:sz w:val="24"/>
        </w:rPr>
        <w: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391/2009 du Parlement européen et du Conseil du 23 avril 2009 établissant des règles et normes communes concernant les organismes habilités à effectuer l’inspection et la visite des navires,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391/2009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lastRenderedPageBreak/>
        <w:t>Directive 2013/54/UE du Parlement européen et du Conseil du 20 novembre 2013 relative à certaines responsabilités de l’État du pavillon en ce qui concerne le respect et la mise en application de la convention du travail maritime, 2006</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2013/54/UE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788/2014 de la Commission du 18 juillet 2014 établissant les modalités d’imposition d’amendes et d’astreintes et les modalités de retrait de l’agrément des organismes habilités à effectuer l’inspection et la visite des navires en application des articles 6 et 7 du règlement (CE) nº 391/2009 du Parlement européen et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788/2014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789/2004 du Parlement européen et du Conseil du 21 avril 2004 relatif au changement de registre des navires de charge et navires à passagers à l’intérieur de la Communauté et abrogeant le règlement (CEE) nº 613/91 du Conseil,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789/2004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État du pavillon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2009/21/CE du Parlement européen et du Conseil du 23 avril 2009 concernant le respect des obligations des États du pavillon</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2009/21/CE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État du port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2009/16/CE du Parlement européen et du Conseil du 23 avril 2009 relative au contrôle par l’État du port,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2009/16/CE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428/2010 de la Commission du 20 mai 2010 portant application de l’article 14 de la directive 2009/16/CE du Parlement européen et du Conseil en ce qui concerne les inspections renforcées de navires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428/2010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801/2010 de la Commission du 13 septembre 2010 portant modalités d’application de l’article 10, paragraphe 3, de la directive 2009/16/CE du Parlement européen et du Conseil en ce qui concerne les critères relatifs à l’État du pavillon en matière de contrôle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801/2010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802/2010 de la Commission du 13 septembre 2010 portant application de l’article 10, paragraphe 3, et de l’article 27 de la directive 2009/16/CE du Parlement européen et du Conseil en ce qui concerne le respect des normes par les compagnies, tel que modifié</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(UE) nº 802/2010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96/40/CE de la Commission du 25 juin 1996 instituant un modèle commun de carte d’identité pour les inspecteurs agissant dans le cadre du contrôle par l’État du port</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96/40/CE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Enquêtes sur les accidents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2009/18/CE du Parlement européen et du Conseil du 23 avril 2009 établissant les principes fondamentaux régissant les enquêtes sur les accidents dans le secteur des transports maritimes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2009/18/CE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d’exécution (UE) nº 651/2011 de la Commission du 5 juillet 2011 portant adoption des règles de fonctionnement du cadre de coopération permanente établi par les États membres en collaboration avec la Commission conformément à l’article 10 de la directive 2009/18/CE du Parlement européen et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651/2011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Règlement (UE) nº 1286/2011 de la Commission du 9 décembre 2011 portant adoption d’une méthodologie commune pour enquêter sur les accidents et incidents de mer conformément à l’article 5, paragraphe 4, de la directive 2009/18/CE du Parlement européen et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1286/2011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Responsabilité et assurance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392/2009 du Parlement européen et du Conseil du 23 avril 2009 relatif à la responsabilité des transporteurs de passagers par mer en cas d’accident</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392/2009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2009/20/CE du Parlement européen et du Conseil du 23 avril 2009 relative à l’assurance des propriétaires de navires pour les créances maritimes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2009/20/CE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336/2006 du Parlement européen et du Conseil du 15 février 2006 relatif à l’application du code international de gestion de la sécurité dans la Communauté, tel que modifié</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(CE) nº 336/2006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Navires à passagers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2009/45/CE du Parlement européen et du Conseil du 6 mai 2009 établissant des règles et normes de sécurité pour les navires à passagers,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2009/45/CE doivent être mises en œuvre dans les cinq ans qui suivent l’entrée en vigueur du présent accord.</w:t>
      </w:r>
    </w:p>
    <w:p>
      <w:pPr>
        <w:spacing w:after="0" w:line="360" w:lineRule="auto"/>
        <w:rPr>
          <w:rFonts w:ascii="Times New Roman" w:hAnsi="Times New Roman"/>
          <w:noProof/>
          <w:sz w:val="24"/>
        </w:rPr>
      </w:pPr>
      <w:bookmarkStart w:id="8" w:name="bookmark20"/>
    </w:p>
    <w:p>
      <w:pPr>
        <w:spacing w:after="0" w:line="360" w:lineRule="auto"/>
        <w:rPr>
          <w:rFonts w:ascii="Times New Roman" w:hAnsi="Times New Roman"/>
          <w:noProof/>
          <w:sz w:val="24"/>
        </w:rPr>
      </w:pPr>
      <w:r>
        <w:rPr>
          <w:rFonts w:ascii="Times New Roman" w:hAnsi="Times New Roman"/>
          <w:noProof/>
          <w:sz w:val="24"/>
        </w:rPr>
        <w:t>Directive 2003/25/CE du Parlement européen et du Conseil du 14 avril 2003 relative aux prescriptions spécifiques de stabilité applicables aux navires rouliers à passagers</w:t>
      </w:r>
      <w:bookmarkEnd w:id="8"/>
      <w:r>
        <w:rPr>
          <w:rFonts w:ascii="Times New Roman" w:hAnsi="Times New Roman"/>
          <w:noProof/>
          <w:sz w:val="24"/>
        </w:rPr>
        <w:t>,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2003/25/CE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1999/35/CE du Conseil du 29 avril 1999 relative à un système de visites obligatoires pour l’exploitation en toute sécurité de services réguliers de transbordeurs rouliers et d’engins à passagers à grande vitesse,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1999/35/CE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98/41/CE du Conseil du 18 juin 1998 relative à l’enregistrement des personnes voyageant à bord de navires à passagers opérant à destination ou au départ de ports d’États membres de la Communauté</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98/41/CE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Suivi du trafic des navires et formalités déclaratives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2002/59/CE du Parlement européen et du Conseil du 27 juin 2002 relative à la mise en place d’un système communautaire de suivi du trafic des navires et d’information, et abrogeant la directive 93/75/CEE du Conseil,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2002/59/CE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2010/65/UE du Parlement européen et du Conseil du 20 octobre 2010 concernant les formalités déclaratives applicables aux navires à l’entrée et/ou à la sortie des ports des États membres et abrogeant la directive 2002/6/CE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2010/65/UE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Exigences techniques de sécurité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530/2012 du Parlement européen et du Conseil du 13 juin 2012 relatif à l’introduction accélérée des prescriptions en matière de double coque ou de normes de conception équivalentes pour les pétroliers à simple coque</w:t>
      </w:r>
    </w:p>
    <w:p>
      <w:pPr>
        <w:spacing w:after="0" w:line="360" w:lineRule="auto"/>
        <w:rPr>
          <w:rFonts w:ascii="Times New Roman" w:hAnsi="Times New Roman"/>
          <w:noProof/>
          <w:sz w:val="24"/>
          <w:highlight w:val="yellow"/>
        </w:rPr>
      </w:pPr>
      <w:bookmarkStart w:id="9" w:name="bookmark21"/>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Le calendrier de mise hors service des pétroliers à simple coque suivra le calendrier</w:t>
      </w:r>
      <w:bookmarkEnd w:id="9"/>
      <w:r>
        <w:rPr>
          <w:rFonts w:ascii="Times New Roman" w:hAnsi="Times New Roman"/>
          <w:noProof/>
          <w:sz w:val="24"/>
        </w:rPr>
        <w:t xml:space="preserve"> précisé dans la convention MARPOL.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2014/90/UE du Parlement européen et du Conseil du 23 juillet 2014 relative aux équipements marins et abrogeant la directive 96/98/CE du Conseil (à partir du 18 septembre 2016)</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2014/90/UE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2001/96/CE du Parlement européen et du Conseil du 4 décembre 2001 établissant des exigences et des procédures harmonisées pour le chargement et le déchargement sûrs des vraquiers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2001/96/CE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2978/94 du Conseil, du 21 novembre 1994, concernant la mise en œuvre de la résolution A.747(18) de l’Organisation maritime internationale relative au jaugeage des citernes à ballast à bord des pétroliers à ballast séparé,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2978/94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97/70/CE du Conseil du 11 décembre 1997 instituant un régime harmonisé pour la sécurité des navires de pêche de longueur égale ou supérieure à 24 mètres, telle que modifiée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97/70/CE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Équipage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2008/106/CE du Parlement européen et du Conseil du 19 novembre 2008 concernant le niveau minimal de formation des gens de mer,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2008/106/CE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2005/45/CE du Parlement européen et du Conseil du 7 septembre 2005 concernant la reconnaissance mutuelle des brevets des gens de mer délivrés par les États membres et modifiant la directive 2001/25/CE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2005/45/CE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79/115/CEE du Conseil, du 21 décembre 1978, relative au pilotage des navires par des pilotes hauturiers opérant dans la mer du Nord et dans la Manche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79/115/CEE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Environnement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782/2003 du Parlement européen et du Conseil du 14 avril 2003 interdisant les composés organostanniques sur les navires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782/2003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536/2008 de la Commission du 13 juin 2008 donnant effet à l’article 6, paragraphe 3, et à l’article 7 du règlement (CE) nº 782/2003 du Parlement européen et du Conseil interdisant les composés organostanniques sur les navires, et modifiant ce règlement</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536/2008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2000/59/CE du Parlement européen et du Conseil du 27 novembre 2000 sur les installations de réception portuaires pour les déchets d’exploitation des navires et les résidus de cargaison,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2000/59/CE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2005/35/CE du Parlement européen et du Conseil du 7 septembre 2005 relative à la pollution causée par les navires et à l’introduction de sanctions, notamment pénales, en cas d’infractions de pollution</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2005/35/CE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911/2014 du Parlement européen et du Conseil du 23 juillet 2014 concernant le financement pluriannuel de l’Agence européenne pour la sécurité maritime dans le domaine de la lutte contre la pollution marine causée par les navires et les installations pétrolières et gazières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911/2014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1999/32/CE du Conseil, du 26 avril 1999, concernant une réduction de la teneur en soufre de certains combustibles liquides et modifiant la directive 93/12/CEE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1999/32/CE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2015/757 du Parlement européen et du Conseil du 29 avril 2015 concernant la surveillance, la déclaration et la vérification des émissions de dioxyde de carbone du secteur du transport maritime et modifiant la directive 2009/16/CE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2015/757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Règlement (UE) nº 1257/2013 du Parlement européen et du Conseil du 20 novembre 2013 relatif au recyclage des navires et modifiant le règlement (CE) nº 1013/2006 et la directive 2009/16/CE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1257/2013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Agence européenne pour la sécurité maritime et comité pour la sécurité maritime et la prévention de la pollution par les navires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2016/1625 du Parlement européen et du Conseil du 14 septembre 2016 modifiant le règlement (CE) nº 1406/2002 instituant une Agence européenne pour la sécurité maritime,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2016/1625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2099/2002 du Parlement européen et du Conseil du 5 novembre 2002 instituant un comité pour la sécurité maritime et la prévention de la pollution par les navires (COSS) et modifiant les règlements en matière de sécurité maritime et de prévention de la pollution par les navires, tel que modifié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2099/2002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Conditions sociales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92/29/CEE du Conseil, du 31 mars 1992, concernant les prescriptions minimales de sécurité et de santé pour promouvoir une meilleure assistance médicale à bord des navires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92/29/CEE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1999/63/CE du Conseil, du 21 juin 1999, concernant l’accord relatif à l’organisation du temps de travail des gens de mer, conclu par l’Association des armateurs de la Communauté européenne (ECSA) et la Fédération des syndicats des transports dans l’Union européenne (FST) – Annexe: Accord européen relatif à l’organisation du temps de travail des gens de mer</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1999/63/CE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1999/95/CE du Parlement européen et du Conseil, du 13 décembre 1999, concernant l’application des dispositions relatives à la durée du travail des gens de mer à bord des navires faisant escale dans les ports de la Communauté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1999/95/CE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rPr>
          <w:rFonts w:ascii="Times New Roman" w:hAnsi="Times New Roman"/>
          <w:noProof/>
          <w:sz w:val="24"/>
        </w:rPr>
      </w:pPr>
    </w:p>
    <w:p>
      <w:pPr>
        <w:widowControl w:val="0"/>
        <w:spacing w:after="167" w:line="269" w:lineRule="exact"/>
        <w:ind w:left="240"/>
        <w:rPr>
          <w:rFonts w:ascii="Calibri" w:hAnsi="Calibri" w:cs="Calibri"/>
          <w:bCs/>
          <w:noProof/>
          <w:color w:val="000000"/>
          <w:sz w:val="24"/>
          <w:szCs w:val="24"/>
          <w:shd w:val="clear" w:color="auto" w:fill="FFFFFF"/>
        </w:rPr>
        <w:sectPr>
          <w:headerReference w:type="even" r:id="rId22"/>
          <w:headerReference w:type="default" r:id="rId23"/>
          <w:footerReference w:type="even" r:id="rId24"/>
          <w:footerReference w:type="default" r:id="rId25"/>
          <w:headerReference w:type="first" r:id="rId26"/>
          <w:footerReference w:type="first" r:id="rId27"/>
          <w:pgSz w:w="11909" w:h="16834" w:code="9"/>
          <w:pgMar w:top="1134" w:right="1134" w:bottom="1134" w:left="1134" w:header="1134" w:footer="1134" w:gutter="0"/>
          <w:pgNumType w:start="1"/>
          <w:cols w:space="720"/>
          <w:noEndnote/>
          <w:docGrid w:linePitch="36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II</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relative au CHAPITRE 2 «ÉNERGIE» 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Électricité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2009/72/CE du Parlement Européen et du Conseil du 13 juillet 2009 concernant des règles communes pour le marché intérieur de l’électricité et abrogeant la directive 2003/54/CE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2009/72/CE doivent être mises en œuvre dans les huit ans qui suivent l’entrée en vigueur du présent accord.</w:t>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Toutefois, pour ce qui est des articles 3, 6, 13, 15, 33 et 38, le conseil de partenariat fixera en temps utile un calendrier spécifique de mise en œuvre.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714/2009 du Parlement européen et du Conseil du 13 juillet 2009 sur les conditions d’accès au réseau pour les échanges transfrontaliers d’électricité et abrogeant le règlement (CE) nº 1228/2003</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Le conseil de partenariat fixera en temps utile un calendrier spécifique de mise en œuvre du règlement (CE) nº 714/2009.</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2005/89/CE du Parlement européen et du Conseil du 18 janvier 2006 concernant des mesures visant à garantir la sécurité de l’approvisionnement en électricité et les investissements dans les infrastructures</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2005/89/CE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Pétrole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2009/119/CE du Conseil du 14 septembre 2009 faisant obligation aux États membres de maintenir un niveau minimal de stocks de pétrole brut et/ou de produits pétroliers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2009/119/CE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Infrastructures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256/2014 du Parlement européen et du Conseil du 26 février 2014 concernant la communication à la Commission des projets d’investissement relatifs à des infrastructures énergétiques dans l’Union européenne, remplaçant le règlement (UE, Euratom) nº 617/2010 du Conseil et abrogeant le règlement (CE) nº 736/96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256/2014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d’exécution:</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d’exécution (UE) nº 1113/2014 de la Commission du 16 octobre 2014 établissant la forme et les caractéristiques techniques de la communication à la Commission des données et informations sur des projets d’investissement dans le domaine de l’énergie visée aux articles 3 et 5 du règlement (UE) nº 256/2014 du Parlement européen et du Conseil et abrogeant les règlements (CE) nº 2386/96 et (UE, Euratom) nº 833/2010 de la Commission</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d’exécution (UE) nº 1113/2014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Prospection et exploration en ce qui concerne les hydrocarbures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94/22/CE du Parlement européen et du Conseil du 30 mai 1994 sur les conditions d’octroi et d’exercice des autorisations de prospecter, d’exploiter et d’extraire des hydrocarbures</w:t>
      </w:r>
      <w:r>
        <w:rPr>
          <w:rFonts w:ascii="Times New Roman" w:hAnsi="Times New Roman"/>
          <w:b/>
          <w:noProof/>
          <w:sz w:val="24"/>
          <w:vertAlign w:val="superscript"/>
        </w:rPr>
        <w:footnoteReference w:id="1"/>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94/22/CE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Efficacité énergétique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2012/27/UE du Parlement européen et du Conseil du 25 octobre 2012 relative à l’efficacité énergétique, modifiant les directives 2009/125/CE et 2010/30/UE et abrogeant les directives 2004/8/CE et 2006/32/CE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2012/27/UE doivent être mises en œuvre dans les quatre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Règlement d’exécution:</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2015/2402 de la Commission du 12 octobre 2015 révisant les valeurs harmonisées de rendement de référence pour la production séparée d’électricité et de chaleur en application de la directive 2012/27/UE du Parlement européen et du Conseil et abrogeant la décision d’exécution 2011/877/UE de la Commission</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2015/2402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2010/31/UE du Parlement européen et du Conseil du 19 mai 2010 sur la performance énergétique des bâtiments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2010/31/UE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d’exécution:</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244/2012 de la Commission du 16 janvier 2012 complétant la directive 2010/31/UE du Parlement européen et du Conseil sur la performance énergétique des bâtiments en établissant un cadre méthodologique comparatif de calcul des niveaux optimaux en fonction des coûts des exigences minimales en matière de performance énergétique des bâtiments et éléments de bâtiment</w:t>
      </w:r>
    </w:p>
    <w:p>
      <w:pPr>
        <w:spacing w:after="0" w:line="360" w:lineRule="auto"/>
        <w:ind w:left="567" w:hanging="567"/>
        <w:rPr>
          <w:rFonts w:ascii="Times New Roman" w:hAnsi="Times New Roman"/>
          <w:noProof/>
          <w:sz w:val="24"/>
          <w:highlight w:val="green"/>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Orientations accompagnant le règlement délégué (UE) nº 244/2012 de la Commission du 16 janvier 2012 complétant la directive 2010/31/UE du Parlement européen et du Conseil sur la performance énergétique des bâtiments en établissant un cadre méthodologique comparatif de calcul des niveaux optimaux en fonction des coûts des exigences minimales en matière de performance énergétique des bâtiments et éléments de bâtiment (2012/C 115/01)</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du règlement délégué (UE) nº 244/2012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2009/33/CE du Parlement européen et du Conseil du 23 avril 2009 relative à la promotion de véhicules de transport routier propres et économes en énergie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2009/33/CE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2009/125/CE du Parlement européen et du Conseil du 21 octobre 2009 établissant un cadre pour la fixation d’exigences en matière d’écoconception applicables aux produits liés à l’énergie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2009/125/CE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Directives/règlements d’exécution:</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1275/2008 de la Commission du 17 décembre 2008 portant application de la directive 2005/32/CE du Parlement européen et du Conseil en ce qui concerne les exigences d’écoconception relatives à la consommation d’électricité en mode veille et en mode arrêt des équipements ménagers et de bureau électriques et électroniques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107/2009 de la Commission du 4 février 2009 portant application de la directive 2005/32/CE du Parlement européen et du Conseil concernant les exigences relatives à l’écoconception des décodeurs numériques simples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244/2009 de la Commission du 18 mars 2009 mettant en œuvre la directive 2005/32/CE du Parlement européen et du Conseil en ce qui concerne les exigences relatives à l’écoconception des lampes à usage domestique non dirigées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278/2009 de la Commission du 6 avril 2009 portant application de la directive 2005/32/CE du Parlement européen et du Conseil en ce qui concerne les exigences d’écoconception relatives à la consommation d’électricité hors charge et au rendement moyen en mode actif des sources d’alimentation externes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640/2009 de la Commission du 22 juillet 2009 portant application de la directive 2005/32/CE du Parlement européen et du Conseil concernant les exigences relatives à l’écoconception des moteurs électriques</w:t>
      </w:r>
    </w:p>
    <w:p>
      <w:pPr>
        <w:spacing w:after="0" w:line="360" w:lineRule="auto"/>
        <w:ind w:left="567" w:hanging="567"/>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(CE) nº 641/2009 de la Commission du 22 juillet 2009 portant application de la directive 2005/32/CE du Parlement européen et du Conseil concernant les exigences d’écoconception applicables aux circulateurs sans presse-étoupe indépendants et aux circulateurs sans presse-étoupe intégrés dans des produits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327/2011 de la Commission du 30 mars 2011 portant application de la directive 2009/125/CE du Parlement européen et du Conseil établissant un cadre pour la fixation d’exigences en matière d’écoconception applicables aux ventilateurs entraînés par des moteurs d’une puissance électrique à l’entrée comprise entre 125 W et 500 kW</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des règlements (CE) nº 1275/2008, (CE) nº 107/2009, (CE) nº 244/2009, (CE) nº 278/2009, (CE) nº 640/2009, (CE) nº 641/2009 et (UE) nº 327/2011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643/2009 de la Commission du 22 juillet 2009 portant modalités d’application de la directive 2005/32/CE du Parlement européen et du Conseil en ce qui concerne les exigences d’écoconception applicables aux appareils de réfrigération ménagers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643/2009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642/2009 de la Commission du 22 juillet 2009 mettant en œuvre la directive 2005/32/CE du Parlement européen et du Conseil en ce qui concerne les exigences relatives à l’écoconception des téléviseurs</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(CE) nº 642/2009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1015/2010 de la Commission du 10 novembre 2010 portant application de la directive 2009/125/CE du Parlement européen et du Conseil en ce qui concerne les exigences d’écoconception applicables aux lave-linge ménagers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1015/2010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1016/2010 de la Commission du 10 novembre 2010 portant application de la directive 2009/125/CE du Parlement européen et du Conseil en ce qui concerne les exigences d’écoconception applicables aux lave-vaisselle ménagers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1016/2010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Directive 92/42/CEE du Conseil, du 21 mai 1992, concernant les exigences de rendement pour les nouvelles chaudières à eau chaude alimentées en combustibles liquides ou gazeux</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(CE) nº 245/2009 de la Commission du 18 mars 2009 mettant en œuvre la directive 2005/32/CE du Parlement européen et du Conseil en ce qui concerne les exigences en matière d’écoconception applicables aux lampes fluorescentes sans ballast intégré, aux lampes à décharge à haute intensité, ainsi qu’aux ballasts et aux luminaires qui peuvent faire fonctionner ces lampes, et abrogeant la directive 2000/55/CE du Parlement européen et du Conseil</w:t>
      </w:r>
    </w:p>
    <w:p>
      <w:pPr>
        <w:spacing w:after="0" w:line="360" w:lineRule="auto"/>
        <w:ind w:left="567" w:hanging="567"/>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(CE) nº 859/2009 de la Commission du 18 septembre 2009 modifiant le règlement (CE) nº 244/2009 en ce qui concerne les exigences d’écoconception applicables en matière de rayonnement ultraviolet des lampes à usage domestique non dirigées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347/2010 de la Commission du 21 avril 2010 modifiant le règlement (CE) nº 245/2009 en ce qui concerne les exigences en matière d’écoconception applicables aux lampes fluorescentes sans ballast intégré, aux lampes à décharge à haute intensité, ainsi qu’aux ballasts et aux luminaires qui peuvent faire fonctionner ces lampes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206/2012 de la Commission du 6 mars 2012 portant application de la directive 2009/125/CE du Parlement européen et du Conseil en ce qui concerne les exigences d’écoconception applicables aux climatiseurs et aux ventilateurs de confort</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547/2012 de la Commission du 25 juin 2012 portant application de la directive 2009/125/CE du Parlement européen et du Conseil en ce qui concerne les exigences d’écoconception applicables aux pompes à eau</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622/2012 de la Commission du 11 juillet 2012 modifiant le règlement (CE) nº 641/2009 concernant les exigences d’écoconception applicables aux circulateurs sans presse-étoupe indépendants et aux circulateurs sans presse-étoupe intégrés dans des produits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932/2012 de la Commission du 3 octobre 2012 portant exécution de la directive 2009/125/CE du Parlement européen et du Conseil en ce qui concerne les exigences d’écoconception applicables aux sèche-linge domestiques à tambour</w:t>
      </w:r>
    </w:p>
    <w:p>
      <w:pPr>
        <w:spacing w:after="0" w:line="360" w:lineRule="auto"/>
        <w:ind w:left="567" w:hanging="567"/>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(UE) nº 1194/2012 de la Commission du 12 décembre 2012 portant application de la directive 2009/125/CE du Parlement européen et du Conseil en ce qui concerne les exigences relatives à l’écoconception des lampes dirigées, des lampes à diodes électroluminescentes et des équipements correspondants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617/2013 de la Commission du 26 juin 2013 portant application de la directive 2009/125/CE du Parlement européen et du Conseil en ce qui concerne les exigences d’écoconception applicables aux ordinateurs et aux serveurs informatiques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666/2013 de la Commission du 8 juillet 2013 portant application de la directive 2009/125/CE du Parlement européen et du Conseil en ce qui concerne les exigences d’écoconception applicables aux aspirateurs</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801/2013 de la Commission du 22 août 2013 modifiant le règlement (CE) nº 1275/2008 en ce qui concerne les exigences d’écoconception relatives à la consommation d’électricité en mode veille et en mode arrêt des équipements ménagers et de bureau électriques et électroniques, et modifiant le règlement (CE) nº 642/2009 en ce qui concerne les exigences d’écoconception des téléviseurs</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813/2013 de la Commission du 2 août 2013 portant application de la directive 2009/125/CE du Parlement européen et du Conseil en ce qui concerne les exigences d’écoconception applicables aux dispositifs de chauffage des locaux et aux dispositifs de chauffage mixtes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814/2013 de la Commission du 2 août 2013 portant application de la directive 2009/125/CE du Parlement européen et du Conseil en ce qui concerne les exigences d’écoconception applicables aux chauffe-eau et aux ballons d’eau chaude</w:t>
      </w:r>
    </w:p>
    <w:p>
      <w:pPr>
        <w:spacing w:after="0" w:line="360" w:lineRule="auto"/>
        <w:ind w:left="567" w:hanging="567"/>
        <w:rPr>
          <w:rFonts w:ascii="Times New Roman" w:hAnsi="Times New Roman"/>
          <w:noProof/>
          <w:sz w:val="24"/>
        </w:rPr>
      </w:pPr>
    </w:p>
    <w:p>
      <w:pPr>
        <w:rPr>
          <w:rFonts w:ascii="Times New Roman" w:hAnsi="Times New Roman" w:cs="Times New Roman"/>
          <w:noProof/>
          <w:sz w:val="24"/>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(UE) nº 4/2014 de la Commission du 6 janvier 2014 modifiant le règlement (CE) nº 640/2009 portant application de la directive 2005/32/CE du Parlement européen et du Conseil concernant les exigences relatives à l’écoconception des moteurs électriques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66/2014 de la Commission du 14 janvier 2014 portant application de la directive 2009/125/CE du Parlement européen et du Conseil en ce qui concerne les exigences d’écoconception applicables aux fours, plaques de cuisson et hottes domestiques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548/2014 de la Commission du 21 mai 2014 relatif à la mise en œuvre de la directive 2009/125/CE du Parlement européen et du Conseil en ce qui concerne les transformateurs de faible, moyenne et grande puissance</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1253/2014 de la Commission du 7 juillet 2014 portant mise en œuvre de la directive 2009/125/CE du Parlement européen et du Conseil en ce qui concerne les exigences d’écoconception pour les unités de ventilation</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2015/1095 de la Commission du 5 mai 2015 portant application de la directive 2009/125/CE du Parlement européen et du Conseil en ce qui concerne les exigences d’écoconception applicables aux armoires frigorifiques professionnelles, aux cellules de refroidissement et de congélation rapides, aux groupes de condensation et aux refroidisseurs industriels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2015/1185 de la Commission du 24 avril 2015 portant application de la directive 2009/125/CE du Parlement européen et du Conseil en ce qui concerne les exigences d’écoconception applicables aux dispositifs de chauffage décentralisés à combustible solide</w:t>
      </w:r>
    </w:p>
    <w:p>
      <w:pPr>
        <w:spacing w:after="0" w:line="360" w:lineRule="auto"/>
        <w:ind w:left="567" w:hanging="567"/>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(UE) 2015/1188 de la Commission du 28 avril 2015 portant application de la directive 2009/125/CE du Parlement européen et du Conseil en ce qui concerne les exigences d’écoconception applicables aux dispositifs de chauffage décentralisés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2015/1189 de la Commission du 28 avril 2015 portant application de la directive 2009/125/CE du Parlement européen et du Conseil en ce qui concerne les exigences d’écoconception applicables aux chaudières à combustible solide</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2015/1428 de la Commission du 25 août 2015 modifiant le règlement (CE) nº 244/2009 de la Commission en ce qui concerne les exigences relatives à l’écoconception des lampes à usage domestique non dirigées et le règlement (CE) nº 245/2009 de la Commission en ce qui concerne les exigences en matière d’écoconception applicables aux lampes fluorescentes sans ballast intégré, aux lampes à décharge à haute intensité, ainsi qu’aux ballasts et aux luminaires qui peuvent faire fonctionner ces lampes, et abrogeant la directive 2000/55/CE du Parlement européen et du Conseil et le règlement (UE) nº 1194/2012 de la Commission en ce qui concerne les exigences relatives à l’écoconception des lampes dirigées, des lampes à diodes électroluminescentes et des équipements correspondants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Le conseil de partenariat évaluera régulièrement la possibilité de fixer des calendriers spécifiques de mise en œuvre de ces règlements et de cette directive.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2010/30/UE du Parlement européen et du Conseil du 19 mai 2010 concernant l’indication, par voie d’étiquetage et d’informations uniformes relatives aux produits, de la consommation en énergie et en autres ressources des produits liés à l’énergie</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2010/30/UE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Directives/règlements d’exécution:</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Directive 96/60/CE de la Commission du 19 septembre 1996 portant modalités d’application de la directive 92/75/CEE du Conseil en ce qui concerne l’indication de la consommation d’énergie des lavantes-séchantes domestiques combinées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96/60/CE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1059/2010 de la Commission du 28 septembre 2010 complétant la directive 2010/30/UE du Parlement européen et du Conseil en ce qui concerne l’indication, par voie d’étiquetage, de la consommation d’énergie des lave-vaisselle ménagers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nº 1059/2010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1060/2010 de la Commission du 28 septembre 2010 complétant la directive 2010/30/UE du Parlement européen et du Conseil en ce qui concerne l’indication, par voie d’étiquetage, de la consommation d’énergie des appareils de réfrigération ménagers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nº 1060/2010 doivent être mises en œuvre dans les six ans qui suivent l’entrée en vigueur du présent accord.</w:t>
      </w:r>
    </w:p>
    <w:p>
      <w:pPr>
        <w:spacing w:after="0" w:line="360" w:lineRule="auto"/>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délégué (UE) nº 1061/2010 de la Commission du 28 septembre 2010 complétant la directive 2010/30/UE du Parlement européen et du Conseil en ce qui concerne l’indication, par voie d’étiquetage, de la consommation d’énergie des lave-linge ménagers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nº 1061/2010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1062/2010 de la Commission du 28 septembre 2010 complétant la directive 2010/30/UE du Parlement européen et du Conseil en ce qui concerne l’indication, par voie d’étiquetage, de la consommation d’énergie des téléviseurs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nº 1062/2010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626/2011 de la Commission du 4 mai 2011 complétant la directive 2010/30/UE du Parlement européen et du Conseil en ce qui concerne l’indication, par voie d’étiquetage, de la consommation d’énergie des climatiseurs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nº 626/2011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392/2012 de la Commission du 1</w:t>
      </w:r>
      <w:r>
        <w:rPr>
          <w:rFonts w:ascii="Times New Roman" w:hAnsi="Times New Roman"/>
          <w:noProof/>
          <w:sz w:val="24"/>
          <w:vertAlign w:val="superscript"/>
        </w:rPr>
        <w:t>er</w:t>
      </w:r>
      <w:r>
        <w:rPr>
          <w:rFonts w:ascii="Times New Roman" w:hAnsi="Times New Roman"/>
          <w:noProof/>
          <w:sz w:val="24"/>
        </w:rPr>
        <w:t xml:space="preserve"> mars 2012 complétant la directive 2010/30/UE du Parlement européen et du Conseil en ce qui concerne l’indication, par voie d’étiquetage, de la consommation d’énergie des sèche-linge domestiques à tambour</w:t>
      </w:r>
    </w:p>
    <w:p>
      <w:pPr>
        <w:spacing w:after="0" w:line="360" w:lineRule="auto"/>
        <w:ind w:left="567" w:hanging="567"/>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délégué (UE) nº 392/2012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874/2012 de la Commission du 12 juillet 2012 complétant la directive 2010/30/UE du Parlement européen et du Conseil en ce qui concerne l’étiquetage énergétique des lampes électriques et des luminaires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délégué (UE) nº 874/2012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665/2013 de la Commission du 3 mai 2013 complétant la directive 2010/30/UE du Parlement européen et du Conseil en ce qui concerne l’étiquetage énergétique des aspirateurs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811/2013 de la Commission du 18 février 2013 complétant la directive 2010/30/UE du Parlement européen et du Conseil en ce qui concerne l’étiquetage énergétique des dispositifs de chauffage des locaux, des dispositifs de chauffage mixtes, des produits combinés constitués d’un dispositif de chauffage des locaux, d’un régulateur de température et d’un dispositif solaire et des produits combinés constitués d’un dispositif de chauffage mixte, d’un régulateur de température et d’un dispositif solaire</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812/2013 de la Commission du 18 février 2013 complétant la directive 2010/30/UE du Parlement européen et du Conseil en ce qui concerne l’étiquetage énergétique des chauffe-eau, des ballons d’eau chaude et des produits combinés constitués d’un chauffe-eau et d’un dispositif solaire</w:t>
      </w:r>
    </w:p>
    <w:p>
      <w:pPr>
        <w:spacing w:after="0" w:line="360" w:lineRule="auto"/>
        <w:ind w:left="567" w:hanging="567"/>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Règlement délégué (UE) nº 65/2014 de la Commission du 1</w:t>
      </w:r>
      <w:r>
        <w:rPr>
          <w:rFonts w:ascii="Times New Roman" w:hAnsi="Times New Roman"/>
          <w:noProof/>
          <w:sz w:val="24"/>
          <w:vertAlign w:val="superscript"/>
        </w:rPr>
        <w:t>er</w:t>
      </w:r>
      <w:r>
        <w:rPr>
          <w:rFonts w:ascii="Times New Roman" w:hAnsi="Times New Roman"/>
          <w:noProof/>
          <w:sz w:val="24"/>
        </w:rPr>
        <w:t xml:space="preserve"> octobre 2013 complétant la directive 2010/30/UE du Parlement européen et du Conseil en ce qui concerne l’étiquetage énergétique des fours et des hottes domestiques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518/2014 de la Commission du 5 mars 2014 modifiant les règlements délégués de la Commission (UE) nº 1059/2010, (UE) nº 1060/2010, (UE) nº 1061/2010, (UE) nº 1062/2010, (UE) nº 626/2011, (UE) nº 392/2012, (UE) nº 874/2012, (UE) nº 665/2013, (UE) nº 811/2013 et (UE) nº 812/2013 en ce qui concerne l’étiquetage des produits liés à l’énergie sur l’internet</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nº 1254/2014 de la Commission du 11 juillet 2014 complétant la directive 2010/30/UE du Parlement européen et du Conseil en ce qui concerne l’étiquetage énergétique des unités de ventilation résidentielles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2015/1094 de la Commission du 5 mai 2015 complétant la directive 2010/30/UE du Parlement européen et du Conseil en ce qui concerne l’étiquetage énergétique des armoires frigorifiques professionnelles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2015/1186 de la Commission du 24 avril 2015 complétant la directive 2010/30/UE du Parlement européen et du Conseil en ce qui concerne l’étiquetage énergétique des dispositifs de chauffage décentralisés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délégué (UE) 2015/1187 de la Commission du 27 avril 2015 complétant la directive 2010/30/UE du Parlement européen et du Conseil en ce qui concerne l’étiquetage énergétique des chaudières à combustible solide et des produits combinés constitués d’une chaudière à combustible solide, de dispositifs de chauffage d’appoint, de régulateurs de température et de dispositifs solaires</w:t>
      </w:r>
    </w:p>
    <w:p>
      <w:pPr>
        <w:spacing w:after="0" w:line="360" w:lineRule="auto"/>
        <w:ind w:left="567" w:hanging="567"/>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Le conseil de partenariat évaluera régulièrement la possibilité de fixer des calendriers spécifiques de mise en œuvre de ces règlements.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106/2008 du Parlement européen et du Conseil du 15 janvier 2008 concernant un programme communautaire d’étiquetage relatif à l’efficacité énergétique des équipements de bureau</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Décision 2014/202/UE de la Commission du 20 mars 2014 fixant la position de l’Union européenne en vue d’une décision des organes de gestion, en application de l’accord entre le gouvernement des États-Unis d’Amérique et l’Union européenne concernant la coordination des programmes d’étiquetage relatifs à l’efficacité énergétique des équipements de bureau, relative à l’ajout, à l’annexe C de l’accord, de spécifications applicables aux serveurs et aux alimentations sans interruption et à la révision, à l’annexe C de l’accord, des spécifications applicables aux dispositifs d’affichage et aux appareils de traitement d’images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Décision (UE) 2015/1402 de la Commission du 15 juillet 2015 établissant la position de l’Union européenne concernant une décision des organes de gestion en vertu de l’accord entre le gouvernement des États-Unis d’Amérique et l’Union européenne concernant la coordination des programmes d’étiquetage relatifs à l’efficacité énergétique des équipements de bureau portant sur la révision de spécifications applicables aux ordinateurs figurant à l’annexe C de l’accord</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Le conseil de partenariat évaluera régulièrement la possibilité de fixer des calendriers spécifiques de mise en œuvre du règlement (CE) nº 106/2008 et des décisions 2014/202/UE et (UE) 2015/1402.</w:t>
      </w:r>
    </w:p>
    <w:p>
      <w:pPr>
        <w:spacing w:after="0" w:line="360" w:lineRule="auto"/>
        <w:rPr>
          <w:rFonts w:ascii="Times New Roman" w:hAnsi="Times New Roman"/>
          <w:noProof/>
          <w:sz w:val="24"/>
        </w:rPr>
      </w:pPr>
    </w:p>
    <w:p>
      <w:pPr>
        <w:rPr>
          <w:rFonts w:ascii="Times New Roman" w:hAnsi="Times New Roman"/>
          <w:noProof/>
          <w:sz w:val="24"/>
          <w:highlight w:val="red"/>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Règlement (CE) nº 1222/2009 du Parlement européen et du Conseil du 25 novembre 2009 sur l’étiquetage des pneumatiques en relation avec l’efficacité en carburant et d’autres paramètres essentiels</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228/2011 de la Commission du 7 mars 2011 modifiant le règlement (CE) nº 1222/2009 du Parlement européen et du Conseil sur la méthode d’essai d’adhérence sur sol mouillé pour les pneumatiques de classe C1</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(UE) nº 1235/2011 de la Commission du 29 novembre 2011 modifiant le règlement (CE) nº 1222/2009 du Parlement européen et du Conseil en ce qui concerne le classement des pneumatiques en fonction de l’adhérence sur sol mouillé, la mesure de la résistance au roulement et la procédure de vérification</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Le conseil de partenariat évaluera régulièrement la possibilité de fixer des calendriers spécifiques de mise en œuvre des règlements (CE) nº 1222/2009, (UE) nº 228/2011 et (UE) nº 1235/2011.</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Énergies renouvelables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2009/28/CE du Parlement européen et du Conseil du 23 avril 2009 relative à la promotion de l’utilisation de l’énergie produite à partir de sources renouvelables et modifiant puis abrogeant les directives 2001/77/CE et 2003/30/CE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2009/28/CE doivent être mises en œuvre dans les six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Nucléaire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2006/117/Euratom du Conseil du 20 novembre 2006 relative à la surveillance et au contrôle des transferts de déchets radioactifs et de combustible nucléaire usé</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2006/117/Euratom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2009/71/Euratom du Conseil du 25 juin 2009 établissant un cadre communautaire pour la sûreté nucléaire des installations nucléaires,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2009/71/Euratom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2011/70/Euratom du Conseil du 19 juillet 2011 établissant un cadre communautaire pour la gestion responsable et sûre du combustible usé et des déchets radioactifs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2011/70/Euratom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2013/51/Euratom du Conseil du 22 octobre 2013 fixant des exigences pour la protection de la santé de la population en ce qui concerne les substances radioactives dans les eaux destinées à la consommation humaine</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2013/51/Euratom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2013/59/Euratom du Conseil du 5 décembre 2013 fixant les normes de base relatives à la protection sanitaire contre les dangers résultant de l’exposition aux rayonnements ionisants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2013/59/Euratom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rPr>
          <w:rFonts w:ascii="Times New Roman" w:hAnsi="Times New Roman"/>
          <w:noProof/>
          <w:sz w:val="24"/>
        </w:rPr>
      </w:pPr>
    </w:p>
    <w:p>
      <w:pPr>
        <w:spacing w:after="0" w:line="360" w:lineRule="auto"/>
        <w:rPr>
          <w:rFonts w:ascii="Times New Roman" w:hAnsi="Times New Roman"/>
          <w:noProof/>
          <w:sz w:val="24"/>
        </w:rPr>
        <w:sectPr>
          <w:headerReference w:type="even" r:id="rId28"/>
          <w:headerReference w:type="default" r:id="rId29"/>
          <w:footerReference w:type="even" r:id="rId30"/>
          <w:footerReference w:type="default" r:id="rId31"/>
          <w:headerReference w:type="first" r:id="rId32"/>
          <w:footerReference w:type="first" r:id="rId33"/>
          <w:pgSz w:w="11909" w:h="16834" w:code="9"/>
          <w:pgMar w:top="1134" w:right="1134" w:bottom="1134" w:left="1134" w:header="1134" w:footer="1134" w:gutter="0"/>
          <w:pgNumType w:start="1"/>
          <w:cols w:space="720"/>
          <w:noEndnote/>
          <w:docGrid w:linePitch="36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III</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relative au CHAPITRE 3 «ENVIRONNEMENT» 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et des instruments internationaux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Gouvernance environnementale et prise en compte des questions environnementales dans d’autres domaines d’action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2011/92/UE du Parlement européen et du Conseil du 13 décembre 2011 concernant l’évaluation des incidences de certains projets publics et privés sur l’environnement,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de dispositions imposant que les projets énumérés à l’annexe I de ladite directive soient soumis à une évaluation des incidences sur l’environnement et définition d’une procédure permettant de déterminer quels projets énumérés à l’annexe II de ladite directive nécessitent une évaluation des incidences sur l’environnement (article 4)</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détermination de la portée des informations à fournir par le maître d’ouvrage (article 5)</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d’une procédure de consultation des autorités environnementales et d’une procédure de consultation du public (article 6)</w:t>
      </w:r>
    </w:p>
    <w:p>
      <w:pPr>
        <w:spacing w:after="0" w:line="360" w:lineRule="auto"/>
        <w:ind w:left="567" w:hanging="567"/>
        <w:rPr>
          <w:rFonts w:ascii="Times New Roman" w:hAnsi="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définition de modalités d’échange d’informations et de consultation avec les États membres dont l’environnement est susceptible d’être affecté de manière notable par un projet (article 7)</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de mesures pour la communication au public des résultats des décisions concernant les demandes d’autorisation (article 9)</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procédures effectives, d’un coût non prohibitif et rapides au niveau administratif et judiciaire, associant le public et les ONG (article 11)</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2011/92/UE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2001/42/CE du Parlement européen et du Conseil du 27 juin 2001 relative à l’évaluation des incidences de certains plans et programmes sur l’environnement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d’une procédure permettant de déterminer quels plans ou programmes nécessitent une évaluation environnementale stratégique et adoption de dispositions imposant que les plans ou programmes pour lesquels une telle évaluation est obligatoire soient effectivement soumis à celle-ci (article 3)</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d’une procédure de consultation des autorités environnementales et d’une procédure de consultation du public (article 6)</w:t>
      </w:r>
    </w:p>
    <w:p>
      <w:pPr>
        <w:spacing w:after="0" w:line="360" w:lineRule="auto"/>
        <w:ind w:left="567" w:hanging="567"/>
        <w:rPr>
          <w:rFonts w:ascii="Times New Roman" w:hAnsi="Times New Roman"/>
          <w:noProof/>
          <w:sz w:val="24"/>
        </w:rPr>
      </w:pPr>
    </w:p>
    <w:p>
      <w:pPr>
        <w:rPr>
          <w:rFonts w:ascii="Times New Roman" w:hAnsi="Times New Roman" w:cs="Times New Roman"/>
          <w:noProof/>
          <w:sz w:val="24"/>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définition de modalités d’échange d’informations et de consultation avec les États membres dont l’environnement est susceptible d’être affecté de manière notable par un plan ou un programme (article 7)</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2001/42/CE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2003/4/CE du Parlement européen et du Conseil du 28 janvier 2003 concernant l’accès du public à l’information en matière d’environnement et abrogeant la directive 90/313/CEE du Conseil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10" w:name="bookmark37"/>
      <w:r>
        <w:rPr>
          <w:rFonts w:ascii="Times New Roman" w:hAnsi="Times New Roman"/>
          <w:noProof/>
          <w:sz w:val="24"/>
        </w:rPr>
        <w:t>–</w:t>
      </w:r>
      <w:r>
        <w:rPr>
          <w:noProof/>
        </w:rPr>
        <w:tab/>
      </w:r>
      <w:r>
        <w:rPr>
          <w:rFonts w:ascii="Times New Roman" w:hAnsi="Times New Roman"/>
          <w:noProof/>
          <w:sz w:val="24"/>
        </w:rPr>
        <w:t>définition de modalités pratiques concernant l’accès du public aux informations environnementales et des dérogations applicables (articles 3 et 4)</w:t>
      </w:r>
      <w:bookmarkEnd w:id="10"/>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11" w:name="bookmark38"/>
      <w:r>
        <w:rPr>
          <w:rFonts w:ascii="Times New Roman" w:hAnsi="Times New Roman"/>
          <w:noProof/>
          <w:sz w:val="24"/>
        </w:rPr>
        <w:t>–</w:t>
      </w:r>
      <w:r>
        <w:rPr>
          <w:noProof/>
        </w:rPr>
        <w:tab/>
      </w:r>
      <w:r>
        <w:rPr>
          <w:rFonts w:ascii="Times New Roman" w:hAnsi="Times New Roman"/>
          <w:noProof/>
          <w:sz w:val="24"/>
        </w:rPr>
        <w:t>obligation de veiller à ce que les autorités publiques mettent les informations environnementales à la disposition du</w:t>
      </w:r>
      <w:bookmarkEnd w:id="11"/>
      <w:r>
        <w:rPr>
          <w:rFonts w:ascii="Times New Roman" w:hAnsi="Times New Roman"/>
          <w:noProof/>
          <w:sz w:val="24"/>
        </w:rPr>
        <w:t xml:space="preserve"> </w:t>
      </w:r>
      <w:bookmarkStart w:id="12" w:name="bookmark39"/>
      <w:r>
        <w:rPr>
          <w:rFonts w:ascii="Times New Roman" w:hAnsi="Times New Roman"/>
          <w:noProof/>
          <w:sz w:val="24"/>
        </w:rPr>
        <w:t>public (article 3, paragraphe 1)</w:t>
      </w:r>
      <w:bookmarkEnd w:id="12"/>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13" w:name="bookmark40"/>
      <w:r>
        <w:rPr>
          <w:rFonts w:ascii="Times New Roman" w:hAnsi="Times New Roman"/>
          <w:noProof/>
          <w:sz w:val="24"/>
        </w:rPr>
        <w:t>–</w:t>
      </w:r>
      <w:r>
        <w:rPr>
          <w:noProof/>
        </w:rPr>
        <w:tab/>
      </w:r>
      <w:r>
        <w:rPr>
          <w:rFonts w:ascii="Times New Roman" w:hAnsi="Times New Roman"/>
          <w:noProof/>
          <w:sz w:val="24"/>
        </w:rPr>
        <w:t>établissement de procédures de recours lorsqu’il a été décidé de ne pas fournir les informations environnementales ou de ne fournir que des informations partielles (article 6)</w:t>
      </w:r>
      <w:bookmarkEnd w:id="13"/>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de diffusion au public des informations environnementales (article 7)</w:t>
      </w:r>
    </w:p>
    <w:p>
      <w:pPr>
        <w:spacing w:after="0" w:line="360" w:lineRule="auto"/>
        <w:rPr>
          <w:rFonts w:ascii="Times New Roman" w:hAnsi="Times New Roman"/>
          <w:noProof/>
          <w:sz w:val="24"/>
        </w:rPr>
      </w:pPr>
    </w:p>
    <w:p>
      <w:pPr>
        <w:rPr>
          <w:rFonts w:ascii="Times New Roman" w:hAnsi="Times New Roman"/>
          <w:noProof/>
          <w:sz w:val="24"/>
          <w:highlight w:val="yellow"/>
        </w:rPr>
      </w:pPr>
      <w:bookmarkStart w:id="14" w:name="bookmark41"/>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2003/4/CE doivent être mises en œuvre dans les deux ans qui suivent l’entrée en vigueur du présent accord</w:t>
      </w:r>
      <w:bookmarkEnd w:id="14"/>
      <w:r>
        <w:rPr>
          <w:rFonts w:ascii="Times New Roman" w:hAnsi="Times New Roman"/>
          <w:noProof/>
          <w:sz w:val="24"/>
        </w:rPr>
        <w: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15" w:name="bookmark42"/>
      <w:r>
        <w:rPr>
          <w:rFonts w:ascii="Times New Roman" w:hAnsi="Times New Roman"/>
          <w:noProof/>
          <w:sz w:val="24"/>
        </w:rPr>
        <w:t>Directive 2003/35/CE du Parlement européen et du Conseil du 26 mai 2003 prévoyant la participation du public lors de l’élaboration de certains plans et programmes relatifs à l’environnement, et modifiant, en ce qui concerne la participation du public et l’accès à la justice, les directives 85/337/CEE et</w:t>
      </w:r>
      <w:bookmarkEnd w:id="15"/>
      <w:r>
        <w:rPr>
          <w:rFonts w:ascii="Times New Roman" w:hAnsi="Times New Roman"/>
          <w:noProof/>
          <w:sz w:val="24"/>
        </w:rPr>
        <w:t xml:space="preserve"> 96/61/CE du Conseil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16" w:name="bookmark43"/>
      <w:r>
        <w:rPr>
          <w:rFonts w:ascii="Times New Roman" w:hAnsi="Times New Roman"/>
          <w:noProof/>
          <w:sz w:val="24"/>
        </w:rPr>
        <w:t>Les dispositions suivantes de cette directive s’appliquent:</w:t>
      </w:r>
      <w:bookmarkEnd w:id="16"/>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17" w:name="bookmark44"/>
      <w:r>
        <w:rPr>
          <w:rFonts w:ascii="Times New Roman" w:hAnsi="Times New Roman"/>
          <w:noProof/>
          <w:sz w:val="24"/>
        </w:rPr>
        <w:t>–</w:t>
      </w:r>
      <w:r>
        <w:rPr>
          <w:noProof/>
        </w:rPr>
        <w:tab/>
      </w:r>
      <w:r>
        <w:rPr>
          <w:rFonts w:ascii="Times New Roman" w:hAnsi="Times New Roman"/>
          <w:noProof/>
          <w:sz w:val="24"/>
        </w:rPr>
        <w:t>établissement d’un mécanisme pour la communication d’informations au public [article 2, paragraphe 2, points a) et d)]</w:t>
      </w:r>
      <w:bookmarkEnd w:id="17"/>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18" w:name="bookmark45"/>
      <w:r>
        <w:rPr>
          <w:rFonts w:ascii="Times New Roman" w:hAnsi="Times New Roman"/>
          <w:noProof/>
          <w:sz w:val="24"/>
        </w:rPr>
        <w:t>–</w:t>
      </w:r>
      <w:r>
        <w:rPr>
          <w:noProof/>
        </w:rPr>
        <w:tab/>
      </w:r>
      <w:r>
        <w:rPr>
          <w:rFonts w:ascii="Times New Roman" w:hAnsi="Times New Roman"/>
          <w:noProof/>
          <w:sz w:val="24"/>
        </w:rPr>
        <w:t>établissement d’un mécanisme de consultation du public [article 2, paragraphe 2, point b), et article 2, paragraphe 3]</w:t>
      </w:r>
      <w:bookmarkEnd w:id="18"/>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19" w:name="bookmark46"/>
      <w:r>
        <w:rPr>
          <w:rFonts w:ascii="Times New Roman" w:hAnsi="Times New Roman"/>
          <w:noProof/>
          <w:sz w:val="24"/>
        </w:rPr>
        <w:t>–</w:t>
      </w:r>
      <w:r>
        <w:rPr>
          <w:noProof/>
        </w:rPr>
        <w:tab/>
      </w:r>
      <w:r>
        <w:rPr>
          <w:rFonts w:ascii="Times New Roman" w:hAnsi="Times New Roman"/>
          <w:noProof/>
          <w:sz w:val="24"/>
        </w:rPr>
        <w:t>établissement d’un mécanisme permettant de prendre en considération dans le processus de décision les observations et avis du public [article 2, paragraphe 2, point c)</w:t>
      </w:r>
      <w:bookmarkEnd w:id="19"/>
      <w:r>
        <w:rPr>
          <w:rFonts w:ascii="Times New Roman" w:hAnsi="Times New Roman"/>
          <w:noProof/>
          <w:sz w:val="24"/>
        </w:rPr>
        <w:t>]</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20" w:name="bookmark47"/>
      <w:r>
        <w:rPr>
          <w:rFonts w:ascii="Times New Roman" w:hAnsi="Times New Roman"/>
          <w:noProof/>
          <w:sz w:val="24"/>
        </w:rPr>
        <w:t>–</w:t>
      </w:r>
      <w:r>
        <w:rPr>
          <w:noProof/>
        </w:rPr>
        <w:tab/>
      </w:r>
      <w:r>
        <w:rPr>
          <w:rFonts w:ascii="Times New Roman" w:hAnsi="Times New Roman"/>
          <w:noProof/>
          <w:sz w:val="24"/>
        </w:rPr>
        <w:t>garantie d’un accès à la justice effectif, rapide et d’un coût non prohibitif au niveau administratif et judiciaire pour les procédures engagées par le public (y compris les ONG) (article 3, paragraphe 7, et article 4, paragraphe 4, évaluation des incidences sur l’environnement et prévention et réduction intégrées de la pollution)</w:t>
      </w:r>
      <w:bookmarkEnd w:id="20"/>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2003/35/CE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2004/35/CE du Parlement européen et du Conseil du 21 avril 2004 sur la responsabilité environnementale en ce qui concerne la prévention et la réparation des dommages environnementaux,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la directive 2004/35/CE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des autorités compétentes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2004/35/CE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règles et de procédures visant à prévenir et à réparer les dommages environnementaux (eaux, sols, espèces et habitats naturels protégés) conformément au principe du «pollueur-payeur» (articles 5, 6 et 7 et annexe II)</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2004/35/CE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d’une responsabilité inconditionnelle pour les activités professionnelles dangereuses (article 3, paragraphe 1, et annexe III)</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2004/35/CE doivent être mises en œuvre dans les sept ans qui suivent l’entrée en vigueur du présent accord.</w:t>
      </w:r>
    </w:p>
    <w:p>
      <w:pPr>
        <w:spacing w:after="0" w:line="360" w:lineRule="auto"/>
        <w:ind w:left="567" w:hanging="567"/>
        <w:rPr>
          <w:rFonts w:ascii="Times New Roman" w:hAnsi="Times New Roman" w:cs="Times New Roman"/>
          <w:noProof/>
          <w:sz w:val="24"/>
        </w:rPr>
      </w:pPr>
    </w:p>
    <w:p>
      <w:pPr>
        <w:rPr>
          <w:rFonts w:ascii="Times New Roman" w:hAnsi="Times New Roman" w:cs="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instauration d’obligations imposant aux exploitants d’adopter les mesures de prévention ou de réparation nécessaires, y compris la prise en charge des frais (articles 5, 6, 7, 8, 9 et 10)</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2004/35/CE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mécanismes permettant aux personnes touchées, notamment aux ONG environnementales, de demander aux autorités compétentes de prendre des mesures en cas de dommages environnementaux, y compris par un recours auprès d’un organisme indépendant (articles 12 et 13)</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2004/35/CE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21" w:name="bookmark48"/>
      <w:r>
        <w:rPr>
          <w:rFonts w:ascii="Times New Roman" w:hAnsi="Times New Roman"/>
          <w:noProof/>
          <w:sz w:val="24"/>
        </w:rPr>
        <w:t>Qualité de l’air</w:t>
      </w:r>
      <w:bookmarkEnd w:id="21"/>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22" w:name="bookmark49"/>
      <w:r>
        <w:rPr>
          <w:rFonts w:ascii="Times New Roman" w:hAnsi="Times New Roman"/>
          <w:noProof/>
          <w:sz w:val="24"/>
        </w:rPr>
        <w:t>Directive 2008/50/CE du Parlement européen et du Conseil du 21 mai 2008 concernant la qualité de l’air ambiant et un air pur pour l’Europe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bookmarkEnd w:id="22"/>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23" w:name="bookmark50"/>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bookmarkEnd w:id="23"/>
    </w:p>
    <w:p>
      <w:pPr>
        <w:spacing w:after="0" w:line="360" w:lineRule="auto"/>
        <w:rPr>
          <w:rFonts w:ascii="Times New Roman" w:hAnsi="Times New Roman"/>
          <w:noProof/>
          <w:sz w:val="24"/>
          <w:highlight w:val="green"/>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24" w:name="bookmark51"/>
      <w:r>
        <w:rPr>
          <w:rFonts w:ascii="Times New Roman" w:hAnsi="Times New Roman"/>
          <w:noProof/>
          <w:sz w:val="24"/>
        </w:rPr>
        <w:t>Calendrier: les dispositions en question de la directive 2008/50/CE doivent être mises en œuvre dans les quatre ans qui suivent l’entrée en vigueur du présent accord.</w:t>
      </w:r>
      <w:bookmarkEnd w:id="24"/>
    </w:p>
    <w:p>
      <w:pPr>
        <w:spacing w:after="0" w:line="360" w:lineRule="auto"/>
        <w:rPr>
          <w:rFonts w:ascii="Times New Roman" w:hAnsi="Times New Roman"/>
          <w:noProof/>
          <w:sz w:val="24"/>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établissement et classification des zones et agglomérations (articles 4 et 5)</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25" w:name="bookmark52"/>
      <w:r>
        <w:rPr>
          <w:rFonts w:ascii="Times New Roman" w:hAnsi="Times New Roman"/>
          <w:noProof/>
          <w:sz w:val="24"/>
        </w:rPr>
        <w:t>Calendrier: les dispositions en question de la directive 2008/50/CE doivent être mises en œuvre dans les sept ans qui suivent l’entrée en vigueur du présent accord</w:t>
      </w:r>
      <w:bookmarkEnd w:id="25"/>
      <w:r>
        <w:rPr>
          <w:rFonts w:ascii="Times New Roman" w:hAnsi="Times New Roman"/>
          <w:noProof/>
          <w:sz w:val="24"/>
        </w:rPr>
        <w: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26" w:name="bookmark53"/>
      <w:r>
        <w:rPr>
          <w:rFonts w:ascii="Times New Roman" w:hAnsi="Times New Roman"/>
          <w:noProof/>
          <w:sz w:val="24"/>
        </w:rPr>
        <w:t>–</w:t>
      </w:r>
      <w:r>
        <w:rPr>
          <w:noProof/>
        </w:rPr>
        <w:tab/>
      </w:r>
      <w:r>
        <w:rPr>
          <w:rFonts w:ascii="Times New Roman" w:hAnsi="Times New Roman"/>
          <w:noProof/>
          <w:sz w:val="24"/>
        </w:rPr>
        <w:t>établissement de seuils d’évaluation supérieurs et inférieurs et de valeurs limites (articles 5 et 13)</w:t>
      </w:r>
      <w:bookmarkEnd w:id="26"/>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27" w:name="bookmark54"/>
      <w:r>
        <w:rPr>
          <w:rFonts w:ascii="Times New Roman" w:hAnsi="Times New Roman"/>
          <w:noProof/>
          <w:sz w:val="24"/>
        </w:rPr>
        <w:t>Calendrier: les dispositions en question de la directive 2008/50/CE doivent être mises en œuvre dans les sept ans qui suivent l’entrée en vigueur du présent accord.</w:t>
      </w:r>
      <w:bookmarkEnd w:id="27"/>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28" w:name="bookmark55"/>
      <w:r>
        <w:rPr>
          <w:rFonts w:ascii="Times New Roman" w:hAnsi="Times New Roman"/>
          <w:noProof/>
          <w:sz w:val="24"/>
        </w:rPr>
        <w:t>–</w:t>
      </w:r>
      <w:r>
        <w:rPr>
          <w:noProof/>
        </w:rPr>
        <w:tab/>
      </w:r>
      <w:r>
        <w:rPr>
          <w:rFonts w:ascii="Times New Roman" w:hAnsi="Times New Roman"/>
          <w:noProof/>
          <w:sz w:val="24"/>
        </w:rPr>
        <w:t>mise en place d’un système d’évaluation de la qualité de l’air ambiant pour ce qui est des polluants atmosphériques (articles 5, 6 et 9)</w:t>
      </w:r>
      <w:bookmarkEnd w:id="28"/>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29" w:name="bookmark56"/>
      <w:r>
        <w:rPr>
          <w:rFonts w:ascii="Times New Roman" w:hAnsi="Times New Roman"/>
          <w:noProof/>
          <w:sz w:val="24"/>
        </w:rPr>
        <w:t>Calendrier: les dispositions en question de la directive 2008/50/CE doivent être mises en œuvre dans les huit ans qui suivent l’entrée en vigueur du présent accord</w:t>
      </w:r>
      <w:bookmarkEnd w:id="29"/>
      <w:r>
        <w:rPr>
          <w:rFonts w:ascii="Times New Roman" w:hAnsi="Times New Roman"/>
          <w:noProof/>
          <w:sz w:val="24"/>
        </w:rPr>
        <w:t>.</w:t>
      </w:r>
    </w:p>
    <w:p>
      <w:pPr>
        <w:spacing w:after="0" w:line="360" w:lineRule="auto"/>
        <w:rPr>
          <w:rFonts w:ascii="Times New Roman" w:hAnsi="Times New Roman"/>
          <w:noProof/>
          <w:sz w:val="24"/>
        </w:rPr>
      </w:pPr>
      <w:bookmarkStart w:id="30" w:name="bookmark57"/>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plans relatifs à la qualité de l’air pour les zones et agglomérations où les niveaux de polluants dépassent une valeur limite ou une valeur cible (article 23)</w:t>
      </w:r>
      <w:bookmarkEnd w:id="30"/>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2008/50/CE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plans d’action à court terme pour les zones et agglomérations où il existe un risque que le seuil d’alerte soit dépassé (article 24)</w:t>
      </w:r>
    </w:p>
    <w:p>
      <w:pPr>
        <w:spacing w:after="0" w:line="360" w:lineRule="auto"/>
        <w:ind w:left="567" w:hanging="567"/>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2008/50/CE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d’information du public (article 26)</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2008/50/CE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2004/107/CE du Parlement européen et du Conseil du 15 décembre 2004 concernant l’arsenic, le cadmium, le mercure, le nickel et les hydrocarbures aromatiques polycycliques dans l’air ambiant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2004/107/CE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seuils d’évaluation minimal et maximal (article 4, paragraphe 6) et de valeurs cibles (article 3)</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2004/107/CE doivent être mises en œuvre dans les six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highlight w:val="green"/>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établissement et classification des zones et agglomérations (article 3 et article 4, paragraphe 6)</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2004/107/CE doivent être mises en œuvre dans les six ans qui suivent l’entrée en vigueur du présent accord.</w:t>
      </w:r>
    </w:p>
    <w:p>
      <w:pPr>
        <w:spacing w:after="0" w:line="360" w:lineRule="auto"/>
        <w:rPr>
          <w:rFonts w:ascii="Times New Roman" w:hAnsi="Times New Roman"/>
          <w:noProof/>
          <w:sz w:val="24"/>
        </w:rPr>
      </w:pPr>
      <w:bookmarkStart w:id="31" w:name="bookmark58"/>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d’évaluation de la qualité de l’air ambiant pour ce qui est des polluants atmosphériques</w:t>
      </w:r>
      <w:bookmarkEnd w:id="31"/>
      <w:r>
        <w:rPr>
          <w:rFonts w:ascii="Times New Roman" w:hAnsi="Times New Roman"/>
          <w:noProof/>
          <w:sz w:val="24"/>
        </w:rPr>
        <w:t xml:space="preserve"> (article 4)</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32" w:name="bookmark59"/>
      <w:r>
        <w:rPr>
          <w:rFonts w:ascii="Times New Roman" w:hAnsi="Times New Roman"/>
          <w:noProof/>
          <w:sz w:val="24"/>
        </w:rPr>
        <w:t>Calendrier: les dispositions en question de la directive 2004/107/CE doivent être mises en œuvre dans les huit ans qui suivent</w:t>
      </w:r>
      <w:bookmarkEnd w:id="32"/>
      <w:r>
        <w:rPr>
          <w:rFonts w:ascii="Times New Roman" w:hAnsi="Times New Roman"/>
          <w:noProof/>
          <w:sz w:val="24"/>
        </w:rPr>
        <w:t xml:space="preserve">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de mesures visant à maintenir/améliorer la qualité de l’air pour ce qui est des polluants concernés (article 3)</w:t>
      </w:r>
    </w:p>
    <w:p>
      <w:pPr>
        <w:spacing w:after="0" w:line="360" w:lineRule="auto"/>
        <w:rPr>
          <w:rFonts w:ascii="Times New Roman" w:hAnsi="Times New Roman"/>
          <w:noProof/>
          <w:sz w:val="24"/>
          <w:highlight w:val="green"/>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2004/107/CE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1999/32/CE du Conseil, du 26 avril 1999, concernant une réduction de la teneur en soufre de certains combustibles liquides et modifiant la directive 93/12/CEE,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efficace d’échantillonnage des combustibles et de méthodes d’analyse appropriées pour déterminer la teneur en soufre (article 6)</w:t>
      </w:r>
    </w:p>
    <w:p>
      <w:pPr>
        <w:spacing w:after="0" w:line="360" w:lineRule="auto"/>
        <w:ind w:left="567" w:hanging="567"/>
        <w:rPr>
          <w:rFonts w:ascii="Times New Roman" w:hAnsi="Times New Roman"/>
          <w:noProof/>
          <w:sz w:val="24"/>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interdiction de l’utilisation des fiouls lourds et du gas-oil à usage terrestre ayant une teneur en soufre supérieure aux valeurs limites établies (article 3, paragraphe 1, – sauf exceptions prévues à l’article 3, paragraphe 2 – et article 4, paragraphe 1)</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1999/32/CE doivent être mises en œuvre dans les deux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94/63/CE du Parlement européen et du Conseil, du 20 décembre 1994, relative à la lutte contre les émissions de composés organiques volatils (COV) résultant du stockage de l’essence et de sa distribution des terminaux aux stations-service,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définition de tous les terminaux utilisés pour le stockage et le chargement de l’essence (article 2)</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mesures techniques destinées à réduire la perte d’essence dans les installations de stockage des terminaux et des stations-service ainsi que lors du chargement/déchargement des réservoirs mobiles dans les terminaux (articles 3, 4 et 6 et annexe III)</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application des exigences à tous les portiques de chargement de véhicules-citernes et à tous les réservoirs mobiles (articles 4 et 5)</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94/63/CE doivent être mises en œuvre dans les huit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2004/42/CE du Parlement européen et du Conseil du 21 avril 2004 relative à la réduction des émissions de composés organiques volatils dues à l’utilisation de solvants organiques dans certains vernis et peintures et dans les produits de retouche de véhicules, et modifiant la directive 1999/13/CE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33" w:name="bookmark60"/>
      <w:r>
        <w:rPr>
          <w:rFonts w:ascii="Times New Roman" w:hAnsi="Times New Roman"/>
          <w:noProof/>
          <w:sz w:val="24"/>
        </w:rPr>
        <w:t>–</w:t>
      </w:r>
      <w:r>
        <w:rPr>
          <w:noProof/>
        </w:rPr>
        <w:tab/>
      </w:r>
      <w:r>
        <w:rPr>
          <w:rFonts w:ascii="Times New Roman" w:hAnsi="Times New Roman"/>
          <w:noProof/>
          <w:sz w:val="24"/>
        </w:rPr>
        <w:t>fixation de valeurs limites maximales concernant la teneur en COV des peintures et vernis (article 3 et annexe II)</w:t>
      </w:r>
      <w:bookmarkEnd w:id="33"/>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34" w:name="bookmark61"/>
      <w:r>
        <w:rPr>
          <w:rFonts w:ascii="Times New Roman" w:hAnsi="Times New Roman"/>
          <w:noProof/>
          <w:sz w:val="24"/>
        </w:rPr>
        <w:t>–</w:t>
      </w:r>
      <w:r>
        <w:rPr>
          <w:noProof/>
        </w:rPr>
        <w:tab/>
      </w:r>
      <w:r>
        <w:rPr>
          <w:rFonts w:ascii="Times New Roman" w:hAnsi="Times New Roman"/>
          <w:noProof/>
          <w:sz w:val="24"/>
        </w:rPr>
        <w:t>formulation d’exigences assurant que les produits mis sur le</w:t>
      </w:r>
      <w:bookmarkEnd w:id="34"/>
      <w:r>
        <w:rPr>
          <w:rFonts w:ascii="Times New Roman" w:hAnsi="Times New Roman"/>
          <w:noProof/>
          <w:sz w:val="24"/>
        </w:rPr>
        <w:t xml:space="preserve"> marché portent une étiquette et répondent aux exigences pertinentes (articles 3 et 4)</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35" w:name="bookmark62"/>
      <w:r>
        <w:rPr>
          <w:rFonts w:ascii="Times New Roman" w:hAnsi="Times New Roman"/>
          <w:noProof/>
          <w:sz w:val="24"/>
        </w:rPr>
        <w:t>Calendrier: les dispositions en question de la directive 2004/42/CE doivent être mises en œuvre dans les cinq ans qui suivent l’entrée en vigueur du présent accord</w:t>
      </w:r>
      <w:bookmarkEnd w:id="35"/>
      <w:r>
        <w:rPr>
          <w:rFonts w:ascii="Times New Roman" w:hAnsi="Times New Roman"/>
          <w:noProof/>
          <w:sz w:val="24"/>
        </w:rPr>
        <w:t>.</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Qualité de l’eau et gestion des ressources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2000/60/CE du Parlement européen et du Conseil du 23 octobre 2000 établissant un cadre pour une politique communautaire dans le domaine de l’eau,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détermination des districts hydrographiques et coordination adéquate pour la préservation des rivières, eaux côtières et lacs internationaux (article 3, paragraphes 1 à 7)</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analyse des caractéristiques des districts hydrographiques (article 5)</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programmes de surveillance de la qualité de l’eau (article 8)</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36" w:name="bookmark63"/>
      <w:r>
        <w:rPr>
          <w:rFonts w:ascii="Times New Roman" w:hAnsi="Times New Roman"/>
          <w:noProof/>
          <w:sz w:val="24"/>
        </w:rPr>
        <w:t>–</w:t>
      </w:r>
      <w:r>
        <w:rPr>
          <w:noProof/>
        </w:rPr>
        <w:tab/>
      </w:r>
      <w:r>
        <w:rPr>
          <w:rFonts w:ascii="Times New Roman" w:hAnsi="Times New Roman"/>
          <w:noProof/>
          <w:sz w:val="24"/>
        </w:rPr>
        <w:t>élaboration de plans de gestion de district hydrographique, consultation du public</w:t>
      </w:r>
      <w:bookmarkEnd w:id="36"/>
      <w:r>
        <w:rPr>
          <w:rFonts w:ascii="Times New Roman" w:hAnsi="Times New Roman"/>
          <w:noProof/>
          <w:sz w:val="24"/>
        </w:rPr>
        <w:t xml:space="preserve"> et publication de ces plans (articles 13 et 14)</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bookmarkStart w:id="37" w:name="bookmark64"/>
      <w:r>
        <w:rPr>
          <w:rFonts w:ascii="Times New Roman" w:hAnsi="Times New Roman"/>
          <w:noProof/>
          <w:sz w:val="24"/>
        </w:rPr>
        <w:t>Calendrier: les dispositions en question de la directive 2000/60/CE doivent être mises en œuvre dans les cinq ans qui suivent l’entrée en vigueur du présent accord.</w:t>
      </w:r>
      <w:bookmarkEnd w:id="37"/>
    </w:p>
    <w:p>
      <w:pPr>
        <w:spacing w:after="0" w:line="360" w:lineRule="auto"/>
        <w:rPr>
          <w:rFonts w:ascii="Times New Roman" w:hAnsi="Times New Roman"/>
          <w:noProof/>
          <w:sz w:val="24"/>
        </w:rPr>
      </w:pPr>
      <w:bookmarkStart w:id="38" w:name="bookmark65"/>
    </w:p>
    <w:p>
      <w:pPr>
        <w:spacing w:after="0" w:line="360" w:lineRule="auto"/>
        <w:rPr>
          <w:rFonts w:ascii="Times New Roman" w:hAnsi="Times New Roman"/>
          <w:noProof/>
          <w:sz w:val="24"/>
        </w:rPr>
      </w:pPr>
      <w:r>
        <w:rPr>
          <w:rFonts w:ascii="Times New Roman" w:hAnsi="Times New Roman"/>
          <w:noProof/>
          <w:sz w:val="24"/>
        </w:rPr>
        <w:t>Directive 2007/60/CE du Parlement Européen et du Conseil du 23 octobre 2007 relative à l’évaluation et à la gestion des risques d’inondation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bookmarkEnd w:id="38"/>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39" w:name="bookmark66"/>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bookmarkEnd w:id="39"/>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40" w:name="bookmark67"/>
      <w:r>
        <w:rPr>
          <w:rFonts w:ascii="Times New Roman" w:hAnsi="Times New Roman"/>
          <w:noProof/>
          <w:sz w:val="24"/>
        </w:rPr>
        <w:t>–</w:t>
      </w:r>
      <w:r>
        <w:rPr>
          <w:noProof/>
        </w:rPr>
        <w:tab/>
      </w:r>
      <w:r>
        <w:rPr>
          <w:rFonts w:ascii="Times New Roman" w:hAnsi="Times New Roman"/>
          <w:noProof/>
          <w:sz w:val="24"/>
        </w:rPr>
        <w:t>réalisation d’une évaluation préliminaire des risques d’inondation (articles 4 et 5)</w:t>
      </w:r>
      <w:bookmarkEnd w:id="40"/>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41" w:name="bookmark68"/>
      <w:r>
        <w:rPr>
          <w:rFonts w:ascii="Times New Roman" w:hAnsi="Times New Roman"/>
          <w:noProof/>
          <w:sz w:val="24"/>
        </w:rPr>
        <w:t>–</w:t>
      </w:r>
      <w:r>
        <w:rPr>
          <w:noProof/>
        </w:rPr>
        <w:tab/>
      </w:r>
      <w:r>
        <w:rPr>
          <w:rFonts w:ascii="Times New Roman" w:hAnsi="Times New Roman"/>
          <w:noProof/>
          <w:sz w:val="24"/>
        </w:rPr>
        <w:t>réalisation de cartes des zones inondables et de cartes des risques d’inondation (article 6)</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de plans de gestion des risques d’inondation (article 7)</w:t>
      </w:r>
      <w:bookmarkEnd w:id="41"/>
    </w:p>
    <w:p>
      <w:pPr>
        <w:spacing w:after="0" w:line="360" w:lineRule="auto"/>
        <w:rPr>
          <w:rFonts w:ascii="Times New Roman" w:hAnsi="Times New Roman"/>
          <w:noProof/>
          <w:sz w:val="24"/>
        </w:rPr>
      </w:pPr>
    </w:p>
    <w:p>
      <w:pPr>
        <w:rPr>
          <w:rFonts w:ascii="Times New Roman" w:hAnsi="Times New Roman"/>
          <w:noProof/>
          <w:sz w:val="24"/>
          <w:highlight w:val="yellow"/>
        </w:rPr>
      </w:pPr>
      <w:bookmarkStart w:id="42" w:name="bookmark69"/>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2007/60/CE doivent être mises en œuvre dans les cinq ans qui suivent l’entrée en vigueur du présent accord.</w:t>
      </w:r>
      <w:bookmarkEnd w:id="42"/>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91/271/CEE du Conseil, du 21 mai 1991, relative au traitement des eaux urbaines résiduaires,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bookmarkStart w:id="43" w:name="bookmark70"/>
      <w:r>
        <w:rPr>
          <w:rFonts w:ascii="Times New Roman" w:hAnsi="Times New Roman"/>
          <w:noProof/>
          <w:sz w:val="24"/>
        </w:rPr>
        <w:t>Les dispositions suivantes de cette directive s’appliquent:</w:t>
      </w:r>
      <w:bookmarkEnd w:id="43"/>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44" w:name="bookmark71"/>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bookmarkEnd w:id="44"/>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évaluation de la situation en matière de collecte et de traitement des eaux urbaines résiduaires</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identification des zones et agglomérations sensibles (article 5, paragraphe 1, et annexe II)</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91/271/CEE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d’un programme technique et d’un programme d’investissements pour l’application des exigences en matière de traitement des eaux urbaines résiduaires (article 17, paragraphe 1)</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91/271/CEE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98/83/CE du Conseil du 3 novembre 1998 relative à la qualité des eaux destinées à la consommation humaine, telle que modifiée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de normes concernant l’eau potable (articles 4 et 5)</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 système de contrôle (articles 6 et 7)</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45" w:name="bookmark72"/>
      <w:r>
        <w:rPr>
          <w:rFonts w:ascii="Times New Roman" w:hAnsi="Times New Roman"/>
          <w:noProof/>
          <w:sz w:val="24"/>
        </w:rPr>
        <w:t>–</w:t>
      </w:r>
      <w:r>
        <w:rPr>
          <w:noProof/>
        </w:rPr>
        <w:tab/>
      </w:r>
      <w:r>
        <w:rPr>
          <w:rFonts w:ascii="Times New Roman" w:hAnsi="Times New Roman"/>
          <w:noProof/>
          <w:sz w:val="24"/>
        </w:rPr>
        <w:t>mise en place d’un mécanisme d’information des consommateurs (article 13)</w:t>
      </w:r>
      <w:bookmarkEnd w:id="45"/>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98/83/CE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91/676/CEE du Conseil du 12 décembre 1991 concernant la protection des eaux contre la pollution par les nitrates à partir de sources agricoles,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46" w:name="bookmark73"/>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bookmarkEnd w:id="46"/>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programmes de surveillance (article 6)</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identification des eaux polluées ou des eaux menacées et détermination des zones vulnérables pour ce qui est des nitrates (article 3)</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91/676/CEE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de programmes d’action et de codes de bonnes pratiques agricoles relatifs aux zones vulnérables pour ce qui est des nitrates (articles 4 et 5)</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91/676/CEE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Gestion des déchets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2008/98/CE du Parlement européen et du Conseil du 19 novembre 2008 relative aux déchets et abrogeant certaines directives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47" w:name="bookmark74"/>
      <w:r>
        <w:rPr>
          <w:rFonts w:ascii="Times New Roman" w:hAnsi="Times New Roman"/>
          <w:noProof/>
          <w:sz w:val="24"/>
        </w:rPr>
        <w:t>–</w:t>
      </w:r>
      <w:r>
        <w:rPr>
          <w:noProof/>
        </w:rPr>
        <w:tab/>
      </w:r>
      <w:r>
        <w:rPr>
          <w:rFonts w:ascii="Times New Roman" w:hAnsi="Times New Roman"/>
          <w:noProof/>
          <w:sz w:val="24"/>
        </w:rPr>
        <w:t>élaboration de plans de gestion des déchets conformément à la hiérarchie des déchets à cinq niveaux et de programmes de prévention des déchets (chapitre V)</w:t>
      </w:r>
      <w:bookmarkEnd w:id="47"/>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2008/98/CE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mécanisme de recouvrement total des coûts selon les principes du pollueur-payeur et de la responsabilité élargie du producteur (article 14)</w:t>
      </w:r>
    </w:p>
    <w:p>
      <w:pPr>
        <w:spacing w:after="0" w:line="360" w:lineRule="auto"/>
        <w:ind w:left="567" w:hanging="567"/>
        <w:rPr>
          <w:rFonts w:ascii="Times New Roman" w:hAnsi="Times New Roman"/>
          <w:noProof/>
          <w:sz w:val="24"/>
          <w:highlight w:val="green"/>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2008/98/CE doivent être mises en œuvre dans les six ans qui suivent l’entrée en vigueur du présent accord.</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pour les établissements/entreprises procédant à des opérations d’élimination ou de valorisation, d’un système d’autorisation comportant des obligations spécifiques pour la gestion des déchets dangereux (chapitre IV)</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création d’un registre des établissements et entreprises assurant la collecte et le transport de déchets (chapitre IV)</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2008/98/CE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1999/31/CE du Conseil du 26 avril 1999 concernant la mise en décharge des déchets,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classification des décharges (article 4)</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d’une stratégie nationale afin de réduire la quantité de déchets municipaux biodégradables mis en décharge (article 5)</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de demandes d’autorisation ainsi que de procédures d’admission des déchets (articles 5 à 7, 11, 12 et 14)</w:t>
      </w:r>
    </w:p>
    <w:p>
      <w:pPr>
        <w:spacing w:after="0" w:line="360" w:lineRule="auto"/>
        <w:ind w:left="567" w:hanging="567"/>
        <w:rPr>
          <w:rFonts w:ascii="Times New Roman" w:hAnsi="Times New Roman"/>
          <w:noProof/>
          <w:sz w:val="24"/>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établissement de procédures de contrôle et de surveillance des décharges en phase d’exploitation et de procédures de désaffectation et de gestion après désaffectation (articles 12 et 13)</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cette directive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de plans d’aménagement des décharges existantes (article 14)</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1999/31/CE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mécanisme d’établissement des coûts (article 10)</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1999/31/CE doivent être mises en œuvre dans les trois ans qui suivent l’entrée en vigueur du présent accord.</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de mesures garantissant que les déchets sont traités avant leur mise en décharge (article 6)</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1999/31/CE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2006/21/CE du Parlement européen et du Conseil du 15 mars 2006 concernant la gestion des déchets de l’industrie extractive et modifiant la directive 2004/35/CE, développée par les décisions 2009/335/CE, 2009/337/CE, 2009/359/CE et 2009/360/CE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garantissant que les exploitants établissent des plans de gestion des déchets (identification et classification des installations de gestion des déchets; caractérisation des déchets) (articles 4 et 9)</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2006/21/CE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d’autorisation, de garanties financières et d’un système d’inspection (articles 7, 14 et 17)</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2006/21/CE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procédures de gestion et de surveillance des trous d’excavation (article 10)</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procédures de fermeture et de suivi après fermeture applicables aux installations de gestion des déchets d’extraction (article 12)</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constitution d’un inventaire des installations de gestion des déchets d’extraction fermées (article 20)</w:t>
      </w:r>
    </w:p>
    <w:p>
      <w:pPr>
        <w:spacing w:after="0" w:line="360" w:lineRule="auto"/>
        <w:rPr>
          <w:rFonts w:ascii="Times New Roman" w:hAnsi="Times New Roman"/>
          <w:noProof/>
          <w:sz w:val="24"/>
          <w:highlight w:val="green"/>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2006/21/CE doivent être mises en œuvre dans les six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Protection de la nature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2009/147/CE du Parlement européen et du Conseil du 30 novembre 2009 concernant la conservation des oiseaux sauvages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évaluation des espèces d’oiseaux qui nécessitent des mesures de conservation spéciale et des espèces migratrices dont la venue est régulière</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détermination et désignation de zones de protection spéciale pour des espèces d’oiseaux (article 4, paragraphes 1 et 4)</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mesures de conservation spéciale pour protéger les espèces migratrices dont la venue est régulière (article 4, paragraphe 2)</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2009/147/CE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 régime général de protection de toutes les espèces d’oiseaux sauvages, dont les espèces chassées constituent un sous-ensemble particulier, et interdiction de certains types de captures et de mises à mort (article 5, article 6, paragraphes 1 et 2, et article 8)</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2009/147/CE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92/43/CE du Conseil, du 21 mai 1992, concernant la conservation des habitats naturels ainsi que de la faune et de la flore sauvages,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réalisation d’un inventaire des sites, désignation de ces sites et établissement de priorités pour leur gestion (y compris l’achèvement de l’inventaire des sites pouvant faire partie du réseau Émeraude et l’établissement de mesures de protection et de gestion les concernant) (article 4)</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des mesures nécessaires pour la conservation de ces sites, y compris le cofinancement (articles 6 et 8)</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92/43/CE doivent être mises en œuvre dans les six ans qui suivent l’entrée en vigueur du présent accord.</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de surveillance de l’état de conservation des espèces et habitats (article 11)</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instauration d’un système de protection stricte des espèces figurant à l’annexe IV selon ce qui est pertinent pour la République d’Arménie (article 12)</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92/43/CE doivent être mises en œuvre dans les sept ans qui suivent l’entrée en vigueur du présent accord.</w:t>
      </w:r>
    </w:p>
    <w:p>
      <w:pPr>
        <w:spacing w:after="0" w:line="360" w:lineRule="auto"/>
        <w:ind w:left="567" w:hanging="567"/>
        <w:rPr>
          <w:rFonts w:ascii="Times New Roman" w:hAnsi="Times New Roman"/>
          <w:noProof/>
          <w:sz w:val="24"/>
          <w:highlight w:val="green"/>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création d’un mécanisme favorisant l’éducation et l’information générale du public (article 22)</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92/43/CE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Pollution industrielle et risques industriels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2010/75/UE du Parlement européen et du Conseil du 24 novembre 2010 relative aux émissions industrielles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2010/75/UE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détermination des installations soumises à autorisation (annexe I)</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48" w:name="bookmark75"/>
      <w:r>
        <w:rPr>
          <w:rFonts w:ascii="Times New Roman" w:hAnsi="Times New Roman"/>
          <w:noProof/>
          <w:sz w:val="24"/>
        </w:rPr>
        <w:t>–</w:t>
      </w:r>
      <w:r>
        <w:rPr>
          <w:noProof/>
        </w:rPr>
        <w:tab/>
      </w:r>
      <w:r>
        <w:rPr>
          <w:rFonts w:ascii="Times New Roman" w:hAnsi="Times New Roman"/>
          <w:noProof/>
          <w:sz w:val="24"/>
        </w:rPr>
        <w:t>mise en place d’un système d’autorisation intégré (articles 4 à 6, 12, 21 et 24 et</w:t>
      </w:r>
      <w:bookmarkEnd w:id="48"/>
      <w:r>
        <w:rPr>
          <w:rFonts w:ascii="Times New Roman" w:hAnsi="Times New Roman"/>
          <w:noProof/>
          <w:sz w:val="24"/>
        </w:rPr>
        <w:t xml:space="preserve"> annexe IV)</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mécanisme de contrôle de la conformité [article 8, article 14, paragraphe 1, point d), et article 23, paragraphe 1]</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2010/75/UE doivent être mises en œuvre dans les six ans qui suivent l’entrée en vigueur du présent accord.</w:t>
      </w:r>
    </w:p>
    <w:p>
      <w:pPr>
        <w:spacing w:after="0" w:line="360" w:lineRule="auto"/>
        <w:ind w:left="567" w:hanging="567"/>
        <w:rPr>
          <w:rFonts w:ascii="Times New Roman" w:hAnsi="Times New Roman"/>
          <w:noProof/>
          <w:sz w:val="24"/>
          <w:highlight w:val="green"/>
        </w:rPr>
      </w:pPr>
      <w:bookmarkStart w:id="49" w:name="bookmark76"/>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 xml:space="preserve">mise en œuvre des meilleures techniques disponibles (MTD) compte tenu des conclusions sur les MTD des </w:t>
      </w:r>
      <w:bookmarkStart w:id="50" w:name="bookmark77"/>
      <w:bookmarkEnd w:id="49"/>
      <w:r>
        <w:rPr>
          <w:rFonts w:ascii="Times New Roman" w:hAnsi="Times New Roman"/>
          <w:noProof/>
          <w:sz w:val="24"/>
        </w:rPr>
        <w:t>documents de référence sur les meilleures techniques disponibles (article 14, paragraphes 3 à 6, et article 15, paragraphes 2 à 4)</w:t>
      </w:r>
      <w:bookmarkEnd w:id="50"/>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bookmarkStart w:id="51" w:name="bookmark78"/>
      <w:r>
        <w:rPr>
          <w:rFonts w:ascii="Times New Roman" w:hAnsi="Times New Roman"/>
          <w:noProof/>
          <w:sz w:val="24"/>
        </w:rPr>
        <w:t>–</w:t>
      </w:r>
      <w:r>
        <w:rPr>
          <w:noProof/>
        </w:rPr>
        <w:tab/>
      </w:r>
      <w:r>
        <w:rPr>
          <w:rFonts w:ascii="Times New Roman" w:hAnsi="Times New Roman"/>
          <w:noProof/>
          <w:sz w:val="24"/>
        </w:rPr>
        <w:t>établissement de valeurs limites d’émission applicables aux installations de combustion (article 30 et annexe V)</w:t>
      </w:r>
      <w:bookmarkEnd w:id="51"/>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de programmes visant à réduire les émissions annuelles totales des installations existantes (ou fixation de valeurs limites d’émission pour les installations existantes) (article 32)</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2010/75/UE doivent être mises en œuvre dans les six ans qui suivent l’entrée en vigueur du présent accord pour les nouvelles installations et dans les treize ans qui suivent l’entrée en vigueur du présent accord pour les installations existantes.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2012/18/UE du Parlement européen et du Conseil du 4 juillet 2012 concernant la maîtrise des dangers liés aux accidents majeurs impliquant des substances dangereuses, modifiant puis abrogeant la directive 96/82/CE du Conseil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mécanismes de coordination efficaces entre les autorités concernées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systèmes pour l’enregistrement des informations relatives aux installations concernées et la communication d’informations sur les accidents majeurs (articles 14 et 16)</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de la directive 2012/18/UE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Gestion des produits chimiques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649/2012 du Parlement européen et du Conseil du 4 juillet 2012 concernant les exportations et importations de produits chimiques dangereux</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 règlement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de la procédure de notification d’exportation (article 8)</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de procédures concernant le traitement des notifications d’exportation reçues d’autres pays (article 9)</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procédures relatives à l’élaboration et à la présentation de notifications concernant les mesures de réglementation finales (article 11)</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procédures relatives à l’élaboration et à la présentation des décisions relatives à l’importation (article 13)</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de la procédure PIC pour l’exportation de certains produits chimiques, en particulier ceux qui sont énumérés à l’annexe III de la convention de Rotterdam (article 14)</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des prescriptions en matière d’étiquetage et d’emballage pour les produits chimiques exportés (article 17)</w:t>
      </w:r>
    </w:p>
    <w:p>
      <w:pPr>
        <w:spacing w:after="0" w:line="360" w:lineRule="auto"/>
        <w:rPr>
          <w:rFonts w:ascii="Times New Roman" w:hAnsi="Times New Roman"/>
          <w:noProof/>
          <w:sz w:val="24"/>
          <w:highlight w:val="green"/>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désignation des autorités nationales qui contrôlent les importations et les exportations de produits chimiques (article 18)</w:t>
      </w:r>
    </w:p>
    <w:p>
      <w:pPr>
        <w:spacing w:after="0" w:line="360" w:lineRule="auto"/>
        <w:ind w:left="567" w:hanging="567"/>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du règlement (UE) nº 649/2012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1272/2008 du Parlement européen et du Conseil du 16 décembre 2008 relatif à la classification, à l’étiquetage et à l’emballage des substances et des mélanges, modifiant et abrogeant les directives 67/548/CEE et 1999/45/CE et modifiant le règlement (CE) nº 1907/2006</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 règlement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bookmarkStart w:id="52" w:name="bookmark79"/>
      <w:r>
        <w:rPr>
          <w:rFonts w:ascii="Times New Roman" w:hAnsi="Times New Roman"/>
          <w:noProof/>
          <w:sz w:val="24"/>
        </w:rPr>
        <w:t>–</w:t>
      </w:r>
      <w:r>
        <w:rPr>
          <w:noProof/>
        </w:rPr>
        <w:tab/>
      </w:r>
      <w:r>
        <w:rPr>
          <w:rFonts w:ascii="Times New Roman" w:hAnsi="Times New Roman"/>
          <w:noProof/>
          <w:sz w:val="24"/>
        </w:rPr>
        <w:t>désignation de la ou des autorités compétentes</w:t>
      </w:r>
      <w:bookmarkEnd w:id="52"/>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de la classification, de l’étiquetage et de l’emballage des substances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du règlement (CE) nº 1272/2008 doivent être mises en œuvre dans les quatre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de la classification, de l’étiquetage et de l’emballage des mélanges</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du règlement (CE) nº 1272/2008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jc w:val="center"/>
        <w:rPr>
          <w:rFonts w:ascii="Times New Roman" w:hAnsi="Times New Roman"/>
          <w:noProof/>
          <w:sz w:val="24"/>
        </w:rPr>
        <w:sectPr>
          <w:headerReference w:type="even" r:id="rId34"/>
          <w:headerReference w:type="default" r:id="rId35"/>
          <w:footerReference w:type="even" r:id="rId36"/>
          <w:footerReference w:type="default" r:id="rId37"/>
          <w:headerReference w:type="first" r:id="rId38"/>
          <w:footerReference w:type="first" r:id="rId39"/>
          <w:pgSz w:w="11909" w:h="16834" w:code="9"/>
          <w:pgMar w:top="1134" w:right="1134" w:bottom="1134" w:left="1134" w:header="1134" w:footer="1134" w:gutter="0"/>
          <w:pgNumType w:start="1"/>
          <w:cols w:space="72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IV</w:t>
      </w:r>
    </w:p>
    <w:p>
      <w:pPr>
        <w:spacing w:after="0" w:line="360" w:lineRule="auto"/>
        <w:rPr>
          <w:rFonts w:ascii="Times New Roman" w:hAnsi="Times New Roman"/>
          <w:noProof/>
          <w:sz w:val="24"/>
          <w:highlight w:val="red"/>
        </w:rPr>
      </w:pPr>
    </w:p>
    <w:p>
      <w:pPr>
        <w:spacing w:after="0" w:line="360" w:lineRule="auto"/>
        <w:rPr>
          <w:rFonts w:ascii="Times New Roman" w:hAnsi="Times New Roman"/>
          <w:noProof/>
          <w:sz w:val="24"/>
          <w:highlight w:val="red"/>
        </w:rPr>
      </w:pPr>
    </w:p>
    <w:p>
      <w:pPr>
        <w:spacing w:after="0" w:line="360" w:lineRule="auto"/>
        <w:jc w:val="center"/>
        <w:rPr>
          <w:rFonts w:ascii="Times New Roman" w:hAnsi="Times New Roman"/>
          <w:noProof/>
          <w:sz w:val="24"/>
        </w:rPr>
      </w:pPr>
      <w:r>
        <w:rPr>
          <w:rFonts w:ascii="Times New Roman" w:hAnsi="Times New Roman"/>
          <w:noProof/>
          <w:sz w:val="24"/>
        </w:rPr>
        <w:t>relative au CHAPITRE 4 «ACTION POUR LE CLIMAT» 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2003/87/CE du Parlement européen et du Conseil du 13 octobre 2003 établissant un système d’échange de quotas d’émission de gaz à effet de serre dans la Communauté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 système permettant de déterminer les installations concernées et les gaz à effet de serre (annexes I et II)</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systèmes de surveillance, de déclaration, de vérification et de mise en œuvre ainsi que de procédures de consultation du public (articles 14 et 15, article 16, paragraphe 1, et article 17)</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2003/87/CE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601/2012 de la Commission du 21 juin 2012 relatif à la surveillance et à la déclaration des émissions de gaz à effet de serre au titre de la directive 2003/87/CE du Parlement européen et du Conseil</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(UE) nº 601/2012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600/2012 de la Commission du 21 juin 2012 concernant la vérification des déclarations d’émissions de gaz à effet de serre et des déclarations relatives aux tonnes-kilomètres et l’accréditation des vérificateurs conformément à la directive 2003/87/CE du Parlement européen et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600/2012 doivent être mises en œuvre dans les huit ans qui suivent l’entrée en vigueur du présent accord.</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Dans le cas des activités aériennes et de leurs émissions, la mise en œuvre des dispositions de la directive 2003/87/CE, du règlement (UE) nº 601/2012 et du règlement (UE) nº 600/2012 prévue par le présent accord est subordonnée à l’issue des délibérations au sein de l’OACI concernant un régime mondial de mesures basées sur le marché.</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525/2013 du Parlement européen et du Conseil du 21 mai 2013 relatif à un mécanisme pour la surveillance et la déclaration des émissions de gaz à effet de serre et pour la déclaration, au niveau national et au niveau de l’Union, d’autres informations ayant trait au changement climatique et abrogeant la décision nº 280/2004/CE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 règlement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 système d’inventaire national (article 5)</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d’un système national pour les politiques et mesures et les projections (article 12)</w:t>
      </w:r>
    </w:p>
    <w:p>
      <w:pPr>
        <w:spacing w:after="0" w:line="360" w:lineRule="auto"/>
        <w:ind w:left="567" w:hanging="567"/>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du règlement (UE) nº 525/2013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517/2014 du Parlement européen et du Conseil du 16 avril 2014 relatif aux gaz à effet de serre fluorés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 règlement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de prévention des émissions (article 3), établissement de règles relatives aux contrôles d’étanchéité conformément aux articles 4 et 5 et instauration d’un système de registres conformément à l’article 6</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réalisation de la récupération selon les règles prévues aux articles 8 et 9</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définition/adaptation des exigences nationales en matière de formation et de certification applicables aux entreprises et au personnel concernés (article 10)</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d’étiquetage des produits et des équipements qui contiennent des gaz à effet de serre fluorés ou qui en sont tributaires (article 12)</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de systèmes de déclaration permettant d’obtenir des données relatives aux émissions provenant des secteurs pertinents (articles 19 et 20)</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élaboration d’un système de répression des infractions (article 25)</w:t>
      </w:r>
    </w:p>
    <w:p>
      <w:pPr>
        <w:spacing w:after="0" w:line="360" w:lineRule="auto"/>
        <w:ind w:left="567" w:hanging="567"/>
        <w:rPr>
          <w:rFonts w:ascii="Times New Roman" w:hAnsi="Times New Roman"/>
          <w:noProof/>
          <w:sz w:val="24"/>
        </w:rPr>
      </w:pPr>
    </w:p>
    <w:p>
      <w:pPr>
        <w:rPr>
          <w:rFonts w:ascii="Times New Roman" w:hAnsi="Times New Roman"/>
          <w:noProof/>
          <w:sz w:val="24"/>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du règlement (UE) nº 517/2014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1005/2009 du Parlement européen et du Conseil du 16 septembre 2009 relatif à des substances qui appauvrissent la couche d’ozone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 règlement s’appliquent:</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d’actes législatifs nationaux et désignation de la ou des autorités compétentes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d’une interdiction concernant la production de substances réglementées, sauf pour des usages spécifiques, et, jusqu’au [1</w:t>
      </w:r>
      <w:r>
        <w:rPr>
          <w:rFonts w:ascii="Times New Roman" w:hAnsi="Times New Roman"/>
          <w:noProof/>
          <w:sz w:val="24"/>
          <w:vertAlign w:val="superscript"/>
        </w:rPr>
        <w:t>er</w:t>
      </w:r>
      <w:r>
        <w:rPr>
          <w:rFonts w:ascii="Times New Roman" w:hAnsi="Times New Roman"/>
          <w:noProof/>
          <w:sz w:val="24"/>
        </w:rPr>
        <w:t xml:space="preserve"> janvier 2019], d’hydrochlorofluorocarbures (article 4)</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définition des conditions de production, de mise sur le marché et d’utilisation des substances réglementées pour des utilisations en tant qu’intermédiaires de synthèse ou agents de fabrication faisant l’objet de dérogations, pour des utilisations essentielles en laboratoire et à des fins d’analyse, et pour des utilisations critiques de halons, ainsi que des dérogations individuelles, y compris pour ce qui est des utilisations du bromure de méthyle en cas d’urgence (chapitre III)</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 système de licences pour l’importation et l’exportation de substances réglementées pour des utilisations faisant l’objet de dérogations (chapitre IV), ainsi que d’obligations en matière de communication de données pour les entreprises (articles 26 et 27)</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instauration de l’obligation de récupérer, recycler, régénérer et détruire les substances réglementées utilisées (article 22)</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procédures de contrôle et d’inspection des fuites de substances réglementées (article 23)</w:t>
      </w:r>
    </w:p>
    <w:p>
      <w:pPr>
        <w:spacing w:after="0" w:line="360" w:lineRule="auto"/>
        <w:ind w:left="567" w:hanging="567"/>
        <w:rPr>
          <w:rFonts w:ascii="Times New Roman" w:hAnsi="Times New Roman"/>
          <w:noProof/>
          <w:sz w:val="24"/>
        </w:rPr>
      </w:pPr>
    </w:p>
    <w:p>
      <w:pPr>
        <w:rPr>
          <w:rFonts w:ascii="Times New Roman" w:hAnsi="Times New Roman"/>
          <w:noProof/>
          <w:sz w:val="24"/>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en question du règlement (CE) nº 1005/2009 doivent être mises en œuvre dans les six ans qui suivent l’entrée en vigueur du présent accord.</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place d’une interdiction concernant la mise sur le marché et l’utilisation de substances réglementées, à l’exception des hydrochlorofluorocarbures régénérés qui pourraient être utilisés comme réfrigérants jusqu’au 1</w:t>
      </w:r>
      <w:r>
        <w:rPr>
          <w:rFonts w:ascii="Times New Roman" w:hAnsi="Times New Roman"/>
          <w:noProof/>
          <w:sz w:val="24"/>
          <w:vertAlign w:val="superscript"/>
        </w:rPr>
        <w:t>er</w:t>
      </w:r>
      <w:r>
        <w:rPr>
          <w:rFonts w:ascii="Times New Roman" w:hAnsi="Times New Roman"/>
          <w:noProof/>
          <w:sz w:val="24"/>
        </w:rPr>
        <w:t xml:space="preserve"> janvier 2030 (articles 5 et 11)</w:t>
      </w:r>
    </w:p>
    <w:p>
      <w:pPr>
        <w:spacing w:after="0" w:line="360" w:lineRule="auto"/>
        <w:ind w:left="567" w:hanging="567"/>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du règlement (CE) nº 1005/2009 doivent être mises en œuvre au plus tard le 1</w:t>
      </w:r>
      <w:r>
        <w:rPr>
          <w:rFonts w:ascii="Times New Roman" w:hAnsi="Times New Roman"/>
          <w:noProof/>
          <w:sz w:val="24"/>
          <w:vertAlign w:val="superscript"/>
        </w:rPr>
        <w:t>er</w:t>
      </w:r>
      <w:r>
        <w:rPr>
          <w:rFonts w:ascii="Times New Roman" w:hAnsi="Times New Roman"/>
          <w:noProof/>
          <w:sz w:val="24"/>
        </w:rPr>
        <w:t xml:space="preserve"> janvier 2030.</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jc w:val="center"/>
        <w:rPr>
          <w:rFonts w:ascii="Times New Roman" w:hAnsi="Times New Roman"/>
          <w:noProof/>
          <w:sz w:val="24"/>
        </w:rPr>
        <w:sectPr>
          <w:headerReference w:type="even" r:id="rId40"/>
          <w:headerReference w:type="default" r:id="rId41"/>
          <w:footerReference w:type="even" r:id="rId42"/>
          <w:footerReference w:type="default" r:id="rId43"/>
          <w:headerReference w:type="first" r:id="rId44"/>
          <w:footerReference w:type="first" r:id="rId45"/>
          <w:pgSz w:w="11909" w:h="16834" w:code="9"/>
          <w:pgMar w:top="1134" w:right="1134" w:bottom="1134" w:left="1134" w:header="1134" w:footer="1134" w:gutter="0"/>
          <w:pgNumType w:start="1"/>
          <w:cols w:space="72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V</w:t>
      </w:r>
    </w:p>
    <w:p>
      <w:pPr>
        <w:spacing w:after="0" w:line="360" w:lineRule="auto"/>
        <w:jc w:val="center"/>
        <w:rPr>
          <w:rFonts w:ascii="Times New Roman" w:hAnsi="Times New Roman"/>
          <w:noProof/>
          <w:sz w:val="24"/>
          <w:highlight w:val="red"/>
        </w:rPr>
      </w:pPr>
    </w:p>
    <w:p>
      <w:pPr>
        <w:spacing w:after="0" w:line="360" w:lineRule="auto"/>
        <w:jc w:val="center"/>
        <w:rPr>
          <w:rFonts w:ascii="Times New Roman" w:hAnsi="Times New Roman"/>
          <w:noProof/>
          <w:sz w:val="24"/>
          <w:highlight w:val="red"/>
        </w:rPr>
      </w:pPr>
    </w:p>
    <w:p>
      <w:pPr>
        <w:spacing w:after="0" w:line="360" w:lineRule="auto"/>
        <w:jc w:val="center"/>
        <w:rPr>
          <w:rFonts w:ascii="Times New Roman" w:hAnsi="Times New Roman"/>
          <w:noProof/>
          <w:sz w:val="24"/>
        </w:rPr>
      </w:pPr>
      <w:r>
        <w:rPr>
          <w:rFonts w:ascii="Times New Roman" w:hAnsi="Times New Roman"/>
          <w:noProof/>
          <w:sz w:val="24"/>
        </w:rPr>
        <w:t>relative au CHAPITRE 8 «COOPÉRATION DANS LE DOMAINE DE LA SOCIÉTÉ DE L’INFORMATION» 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2002/21/CE du Parlement européen et du Conseil du 7 mars 2002 relative à un cadre réglementaire commun pour les réseaux et services de communications électroniques (directive «cadre»)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renforcement de l’indépendance et de la capacité administrative des autorités réglementaires nationales dans le domaine des communications électroniques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procédures de consultation publique pour les nouvelles mesures réglementaires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établissement de mécanismes efficaces de recours contre les décisions des autorités réglementaires nationales dans le domaine des communications électroniques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définition des marchés pertinents de produits et de services du secteur des communications électroniques qui sont susceptibles de faire l’objet d’une régulation ex ante et analyse de ces marchés en vue de déterminer s’il existe des entreprises disposant d’une puissance significative sur ces marchés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2002/21/CE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2002/20/CE du Parlement européen et du Conseil du 7 mars 2002 relative à l’autorisation de réseaux et de services de communications électroniques (directive «autorisation»),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d’une réglementation prévoyant des autorisations générales et restreignant la nécessité de licences individuelles à des cas spécifiques dûment justifiés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 calendrier de mise en œuvre sera fixé par le conseil de partenariat après la signature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2002/19/CE du Parlement européen et du Conseil du 7 mars 2002 relative à l’accès aux réseaux de communications électroniques et aux ressources associées, ainsi qu’à leur interconnexion (directive «accès»),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Sur la base de l’analyse de marché effectuée conformément à la directive 2002/21/CE, l’autorité réglementaire nationale dans le domaine des communications électroniques doit imposer aux opérateurs dont il a été montré qu’ils disposent d’une puissance significative sur les marchés concernés des obligations réglementaires appropriées concernant: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l’accès à des ressources de réseau spécifiques et leur utilisation</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le contrôle des prix en ce qui concerne les redevances d’accès et d’interconnexion, y compris des obligations concernant l’orientation en fonction des coûts</w:t>
      </w:r>
    </w:p>
    <w:p>
      <w:pPr>
        <w:spacing w:after="0" w:line="360" w:lineRule="auto"/>
        <w:ind w:left="567" w:hanging="567"/>
        <w:rPr>
          <w:rFonts w:ascii="Times New Roman" w:hAnsi="Times New Roman"/>
          <w:noProof/>
          <w:sz w:val="24"/>
          <w:highlight w:val="green"/>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la transparence, la non-discrimination et la séparation comptable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2002/19/CE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2002/22/CE du Parlement européen et du Conseil du 7 mars 2002 concernant le service universel et les droits des utilisateurs au regard des réseaux et services de communications électroniques (directive «service universel»),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d’une réglementation concernant les obligations de service universel, y compris l’établissement de mécanismes de calcul des coûts et de financement</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garantie du respect des intérêts et des droits des utilisateurs, en particulier par l’introduction de la portabilité des numéros et du numéro d’appel d’urgence unique européen 112</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2002/22/CE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2002/58/CE du Parlement européen et du Conseil du 12 juillet 2002 concernant le traitement des données à caractère personnel et la protection de la vie privée dans le secteur des communications électroniques (directive vie privée et communications électroniques), telle que modifiée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mise en œuvre d’une réglementation pour assurer la protection des droits et libertés fondamentaux, en particulier le droit à la vie privée, dans le cadre du traitement de données à caractère personnel dans le secteur des communications électroniques, ainsi que la libre circulation de ces données et des équipements et services de communications électroniques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2002/58/CE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Décision nº 676/2002/CE du Parlement européen et du Conseil du 7 mars 2002 relative à un cadre réglementaire pour la politique en matière de spectre radioélectrique dans la Communauté européenne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décision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adoption d’une politique et d’une réglementation assurant la disponibilité et l’utilisation efficace harmonisées du spectre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mesures résultant de l’application de la décision nº 676/2002/CE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2015/2120 du Parlement européen et du Conseil du 25 novembre 2015 établissant des mesures relatives à l’accès à un internet ouvert et modifiant la directive 2002/22/CE concernant le service universel et les droits des utilisateurs au regard des réseaux et services de communications électroniques et le règlement (UE) nº 531/2012 concernant l’itinérance sur les réseaux publics de communications mobiles à l’intérieur de l’Union</w:t>
      </w:r>
    </w:p>
    <w:p>
      <w:pPr>
        <w:spacing w:after="0" w:line="360" w:lineRule="auto"/>
        <w:rPr>
          <w:rFonts w:ascii="Times New Roman" w:hAnsi="Times New Roman"/>
          <w:noProof/>
          <w:sz w:val="24"/>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du règlement (UE) 2015/2120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2000/31/CE du Parlement européen et du Conseil du 8 juin 2000 relative à certains aspects juridiques des services de la société de l’information, et notamment du commerce électronique, dans le marché intérieur («directive sur le commerce électronique»)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Les dispositions suivantes de cette directive s’appliquent:</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promotion du développement du commerce électronique</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suppression des obstacles à la fourniture transfrontière de services de la société de l’information</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fourniture d’une sécurité juridique aux prestataires de services de la société de l’information</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harmonisation des limitations de responsabilité des prestataires de services agissant en tant qu’intermédiaires dans la mise à disposition du simple transport, de la forme de stockage dite «caching» ou de l’hébergement et indication de l’absence d’obligation générale en matière de surveillance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en question de la directive 2000/31/CE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(UE) nº 910/2014 du Parlement européen et du Conseil du 23 juillet 2014 sur l’identification électronique et les services de confiance pour les transactions électroniques au sein du marché intérieur et abrogeant la directive 1999/93/CE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Actes d’exécution relatifs aux services de confiance visés dans le règlement (UE) nº 910/2014:</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d’exécution (UE) 2015/806 de la Commission du 22 mai 2015 établissant les spécifications relatives à la forme du label de confiance de l’Union pour les services de confiance qualifiés</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Décision d’exécution (UE) 2015/1505 de la Commission du 8 septembre 2015 établissant les spécifications techniques et les formats relatifs aux listes de confiance visées à l’article 22, paragraphe 5, du règlement (UE) nº 910/2014 du Parlement européen et du Conseil sur l’identification électronique et les services de confiance pour les transactions électroniques au sein du marché intérieur</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Décision d’exécution (UE) 2015/1506 de la Commission du 8 septembre 2015 établissant les spécifications relatives aux formats des signatures électroniques avancées et des cachets électroniques avancés devant être reconnus par les organismes du secteur public visés à l’article 27, paragraphe 5, et à l’article 37, paragraphe 5, du règlement (UE) nº 910/2014 du Parlement européen et du Conseil sur l’identification électronique et les services de confiance pour les transactions électroniques au sein du marché intérieur</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Décision d’exécution (UE) 2016/650 de la Commission du 25 avril 2016 établissant des normes relatives à l’évaluation de la sécurité des dispositifs qualifiés de création de signature électronique et de cachet électronique conformément à l’article 30, paragraphe 3, et à l’article 39, paragraphe 2, du règlement (UE) nº 910/2014 du Parlement européen et du Conseil sur l’identification électronique et les services de confiance pour les transactions électroniques au sein du marché intérieur</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Actes d’exécution relatifs au chapitre du règlement (UE) nº 910/2014 consacré à l’identification électronique:</w:t>
      </w:r>
    </w:p>
    <w:p>
      <w:pPr>
        <w:spacing w:after="0" w:line="360" w:lineRule="auto"/>
        <w:rPr>
          <w:rFonts w:ascii="Times New Roman" w:hAnsi="Times New Roman"/>
          <w:noProof/>
          <w:sz w:val="24"/>
        </w:rPr>
      </w:pPr>
    </w:p>
    <w:p>
      <w:pPr>
        <w:rPr>
          <w:rFonts w:ascii="Times New Roman" w:hAnsi="Times New Roman"/>
          <w:noProof/>
          <w:sz w:val="24"/>
          <w:highlight w:val="green"/>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Décision d’exécution (UE) 2015/296 de la Commission du 24 février 2015 établissant les modalités de coopération entre les États membres en matière d’identification électronique conformément à l’article 12, paragraphe 7, du règlement (UE) nº 910/2014 du Parlement européen et du Conseil sur l’identification électronique et les services de confiance pour les transactions électroniques au sein du marché intérieur</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d’exécution (UE) 2015/1501 de la Commission du 8 septembre 2015 sur le cadre d’interopérabilité visé à l’article 12, paragraphe 8, du règlement (UE) nº 910/2014 du Parlement européen et du Conseil sur l’identification électronique et les services de confiance pour les transactions électroniques au sein du marché intérieur</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Règlement d’exécution (UE) 2015/1502 de la Commission du 8 septembre 2015 fixant les spécifications techniques et procédures minimales relatives aux niveaux de garantie des moyens d’identification électronique visés à l’article 8, paragraphe 3, du règlement (UE) nº 910/2014 du Parlement européen et du Conseil sur l’identification électronique et les services de confiance pour les transactions électroniques au sein du marché intérieur</w:t>
      </w:r>
    </w:p>
    <w:p>
      <w:pPr>
        <w:spacing w:after="0" w:line="360" w:lineRule="auto"/>
        <w:ind w:left="567" w:hanging="567"/>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Décision d’exécution (UE) 2015/1984 de la Commission du 3 novembre 2015 définissant les circonstances, les formats et les procédures pour les notifications visés à l’article 9, paragraphe 5, du règlement (UE) nº 910/2014 du Parlement européen et du Conseil sur l’identification électronique et les services de confiance pour les transactions électroniques au sein du marché intérieur</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 calendrier de mise en œuvre sera fixé par le conseil de partenariat après la signature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rPr>
          <w:rFonts w:ascii="Times New Roman" w:hAnsi="Times New Roman"/>
          <w:noProof/>
          <w:sz w:val="24"/>
        </w:rPr>
      </w:pPr>
    </w:p>
    <w:p>
      <w:pPr>
        <w:spacing w:after="0" w:line="360" w:lineRule="auto"/>
        <w:rPr>
          <w:rFonts w:ascii="Times New Roman" w:hAnsi="Times New Roman"/>
          <w:noProof/>
          <w:sz w:val="24"/>
        </w:rPr>
        <w:sectPr>
          <w:headerReference w:type="even" r:id="rId46"/>
          <w:headerReference w:type="default" r:id="rId47"/>
          <w:footerReference w:type="even" r:id="rId48"/>
          <w:footerReference w:type="default" r:id="rId49"/>
          <w:headerReference w:type="first" r:id="rId50"/>
          <w:footerReference w:type="first" r:id="rId51"/>
          <w:pgSz w:w="11909" w:h="16834" w:code="9"/>
          <w:pgMar w:top="1134" w:right="1134" w:bottom="1134" w:left="1134" w:header="1134" w:footer="1134" w:gutter="0"/>
          <w:pgNumType w:start="1"/>
          <w:cols w:space="72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VI</w:t>
      </w:r>
    </w:p>
    <w:p>
      <w:pPr>
        <w:spacing w:after="0" w:line="360" w:lineRule="auto"/>
        <w:jc w:val="center"/>
        <w:rPr>
          <w:rFonts w:ascii="Times New Roman" w:hAnsi="Times New Roman"/>
          <w:noProof/>
          <w:sz w:val="24"/>
          <w:highlight w:val="red"/>
        </w:rPr>
      </w:pPr>
    </w:p>
    <w:p>
      <w:pPr>
        <w:spacing w:after="0" w:line="360" w:lineRule="auto"/>
        <w:jc w:val="center"/>
        <w:rPr>
          <w:rFonts w:ascii="Times New Roman" w:hAnsi="Times New Roman"/>
          <w:noProof/>
          <w:sz w:val="24"/>
          <w:highlight w:val="red"/>
        </w:rPr>
      </w:pPr>
    </w:p>
    <w:p>
      <w:pPr>
        <w:spacing w:after="0" w:line="360" w:lineRule="auto"/>
        <w:jc w:val="center"/>
        <w:rPr>
          <w:rFonts w:ascii="Times New Roman" w:hAnsi="Times New Roman"/>
          <w:noProof/>
          <w:sz w:val="24"/>
        </w:rPr>
      </w:pPr>
      <w:r>
        <w:rPr>
          <w:rFonts w:ascii="Times New Roman" w:hAnsi="Times New Roman"/>
          <w:noProof/>
          <w:sz w:val="24"/>
        </w:rPr>
        <w:t>relative au CHAPITRE 14 «PROTECTION DES CONSOMMATEURS» 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87/357/CEE du Conseil du 25 juin 1987 concernant le rapprochement des législations des États membres relatives aux produits qui, n’ayant pas l’apparence de ce qu’ils sont, compromettent la santé ou la sécurité des consommateurs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87/357/CEE, y compris de ses actes d’exécution,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93/13/CEE du Conseil, du 5 avril 1993, concernant les clauses abusives dans les contrats conclus avec les consommateurs, telle que modifiée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93/13/CEE,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98/6/CE du Parlement européen et du Conseil du 16 février 1998 relative à la protection des consommateurs en matière d’indication des prix des produits offerts aux consommateurs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98/6/CE,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1999/44/CE du Parlement européen et du Conseil, du 25 mai 1999, sur certains aspects de la vente et des garanties des biens de consommation, telle que modifiée</w:t>
      </w:r>
    </w:p>
    <w:p>
      <w:pPr>
        <w:spacing w:after="0" w:line="360" w:lineRule="auto"/>
        <w:rPr>
          <w:rFonts w:ascii="Times New Roman" w:hAnsi="Times New Roman"/>
          <w:noProof/>
          <w:sz w:val="24"/>
          <w:highlight w:val="yellow"/>
        </w:rPr>
      </w:pPr>
    </w:p>
    <w:p>
      <w:pPr>
        <w:rPr>
          <w:rFonts w:ascii="Times New Roman" w:hAnsi="Times New Roman"/>
          <w:noProof/>
          <w:sz w:val="24"/>
          <w:highlight w:val="yellow"/>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1999/44/CE,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2001/95/CE du Parlement européen et du Conseil du 3 décembre 2001 relative à la sécurité générale des produits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2001/95/CE, y compris de ses actes d’exécution,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2002/65/CE du Parlement européen et du Conseil du 23 septembre 2002 concernant la commercialisation à distance de services financiers auprès des consommateurs, et modifiant les directives 90/619/CEE du Conseil, 97/7/CE et 98/27/CE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2002/65/CE, y compris de ses actes d’exécution, doivent être mises en œuvre dans les trois ans qui suivent l’entrée en vigueur du présent accord en République d’Arménie et dans les huit ans qui suivent cette entrée en vigueur sur le plan transfrontière.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2005/29/CE du Parlement européen et du Conseil du 11 mai 2005 relative aux pratiques commerciales déloyales des entreprises vis-à-vis des consommateurs dans le marché intérieur et modifiant la directive 84/450/CEE du Conseil et les directives 97/7/CE, 98/27/CE et 2002/65/CE du Parlement européen et du Conseil et le règlement (CE) nº 2006/2004 du Parlement européen et du Conseil («directive sur les pratiques commerciales déloyales»)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2005/29/CE,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2006/114/CE du Parlement européen et du Conseil du 12 décembre 2006 en matière de publicité trompeuse et de publicité comparative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2006/114/CE,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Règlement (CE) nº 2006/2004 du Parlement européen et du Conseil du 27 octobre 2004 relatif à la coopération entre les autorités nationales chargées de veiller à l’application de la législation en matière de protection des consommateurs («règlement relatif à la coopération en matière de protection des consommateurs»)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(CE) nº 2006/2004, y compris de ses actes d’exécution,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2008/48/CE du Parlement européen et du Conseil du 23 avril 2008 concernant les contrats de crédit aux consommateurs et abrogeant la directive 87/102/CEE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2008/48/CE,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2008/122/CE du Parlement européen et du Conseil du 14 janvier 2009 relative à la protection des consommateurs en ce qui concerne certains aspects des contrats d’utilisation de biens à temps partagé, des contrats de produits de vacances à long terme et des contrats de revente et d’échange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2008/122/CE,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2009/22/CE du Parlement européen et du Conseil du 23 avril 2009 relative aux actions en cessation en matière de protection des intérêts des consommateurs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2009/22/CE, y compris de ses actes d’exécution,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2011/83/UE du Parlement européen et du Conseil du 25 octobre 2011 relative aux droits des consommateurs, modifiant la directive 93/13/CEE du Conseil et la directive 1999/44/CE du Parlement européen et du Conseil et abrogeant la directive 85/577/CEE du Conseil et la directive 97/7/CE du Parlement européen et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2011/83/UE,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 xml:space="preserve">Règlement (UE) nº 524/2013 du Parlement européen et du Conseil du 21 mai 2013 relatif au règlement en ligne des litiges de consommation et modifiant le règlement (CE) nº 2006/2004 et la directive 2009/22/CE (règlement relatif au RLLC) </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du règlement (UE) nº 524/2013, y compris de ses actes d’exécution, doivent être mises en œuvre dans les huit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2013/11/UE du Parlement européen et du Conseil du 21 mai 2013 relative au règlement extrajudiciaire des litiges de consommation et modifiant le règlement (CE) nº 2006/2004 et la directive 2009/22/CE (directive relative au RELC)</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lastRenderedPageBreak/>
        <w:t>Calendrier: les dispositions de la directive 2013/11/UE,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Recommandation de la Commission du 11 juin 2013 relative à des principes communs applicables aux mécanismes de recours collectif en cessation et en réparation dans les États membres en cas de violation de droits conférés par le droit de l’Union (2013/396/UE)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la recommandation 2013/396/UE doit être mise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(UE) 2015/2302 du Parlement européen et du Conseil du 25 novembre 2015 relative aux voyages à forfait et aux prestations de voyage liées, modifiant le règlement (CE) nº 2006/2004 et la directive 2011/83/UE du Parlement européen et du Conseil et abrogeant la directive 90/314/CEE du Conseil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(UE) 2015/2302, y compris de ses actes d’exécution,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rPr>
          <w:rFonts w:ascii="Times New Roman" w:hAnsi="Times New Roman"/>
          <w:noProof/>
          <w:sz w:val="24"/>
        </w:rPr>
      </w:pPr>
    </w:p>
    <w:p>
      <w:pPr>
        <w:spacing w:after="0" w:line="360" w:lineRule="auto"/>
        <w:rPr>
          <w:rFonts w:ascii="Times New Roman" w:hAnsi="Times New Roman"/>
          <w:noProof/>
          <w:sz w:val="24"/>
        </w:rPr>
        <w:sectPr>
          <w:headerReference w:type="even" r:id="rId52"/>
          <w:headerReference w:type="default" r:id="rId53"/>
          <w:footerReference w:type="even" r:id="rId54"/>
          <w:footerReference w:type="default" r:id="rId55"/>
          <w:headerReference w:type="first" r:id="rId56"/>
          <w:footerReference w:type="first" r:id="rId57"/>
          <w:pgSz w:w="11909" w:h="16834" w:code="9"/>
          <w:pgMar w:top="1134" w:right="1134" w:bottom="1134" w:left="1134" w:header="1134" w:footer="1134" w:gutter="0"/>
          <w:pgNumType w:start="1"/>
          <w:cols w:space="720"/>
        </w:sectPr>
      </w:pPr>
    </w:p>
    <w:p>
      <w:pPr>
        <w:spacing w:after="0" w:line="360" w:lineRule="auto"/>
        <w:jc w:val="right"/>
        <w:rPr>
          <w:rFonts w:ascii="Times New Roman" w:hAnsi="Times New Roman"/>
          <w:b/>
          <w:bCs/>
          <w:noProof/>
          <w:sz w:val="24"/>
          <w:u w:val="single"/>
        </w:rPr>
      </w:pPr>
      <w:r>
        <w:rPr>
          <w:rFonts w:ascii="Times New Roman" w:hAnsi="Times New Roman"/>
          <w:b/>
          <w:noProof/>
          <w:sz w:val="24"/>
          <w:u w:val="single"/>
        </w:rPr>
        <w:lastRenderedPageBreak/>
        <w:t>ANNEXE VII</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 xml:space="preserve">relative au CHAPITRE 15 «EMPLOI, POLITIQUE SOCIALE ET ÉGALITÉ DES CHANCES» </w:t>
      </w:r>
      <w:r>
        <w:rPr>
          <w:rFonts w:ascii="Times New Roman" w:hAnsi="Times New Roman"/>
          <w:noProof/>
          <w:sz w:val="24"/>
        </w:rPr>
        <w:br/>
        <w:t>du TITRE V «AUTRES POLITIQUES DE COOPÉRATION»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La République d’Arménie s’engage à rapprocher progressivement, dans les délais impartis, sa législation des textes législatifs de l’Union européenne et des instruments internationaux énumérés ci-après.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Droit du travail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91/533/CEE du Conseil, du 14 octobre 1991, relative à l’obligation de l’employeur d’informer le travailleur des conditions applicables au contrat ou à la relation de travail.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91/533/CEE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1999/70/CE du Conseil du 28 juin 1999 concernant l’accord-cadre CES, UNICE et CEEP sur le travail à durée déterminée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1999/70/CE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97/81/CE du Conseil du 15 décembre 1997 concernant l’accord-cadre sur le travail à temps partiel conclu par l’UNICE, le CEEP et la CES - Annexe: Accord-cadre sur le travail à temps partiel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97/81/CE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91/383/CEE du Conseil, du 25 juin 1991, complétant les mesures visant à promouvoir l’amélioration de la sécurité et de la santé au travail des travailleurs ayant une relation de travail à durée déterminée ou une relation de travail intérimaire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91/383/CEE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98/59/CE du Conseil du 20 juillet 1998 concernant le rapprochement des législations des États membres relatives aux licenciements collectifs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98/59/CE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2001/23/CE du Conseil du 12 mars 2001 concernant le rapprochement des législations des États membres relatives au maintien des droits des travailleurs en cas de transfert d’entreprises, d’établissements ou de parties d’entreprises ou d’établissements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2001/23/CE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2002/14/CE du Parlement européen et du Conseil du 11 mars 2002 établissant un cadre général relatif à l’information et la consultation des travailleurs dans la Communauté européenne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2002/14/CE doivent être mises en œuvre dans les cinq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2003/88/CE du Parlement européen et du Conseil du 4 novembre 2003 concernant certains aspects de l’aménagement du temps de travail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2003/88/CE doivent être mises en œuvre dans les sept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Non-discrimination et égalité entre les femmes et les hommes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2000/43/CE du Conseil du 29 juin 2000 relative à la mise en œuvre du principe de l’égalité de traitement entre les personnes sans distinction de race ou d’origine ethnique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2000/43/CE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2000/78/CE du Conseil du 27 novembre 2000 portant création d’un cadre général en faveur de l’égalité de traitement en matière d’emploi et de travail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2000/78/CE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2006/54/CE du Parlement européen et du Conseil du 5 juillet 2006 relative à la mise en œuvre du principe de l’égalité des chances et de l’égalité de traitement entre hommes et femmes en matière d’emploi et de travail</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2006/54/CE doivent être mises en œuvre dans les trois ans qui suivent l’entrée en vigueur du présent accord.</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2004/113/CE du Conseil du 13 décembre 2004 mettant en œuvre le principe de l’égalité de traitement entre les femmes et les hommes dans l’accès à des biens et services et la fourniture de biens et services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2004/113/CE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92/85/CEE du Conseil, du 19 octobre 1992, concernant la mise en œuvre de mesures visant à promouvoir l’amélioration de la sécurité et de la santé des travailleuses enceintes, accouchées ou allaitantes au travail (dixième directive particulière au sens de l’article 16 paragraphe 1 de la directive 89/391/CEE)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92/85/CEE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79/7/CEE du Conseil, du 19 décembre 1978, relative à la mise en œuvre progressive du principe de l’égalité de traitement entre hommes et femmes en matière de sécurité sociale</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 la directive 79/7/CEE doivent être mises en œuvre dans les trois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Santé et sécurité au travail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89/391/CEE du Conseil, du 12 juin 1989, concernant la mise en œuvre de mesures visant à promouvoir l’amélioration de la sécurité et de la santé des travailleurs au travail</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89/654/CEE du Conseil, du 30 novembre 1989, concernant les prescriptions minimales de sécurité et de santé pour les lieux de travail (première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2009/104/CE du Parlement européen et du Conseil du 16 septembre 2009 concernant les prescriptions minimales de sécurité et de santé pour l’utilisation par les travailleurs au travail d’équipements de travail (deuxième directive particulière au sens de l’article 16, paragraphe 1, de la directive 89/391/CEE), telle que modifiée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89/656/CEE du Conseil, du 30 novembre 1989, concernant les prescriptions minimales de sécurité et de santé pour l’utilisation par les travailleurs au travail d’équipements de protection individuelle (troisième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92/57/CEE du Conseil, du 24 juin 1992, concernant les prescriptions minimales de sécurité et de santé à mettre en œuvre sur les chantiers temporaires ou mobiles (huitième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2009/148/CE du Parlement européen et du Conseil du 30 novembre 2009 concernant la protection des travailleurs contre les risques liés à une exposition à l’amiante pendant le travail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2004/37/CE du Parlement européen et du Conseil du 29 avril 2004 concernant la protection des travailleurs contre les risques liés à l’exposition à des agents cancérigènes ou mutagènes au travail (sixième directive particulière au sens de l’article 16, paragraphe 1, de la directive 89/391/CEE du Conseil)</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2000/54/CE du Parlement européen et du Conseil du 18 septembre 2000 concernant la protection des travailleurs contre les risques liés à l’exposition à des agents biologiques au travail (septième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90/270/CEE du Conseil, du 29 mai 1990, concernant les prescriptions minimales de sécurité et de santé relatives au travail sur des équipements à écran de visualisation (cinquième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92/58/CEE du Conseil, du 24 juin 1992, concernant les prescriptions minimales pour la signalisation de sécurité et/ou de santé au travail (neuvième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92/91/CEE du Conseil, du 3 novembre 1992, concernant les prescriptions minimales visant à améliorer la protection en matière de sécurité et de santé des travailleurs des industries extractives par forage (onzième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92/104/CEE du Conseil, du 3 décembre 1992, concernant les prescriptions minimales visant à améliorer la protection en matière de sécurité et de santé des travailleurs des industries extractives à ciel ouvert ou souterraines (douzième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98/24/CE du Conseil du 7 avril 1998 concernant la protection de la santé et de la sécurité des travailleurs contre les risques liés à des agents chimiques sur le lieu de travail (quatorzième directive particulière au sens de l’article 16, paragraphe 1, de la directive 89/391/CEE)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1999/92/CE du Parlement européen et du Conseil, du 16 décembre 1999, concernant les prescriptions minimales visant à améliorer la protection en matière de sécurité et de santé des travailleurs susceptibles d’être exposés au risque d’atmosphères explosives (quinzième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2002/44/CE du Parlement européen et du Conseil du 25 juin 2002 concernant les prescriptions minimales de sécurité et de santé relatives à l’exposition des travailleurs aux risques dus aux agents physiques (vibrations) (seizième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2003/10/CE du Parlement européen et du Conseil du 6 février 2003 concernant les prescriptions minimales de sécurité et de santé relatives à l’exposition des travailleurs aux risques dus aux agents physiques (bruit) (dix-septième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2006/25/CE du Parlement européen et du Conseil du 5 avril 2006 relative aux prescriptions minimales de sécurité et de santé relatives à l’exposition des travailleurs aux risques dus aux agents physiques (rayonnements optiques artificiels) (dix-neuvième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93/103/CE du Conseil, du 23 novembre 1993, concernant les prescriptions minimales de sécurité et de santé au travail à bord des navires de pêche (treizième directive particulière au sens de l’article 16 paragraphe 1 de la directive 89/391/CEE)</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92/29/CEE du Conseil, du 31 mars 1992, concernant les prescriptions minimales de sécurité et de santé pour promouvoir une meilleure assistance médicale à bord des navires</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90/269/CEE du Conseil, du 29 mai 1990, concernant les prescriptions minimales de sécurité et de santé relatives à la manutention manuelle de charges comportant des risques, notamment dorso-lombaires, pour les travailleurs (quatrième directive particulière au sens de l’article 16 paragraphe 1 de la directive 89/391/CEE)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91/322/CEE de la Commission, du 29 mai 1991, relative à la fixation de valeurs limites de caractère indicatif par la mise en œuvre de la directive 80/1107/CEE du Conseil concernant la protection des travailleurs contre les risques liés à une exposition à des agents chimiques, physiques et biologiques pendant le travail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2000/39/CE de la Commission du 8 juin 2000 relative à l’établissement d’une première liste de valeurs limites d’exposition professionnelle de caractère indicatif en application de la directive 98/24/CE du Conseil concernant la protection de la santé et de la sécurité des travailleurs contre les risques liés à des agents chimiques sur le lieu de travail</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2006/15/CE de la Commission du 7 février 2006 établissant une deuxième liste de valeurs limites indicatives d’exposition professionnelle en application de la directive 98/24/CE du Conseil et portant modification des directives 91/322/CEE et 2000/39/CE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2009/161/UE de la Commission du 17 décembre 2009 établissant une troisième liste de valeurs limites indicatives d’exposition professionnelle en application de la directive 98/24/CE du Conseil et portant modification de la directive 2000/39/CE de la Commission</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2010/32/UE du Conseil du 10 mai 2010 portant application de l’accord-cadre relatif à la prévention des blessures par objets tranchants dans le secteur hospitalier et sanitaire conclu par l’HOSPEEM et la FSESP</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rPr>
          <w:rFonts w:ascii="Times New Roman" w:hAnsi="Times New Roman"/>
          <w:noProof/>
          <w:sz w:val="24"/>
        </w:rPr>
      </w:pPr>
      <w:r>
        <w:rPr>
          <w:rFonts w:ascii="Times New Roman" w:hAnsi="Times New Roman"/>
          <w:noProof/>
          <w:sz w:val="24"/>
        </w:rPr>
        <w:lastRenderedPageBreak/>
        <w:t>Directive 2013/35/UE du Parlement européen et du Conseil du 26 juin 2013 concernant les prescriptions minimales de sécurité et de santé relatives à l’exposition des travailleurs aux risques dus aux agents physiques (champs électromagnétiques) (vingtième directive particulière au sens de l’article 16, paragraphe 1, de la directive 89/391/CEE) et abrogeant la directive 2004/40/CE</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Directive 2014/27/UE du Parlement européen et du Conseil du 26 février 2014 modifiant les directives du Conseil 92/58/CEE, 92/85/CEE, 94/33/CE, 98/24/CE et la directive 2004/37/CE du Parlement européen et du Conseil afin de les aligner sur le règlement (CE) nº 1272/2008 relatif à la classification, à l’étiquetage et à l’emballage des substances et des mélanges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 calendrier de mise en œuvre de l’ensemble des directives mentionnées ci-dessus dans la rubrique «Santé et sécurité au travail» sera fixé par le conseil de partenariat après la signature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r>
        <w:rPr>
          <w:rFonts w:ascii="Times New Roman" w:hAnsi="Times New Roman"/>
          <w:noProof/>
          <w:sz w:val="24"/>
        </w:rPr>
        <w:t>Droit du travail</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Directive (UE) 2015/1794 du Parlement européen et du Conseil du 6 octobre 2015 modifiant les directives 2008/94/CE, 2009/38/CE et 2002/14/CE du Parlement européen et du Conseil, et les directives 98/59/CE et 2001/23/CE du Conseil, en ce qui concerne les gens de mer (délai de transposition: 10 octobre 2017)</w:t>
      </w:r>
    </w:p>
    <w:p>
      <w:pPr>
        <w:spacing w:after="0" w:line="360" w:lineRule="auto"/>
        <w:rPr>
          <w:rFonts w:ascii="Times New Roman" w:hAnsi="Times New Roman"/>
          <w:noProof/>
          <w:sz w:val="24"/>
        </w:rPr>
      </w:pPr>
    </w:p>
    <w:p>
      <w:pPr>
        <w:spacing w:after="0" w:line="360" w:lineRule="auto"/>
        <w:ind w:left="567" w:hanging="567"/>
        <w:rPr>
          <w:rFonts w:ascii="Times New Roman" w:hAnsi="Times New Roman"/>
          <w:noProof/>
          <w:sz w:val="24"/>
        </w:rPr>
      </w:pPr>
      <w:r>
        <w:rPr>
          <w:rFonts w:ascii="Times New Roman" w:hAnsi="Times New Roman"/>
          <w:noProof/>
          <w:sz w:val="24"/>
        </w:rPr>
        <w:t>–</w:t>
      </w:r>
      <w:r>
        <w:rPr>
          <w:noProof/>
        </w:rPr>
        <w:tab/>
      </w:r>
      <w:r>
        <w:rPr>
          <w:rFonts w:ascii="Times New Roman" w:hAnsi="Times New Roman"/>
          <w:noProof/>
          <w:sz w:val="24"/>
        </w:rPr>
        <w:t>Directive 2014/112/UE du Conseil du 19 décembre 2014 portant application de l’accord européen concernant certains aspects de l’aménagement du temps de travail dans le secteur de la navigation intérieure, conclu par l’Union européenne de la navigation fluviale (UENF), l’Organisation européenne des bateliers (OEB) et la Fédération européenne des travailleurs des transports (ETF) (délai de transposition: 31 décembre 2016)</w:t>
      </w:r>
    </w:p>
    <w:p>
      <w:pPr>
        <w:spacing w:after="0" w:line="360" w:lineRule="auto"/>
        <w:rPr>
          <w:rFonts w:ascii="Times New Roman" w:hAnsi="Times New Roman"/>
          <w:noProof/>
          <w:sz w:val="24"/>
        </w:rPr>
      </w:pPr>
    </w:p>
    <w:p>
      <w:pPr>
        <w:rPr>
          <w:rFonts w:ascii="Times New Roman" w:hAnsi="Times New Roman"/>
          <w:noProof/>
          <w:sz w:val="24"/>
        </w:rPr>
      </w:pPr>
      <w:r>
        <w:rPr>
          <w:noProof/>
        </w:rPr>
        <w:br w:type="page"/>
      </w:r>
    </w:p>
    <w:p>
      <w:pPr>
        <w:spacing w:after="0" w:line="360" w:lineRule="auto"/>
        <w:ind w:left="567" w:hanging="567"/>
        <w:rPr>
          <w:rFonts w:ascii="Times New Roman" w:hAnsi="Times New Roman"/>
          <w:noProof/>
          <w:sz w:val="24"/>
        </w:rPr>
      </w:pPr>
      <w:r>
        <w:rPr>
          <w:rFonts w:ascii="Times New Roman" w:hAnsi="Times New Roman"/>
          <w:noProof/>
          <w:sz w:val="24"/>
        </w:rPr>
        <w:lastRenderedPageBreak/>
        <w:t>–</w:t>
      </w:r>
      <w:r>
        <w:rPr>
          <w:noProof/>
        </w:rPr>
        <w:tab/>
      </w:r>
      <w:r>
        <w:rPr>
          <w:rFonts w:ascii="Times New Roman" w:hAnsi="Times New Roman"/>
          <w:noProof/>
          <w:sz w:val="24"/>
        </w:rPr>
        <w:t>La directive 94/33/CE du Conseil, du 22 juin 1994, relative à la protection des jeunes au travail ne figure pas dans l’ensemble initial de mesures.</w:t>
      </w:r>
    </w:p>
    <w:p>
      <w:pPr>
        <w:spacing w:after="0" w:line="360" w:lineRule="auto"/>
        <w:rPr>
          <w:rFonts w:ascii="Times New Roman" w:hAnsi="Times New Roman"/>
          <w:noProof/>
          <w:sz w:val="24"/>
        </w:rPr>
      </w:pPr>
    </w:p>
    <w:p>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noProof/>
          <w:sz w:val="24"/>
        </w:rPr>
      </w:pPr>
      <w:r>
        <w:rPr>
          <w:rFonts w:ascii="Times New Roman" w:hAnsi="Times New Roman"/>
          <w:noProof/>
          <w:sz w:val="24"/>
        </w:rPr>
        <w:t>Calendrier: les dispositions des directives (UE) 2015/1794 et 2014/112/UE doivent être mises en œuvre dans les cinq ans qui suivent l’entrée en vigueur du présent accord.</w:t>
      </w:r>
    </w:p>
    <w:p>
      <w:pPr>
        <w:spacing w:after="0" w:line="360" w:lineRule="auto"/>
        <w:rPr>
          <w:rFonts w:ascii="Times New Roman" w:hAnsi="Times New Roman"/>
          <w:noProof/>
          <w:sz w:val="24"/>
        </w:rPr>
      </w:pPr>
    </w:p>
    <w:p>
      <w:pPr>
        <w:spacing w:after="0" w:line="360" w:lineRule="auto"/>
        <w:rPr>
          <w:rFonts w:ascii="Times New Roman" w:hAnsi="Times New Roman"/>
          <w:noProof/>
          <w:sz w:val="24"/>
        </w:rPr>
      </w:pPr>
    </w:p>
    <w:p>
      <w:pPr>
        <w:spacing w:after="0" w:line="360" w:lineRule="auto"/>
        <w:jc w:val="center"/>
        <w:rPr>
          <w:rFonts w:ascii="Times New Roman" w:hAnsi="Times New Roman"/>
          <w:noProof/>
          <w:sz w:val="24"/>
        </w:rPr>
      </w:pPr>
      <w:r>
        <w:rPr>
          <w:rFonts w:ascii="Times New Roman" w:hAnsi="Times New Roman"/>
          <w:noProof/>
          <w:sz w:val="24"/>
        </w:rPr>
        <w:t>________________</w:t>
      </w:r>
    </w:p>
    <w:p>
      <w:pPr>
        <w:spacing w:after="0" w:line="360" w:lineRule="auto"/>
        <w:jc w:val="right"/>
        <w:rPr>
          <w:rFonts w:ascii="Times New Roman" w:hAnsi="Times New Roman"/>
          <w:noProof/>
          <w:sz w:val="24"/>
        </w:rPr>
      </w:pPr>
    </w:p>
    <w:p>
      <w:pPr>
        <w:rPr>
          <w:noProof/>
        </w:rPr>
      </w:pPr>
    </w:p>
    <w:sectPr>
      <w:headerReference w:type="even" r:id="rId58"/>
      <w:headerReference w:type="default" r:id="rId59"/>
      <w:footerReference w:type="even" r:id="rId60"/>
      <w:footerReference w:type="default" r:id="rId61"/>
      <w:headerReference w:type="first" r:id="rId62"/>
      <w:footerReference w:type="first" r:id="rId63"/>
      <w:pgSz w:w="11909" w:h="16834" w:code="9"/>
      <w:pgMar w:top="1134" w:right="1134" w:bottom="1134" w:left="1134"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88960"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88.75pt;margin-top:-73.1pt;width:9.6pt;height:26.45pt;z-index:-2516275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PtrA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89984"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margin-left:281.5pt;margin-top:-73.1pt;width:10.55pt;height:12.05pt;z-index:-2516264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91008"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6" type="#_x0000_t202" style="position:absolute;margin-left:466.3pt;margin-top:-73.1pt;width:7.9pt;height:26.45pt;z-index:-2516254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3mrQIAALA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Cl5g3mrQIAALAFAAAOAAAA&#10;AAAAAAAAAAAAAC4CAABkcnMvZTJvRG9jLnhtbFBLAQItABQABgAIAAAAIQA4ZGnv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II/fr </w:t>
    </w:r>
    <w:sdt>
      <w:sdtPr>
        <w:id w:val="146789750"/>
        <w:docPartObj>
          <w:docPartGallery w:val="Page Numbers (Bottom of Page)"/>
          <w:docPartUnique/>
        </w:docPartObj>
      </w:sdtPr>
      <w:sdtContent>
        <w:r>
          <w:fldChar w:fldCharType="begin"/>
        </w:r>
        <w:r>
          <w:instrText xml:space="preserve"> PAGE   \* MERGEFORMAT </w:instrText>
        </w:r>
        <w:r>
          <w:fldChar w:fldCharType="separate"/>
        </w:r>
        <w:r>
          <w:rPr>
            <w:noProof/>
          </w:rPr>
          <w:t>20</w:t>
        </w:r>
        <w: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8588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8" type="#_x0000_t202" style="position:absolute;margin-left:91.8pt;margin-top:-73.1pt;width:5.85pt;height:24.15pt;z-index:-2516305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8691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9" type="#_x0000_t202" style="position:absolute;margin-left:469.3pt;margin-top:-73.1pt;width:5.85pt;height:24.15pt;z-index:-2516295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99200"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2" type="#_x0000_t202" style="position:absolute;margin-left:88.75pt;margin-top:-73.1pt;width:9.6pt;height:26.45pt;z-index:-2516172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NMNZ6OtAgAAsAUAAA4AAAAA&#10;AAAAAAAAAAAALgIAAGRycy9lMm9Eb2MueG1sUEsBAi0AFAAGAAgAAAAhAAdvAIr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00224"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53" type="#_x0000_t202" style="position:absolute;margin-left:281.5pt;margin-top:-73.1pt;width:10.55pt;height:12.05pt;z-index:-2516162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oPrg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01248"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54" type="#_x0000_t202" style="position:absolute;margin-left:466.3pt;margin-top:-73.1pt;width:7.9pt;height:26.45pt;z-index:-25161523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BB8TYprQIAALAFAAAOAAAA&#10;AAAAAAAAAAAAAC4CAABkcnMvZTJvRG9jLnhtbFBLAQItABQABgAIAAAAIQA4ZGnv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III/fr </w:t>
    </w:r>
    <w:sdt>
      <w:sdtPr>
        <w:id w:val="-1695768289"/>
        <w:docPartObj>
          <w:docPartGallery w:val="Page Numbers (Bottom of Page)"/>
          <w:docPartUnique/>
        </w:docPartObj>
      </w:sdtPr>
      <w:sdtContent>
        <w:r>
          <w:fldChar w:fldCharType="begin"/>
        </w:r>
        <w:r>
          <w:instrText xml:space="preserve"> PAGE   \* MERGEFORMAT </w:instrText>
        </w:r>
        <w:r>
          <w:fldChar w:fldCharType="separate"/>
        </w:r>
        <w:r>
          <w:rPr>
            <w:noProof/>
          </w:rPr>
          <w:t>24</w:t>
        </w:r>
        <w:r>
          <w:fldChar w:fldCharType="end"/>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9612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5" type="#_x0000_t202" style="position:absolute;margin-left:91.8pt;margin-top:-73.1pt;width:5.85pt;height:24.15pt;z-index:-2516203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9715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56" type="#_x0000_t202" style="position:absolute;margin-left:469.3pt;margin-top:-73.1pt;width:5.85pt;height:24.15pt;z-index:-2516193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09440"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9" type="#_x0000_t202" style="position:absolute;margin-left:88.75pt;margin-top:-73.1pt;width:9.6pt;height:26.45pt;z-index:-2516070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IjSMl+tAgAAsAUAAA4AAAAA&#10;AAAAAAAAAAAALgIAAGRycy9lMm9Eb2MueG1sUEsBAi0AFAAGAAgAAAAhAAdvAIr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10464"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60" type="#_x0000_t202" style="position:absolute;margin-left:281.5pt;margin-top:-73.1pt;width:10.55pt;height:12.05pt;z-index:-2516060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UyrgIAALA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11488"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61" type="#_x0000_t202" style="position:absolute;margin-left:466.3pt;margin-top:-73.1pt;width:7.9pt;height:26.45pt;z-index:-2516049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IV/fr </w:t>
    </w:r>
    <w:sdt>
      <w:sdtPr>
        <w:id w:val="-1933970241"/>
        <w:docPartObj>
          <w:docPartGallery w:val="Page Numbers (Bottom of Page)"/>
          <w:docPartUnique/>
        </w:docPartObj>
      </w:sdtPr>
      <w:sdtContent>
        <w:r>
          <w:fldChar w:fldCharType="begin"/>
        </w:r>
        <w:r>
          <w:instrText xml:space="preserve"> PAGE   \* MERGEFORMAT </w:instrText>
        </w:r>
        <w:r>
          <w:fldChar w:fldCharType="separate"/>
        </w:r>
        <w:r>
          <w:rPr>
            <w:noProof/>
          </w:rPr>
          <w:t>5</w:t>
        </w:r>
        <w:r>
          <w:fldChar w:fldCharType="end"/>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0636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2" type="#_x0000_t202" style="position:absolute;margin-left:91.8pt;margin-top:-73.1pt;width:5.85pt;height:24.15pt;z-index:-25161011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0739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63" type="#_x0000_t202" style="position:absolute;margin-left:469.3pt;margin-top:-73.1pt;width:5.85pt;height:24.15pt;z-index:-25160908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19680"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66" type="#_x0000_t202" style="position:absolute;margin-left:88.75pt;margin-top:-73.1pt;width:9.6pt;height:26.45pt;z-index:-2515968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2rQIAALA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L5F/3atAgAAsAUAAA4AAAAA&#10;AAAAAAAAAAAALgIAAGRycy9lMm9Eb2MueG1sUEsBAi0AFAAGAAgAAAAhAAdvAIr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20704"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67" type="#_x0000_t202" style="position:absolute;margin-left:281.5pt;margin-top:-73.1pt;width:10.55pt;height:12.05pt;z-index:-2515957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Z5rQIAALA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DRC1Z5rQIAALAFAAAOAAAA&#10;AAAAAAAAAAAAAC4CAABkcnMvZTJvRG9jLnhtbFBLAQItABQABgAIAAAAIQCgr80F4AAAAA0BAAAP&#10;AAAAAAAAAAAAAAAAAAcFAABkcnMvZG93bnJldi54bWxQSwUGAAAAAAQABADzAAAAFAY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21728"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68" type="#_x0000_t202" style="position:absolute;margin-left:466.3pt;margin-top:-73.1pt;width:7.9pt;height:26.45pt;z-index:-2515947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3RrgIAALA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V/fr </w:t>
    </w:r>
    <w:sdt>
      <w:sdtPr>
        <w:id w:val="939717745"/>
        <w:docPartObj>
          <w:docPartGallery w:val="Page Numbers (Bottom of Page)"/>
          <w:docPartUnique/>
        </w:docPartObj>
      </w:sdtPr>
      <w:sdtContent>
        <w:r>
          <w:fldChar w:fldCharType="begin"/>
        </w:r>
        <w:r>
          <w:instrText xml:space="preserve"> PAGE   \* MERGEFORMAT </w:instrText>
        </w:r>
        <w:r>
          <w:fldChar w:fldCharType="separate"/>
        </w:r>
        <w:r>
          <w:rPr>
            <w:noProof/>
          </w:rPr>
          <w:t>7</w:t>
        </w:r>
        <w: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1660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69" type="#_x0000_t202" style="position:absolute;margin-left:91.8pt;margin-top:-73.1pt;width:5.85pt;height:24.15pt;z-index:-2515998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1763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70" type="#_x0000_t202" style="position:absolute;margin-left:469.3pt;margin-top:-73.1pt;width:5.85pt;height:24.15pt;z-index:-25159884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XErgIAAK8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29920"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73" type="#_x0000_t202" style="position:absolute;margin-left:88.75pt;margin-top:-73.1pt;width:9.6pt;height:26.45pt;z-index:-25158656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FOToSetAgAAsAUAAA4AAAAA&#10;AAAAAAAAAAAALgIAAGRycy9lMm9Eb2MueG1sUEsBAi0AFAAGAAgAAAAhAAdvAIr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30944"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4" type="#_x0000_t202" style="position:absolute;margin-left:281.5pt;margin-top:-73.1pt;width:10.55pt;height:12.05pt;z-index:-25158553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AEDAHArQIAALAFAAAOAAAA&#10;AAAAAAAAAAAAAC4CAABkcnMvZTJvRG9jLnhtbFBLAQItABQABgAIAAAAIQCgr80F4AAAAA0BAAAP&#10;AAAAAAAAAAAAAAAAAAcFAABkcnMvZG93bnJldi54bWxQSwUGAAAAAAQABADzAAAAFAY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31968"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5" type="#_x0000_t202" style="position:absolute;margin-left:466.3pt;margin-top:-73.1pt;width:7.9pt;height:26.45pt;z-index:-25158451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DYolQOrQIAALAFAAAOAAAA&#10;AAAAAAAAAAAAAC4CAABkcnMvZTJvRG9jLnhtbFBLAQItABQABgAIAAAAIQA4ZGnv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VI/fr </w:t>
    </w:r>
    <w:sdt>
      <w:sdtPr>
        <w:id w:val="-1394356067"/>
        <w:docPartObj>
          <w:docPartGallery w:val="Page Numbers (Bottom of Page)"/>
          <w:docPartUnique/>
        </w:docPartObj>
      </w:sdtPr>
      <w:sdtContent>
        <w:r>
          <w:fldChar w:fldCharType="begin"/>
        </w:r>
        <w:r>
          <w:instrText xml:space="preserve"> PAGE   \* MERGEFORMAT </w:instrText>
        </w:r>
        <w:r>
          <w:fldChar w:fldCharType="separate"/>
        </w:r>
        <w:r>
          <w:rPr>
            <w:noProof/>
          </w:rPr>
          <w:t>5</w:t>
        </w:r>
        <w:r>
          <w:fldChar w:fldCharType="end"/>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2684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76" type="#_x0000_t202" style="position:absolute;margin-left:91.8pt;margin-top:-73.1pt;width:5.85pt;height:24.15pt;z-index:-25158963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QsrgIAAK8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2787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7" type="#_x0000_t202" style="position:absolute;margin-left:469.3pt;margin-top:-73.1pt;width:5.85pt;height:24.15pt;z-index:-25158860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40160"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80" type="#_x0000_t202" style="position:absolute;margin-left:88.75pt;margin-top:-73.1pt;width:9.6pt;height:26.45pt;z-index:-2515763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fzrQIAALA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L0l1/OtAgAAsAUAAA4AAAAA&#10;AAAAAAAAAAAALgIAAGRycy9lMm9Eb2MueG1sUEsBAi0AFAAGAAgAAAAhAAdvAIr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41184"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81" type="#_x0000_t202" style="position:absolute;margin-left:281.5pt;margin-top:-73.1pt;width:10.55pt;height:12.05pt;z-index:-2515752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5lrQIAALA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APsE5lrQIAALAFAAAOAAAA&#10;AAAAAAAAAAAAAC4CAABkcnMvZTJvRG9jLnhtbFBLAQItABQABgAIAAAAIQCgr80F4AAAAA0BAAAP&#10;AAAAAAAAAAAAAAAAAAcFAABkcnMvZG93bnJldi54bWxQSwUGAAAAAAQABADzAAAAFAY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42208"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82" type="#_x0000_t202" style="position:absolute;margin-left:466.3pt;margin-top:-73.1pt;width:7.9pt;height:26.45pt;z-index:-2515742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DA72XNrQIAALAFAAAOAAAA&#10;AAAAAAAAAAAAAC4CAABkcnMvZTJvRG9jLnhtbFBLAQItABQABgAIAAAAIQA4ZGnv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VII/fr </w:t>
    </w:r>
    <w:sdt>
      <w:sdtPr>
        <w:id w:val="-1228987121"/>
        <w:docPartObj>
          <w:docPartGallery w:val="Page Numbers (Bottom of Page)"/>
          <w:docPartUnique/>
        </w:docPartObj>
      </w:sdtPr>
      <w:sdtContent>
        <w:r>
          <w:fldChar w:fldCharType="begin"/>
        </w:r>
        <w:r>
          <w:instrText xml:space="preserve"> PAGE   \* MERGEFORMAT </w:instrText>
        </w:r>
        <w:r>
          <w:fldChar w:fldCharType="separate"/>
        </w:r>
        <w:r>
          <w:rPr>
            <w:noProof/>
          </w:rPr>
          <w:t>10</w:t>
        </w:r>
        <w:r>
          <w:fldChar w:fldCharType="end"/>
        </w:r>
      </w:sdtContent>
    </w:sdt>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3708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83" type="#_x0000_t202" style="position:absolute;margin-left:91.8pt;margin-top:-73.1pt;width:5.85pt;height:24.15pt;z-index:-2515793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3811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84" type="#_x0000_t202" style="position:absolute;margin-left:469.3pt;margin-top:-73.1pt;width:5.85pt;height:24.15pt;z-index:-2515783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61312"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8" type="#_x0000_t202" style="position:absolute;margin-left:88.75pt;margin-top:-73.1pt;width:9.6pt;height:26.45pt;z-index:-2516551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R4rQIAAK8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MpgBHitAgAArwUAAA4AAAAA&#10;AAAAAAAAAAAALgIAAGRycy9lMm9Eb2MueG1sUEsBAi0AFAAGAAgAAAAhAAdvAIrfAAAADAEAAA8A&#10;AAAAAAAAAAAAAAAABw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62336"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margin-left:281.5pt;margin-top:-73.1pt;width:10.55pt;height:12.05pt;z-index:-25165414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6ZrQIAAK8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D1UW6ZrQIAAK8FAAAOAAAA&#10;AAAAAAAAAAAAAC4CAABkcnMvZTJvRG9jLnhtbFBLAQItABQABgAIAAAAIQCgr80F4AAAAA0BAAAP&#10;AAAAAAAAAAAAAAAAAAcFAABkcnMvZG93bnJldi54bWxQSwUGAAAAAAQABADzAAAAFAY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63360"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30" type="#_x0000_t202" style="position:absolute;margin-left:466.3pt;margin-top:-73.1pt;width:7.9pt;height:26.45pt;z-index:-2516531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CjBrdXrQIAAK8FAAAOAAAA&#10;AAAAAAAAAAAAAC4CAABkcnMvZTJvRG9jLnhtbFBLAQItABQABgAIAAAAIQA4ZGnv4AAAAAwBAAAP&#10;AAAAAAAAAAAAAAAAAAcFAABkcnMvZG93bnJldi54bWxQSwUGAAAAAAQABADzAAAAFA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65408"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32" type="#_x0000_t202" style="position:absolute;margin-left:91.8pt;margin-top:-73.1pt;width:5.85pt;height:24.15pt;z-index:-2516510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66432"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33" type="#_x0000_t202" style="position:absolute;margin-left:469.3pt;margin-top:-73.1pt;width:5.85pt;height:24.15pt;z-index:-25165004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yM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76672" behindDoc="1" locked="0" layoutInCell="1" allowOverlap="1">
              <wp:simplePos x="0" y="0"/>
              <wp:positionH relativeFrom="page">
                <wp:posOffset>1127125</wp:posOffset>
              </wp:positionH>
              <wp:positionV relativeFrom="paragraph">
                <wp:posOffset>-928370</wp:posOffset>
              </wp:positionV>
              <wp:extent cx="121920" cy="335915"/>
              <wp:effectExtent l="0" t="0" r="1143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88.75pt;margin-top:-73.1pt;width:9.6pt;height:26.45pt;z-index:-25163980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" filled="f" stroked="f">
              <v:textbox style="mso-fit-shape-to-text:t" inset="0,0,0,0">
                <w:txbxContent>
                  <w:p>
                    <w:pPr>
                      <w:pStyle w:val="En-tteoupieddepage0"/>
                      <w:shd w:val="clear" w:color="auto" w:fill="auto"/>
                      <w:jc w:val="both"/>
                    </w:pPr>
                    <w:r>
                      <w:rPr>
                        <w:rStyle w:val="En-tteoupieddepage23pt"/>
                        <w:rFonts w:eastAsiaTheme="minorHAnsi"/>
                      </w:rPr>
                      <w:t>1</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77696" behindDoc="1" locked="0" layoutInCell="1" allowOverlap="1">
              <wp:simplePos x="0" y="0"/>
              <wp:positionH relativeFrom="page">
                <wp:posOffset>3575050</wp:posOffset>
              </wp:positionH>
              <wp:positionV relativeFrom="paragraph">
                <wp:posOffset>-928370</wp:posOffset>
              </wp:positionV>
              <wp:extent cx="133985" cy="153035"/>
              <wp:effectExtent l="0" t="0" r="889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281.5pt;margin-top:-73.1pt;width:10.55pt;height:12.05pt;z-index:-2516387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abrAIAAK4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" filled="f" stroked="f">
              <v:textbox style="mso-fit-shape-to-text:t" inset="0,0,0,0">
                <w:txbxContent>
                  <w:p>
                    <w:pPr>
                      <w:pStyle w:val="En-tteoupieddepage0"/>
                      <w:shd w:val="clear" w:color="auto" w:fill="auto"/>
                      <w:jc w:val="both"/>
                    </w:pPr>
                    <w:r>
                      <w:fldChar w:fldCharType="begin"/>
                    </w:r>
                    <w:r>
                      <w:instrText xml:space="preserve"> PAGE \* MERGEFORMAT </w:instrText>
                    </w:r>
                    <w: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78720" behindDoc="1" locked="0" layoutInCell="1" allowOverlap="1">
              <wp:simplePos x="0" y="0"/>
              <wp:positionH relativeFrom="page">
                <wp:posOffset>5922010</wp:posOffset>
              </wp:positionH>
              <wp:positionV relativeFrom="paragraph">
                <wp:posOffset>-928370</wp:posOffset>
              </wp:positionV>
              <wp:extent cx="100330" cy="335915"/>
              <wp:effectExtent l="0" t="0" r="1397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466.3pt;margin-top:-73.1pt;width:7.9pt;height:26.45pt;z-index:-25163776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G6rAIAAK4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r>
      <w:t xml:space="preserve">AM/EU/Annexe I/fr </w:t>
    </w:r>
    <w:sdt>
      <w:sdtPr>
        <w:id w:val="-798533896"/>
        <w:docPartObj>
          <w:docPartGallery w:val="Page Numbers (Bottom of Page)"/>
          <w:docPartUnique/>
        </w:docPartObj>
      </w:sdtPr>
      <w:sdtContent>
        <w:r>
          <w:fldChar w:fldCharType="begin"/>
        </w:r>
        <w:r>
          <w:instrText xml:space="preserve"> PAGE   \* MERGEFORMAT </w:instrText>
        </w:r>
        <w:r>
          <w:fldChar w:fldCharType="separate"/>
        </w:r>
        <w:r>
          <w:rPr>
            <w:noProof/>
          </w:rPr>
          <w:t>22</w:t>
        </w:r>
        <w: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73600" behindDoc="1" locked="0" layoutInCell="1" allowOverlap="1">
              <wp:simplePos x="0" y="0"/>
              <wp:positionH relativeFrom="page">
                <wp:posOffset>1165860</wp:posOffset>
              </wp:positionH>
              <wp:positionV relativeFrom="paragraph">
                <wp:posOffset>-928370</wp:posOffset>
              </wp:positionV>
              <wp:extent cx="74295" cy="306705"/>
              <wp:effectExtent l="0" t="0" r="1397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91.8pt;margin-top:-73.1pt;width:5.85pt;height:24.15pt;z-index:-2516428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74624" behindDoc="1" locked="0" layoutInCell="1" allowOverlap="1">
              <wp:simplePos x="0" y="0"/>
              <wp:positionH relativeFrom="page">
                <wp:posOffset>5960110</wp:posOffset>
              </wp:positionH>
              <wp:positionV relativeFrom="paragraph">
                <wp:posOffset>-928370</wp:posOffset>
              </wp:positionV>
              <wp:extent cx="74295" cy="306705"/>
              <wp:effectExtent l="0" t="0" r="1397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469.3pt;margin-top:-73.1pt;width:5.85pt;height:24.15pt;z-index:-2516418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" filled="f" stroked="f">
              <v:textbox style="mso-fit-shape-to-text:t" inset="0,0,0,0">
                <w:txbxContent>
                  <w:p>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Les éléments de l’article 4 qui présentent un intérêt pour les propositions relatives à l’énergie dans le contexte des négociations sur un accord de libre-échange seront examinés dans le cadre de ces négociations. S’il est nécessaire de formuler des réserves, il en sera tenu compte dans la présente annexe.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82816"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2" type="#_x0000_t202" style="position:absolute;margin-left:94.75pt;margin-top:53.65pt;width:82.4pt;height:12.05pt;z-index:-25163366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83840"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margin-left:369.55pt;margin-top:53.65pt;width:76.55pt;height:12.05pt;z-index:-2516326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Atg0yprQIAALAFAAAOAAAAAAAA&#10;AAAAAAAAAC4CAABkcnMvZTJvRG9jLnhtbFBLAQItABQABgAIAAAAIQCovDcq3QAAAAsBAAAPAAAA&#10;AAAAAAAAAAAAAAcFAABkcnMvZG93bnJldi54bWxQSwUGAAAAAAQABADzAAAAEQY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80768" behindDoc="1" locked="0" layoutInCell="1" allowOverlap="1">
              <wp:simplePos x="0" y="0"/>
              <wp:positionH relativeFrom="page">
                <wp:posOffset>4740910</wp:posOffset>
              </wp:positionH>
              <wp:positionV relativeFrom="paragraph">
                <wp:posOffset>696595</wp:posOffset>
              </wp:positionV>
              <wp:extent cx="972185" cy="153035"/>
              <wp:effectExtent l="0" t="0" r="1333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7" type="#_x0000_t202" style="position:absolute;margin-left:373.3pt;margin-top:54.85pt;width:76.55pt;height:12.05pt;z-index:-25163571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E/rAIAAK4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93056"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0" type="#_x0000_t202" style="position:absolute;margin-left:94.75pt;margin-top:53.65pt;width:82.4pt;height:12.05pt;z-index:-2516234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BZrgIAALE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cO8gWa4CAACxBQAADgAAAAAA&#10;AAAAAAAAAAAuAgAAZHJzL2Uyb0RvYy54bWxQSwECLQAUAAYACAAAACEA1q9I1t0AAAALAQAADwAA&#10;AAAAAAAAAAAAAAAIBQAAZHJzL2Rvd25yZXYueG1sUEsFBgAAAAAEAAQA8wAAABIGA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94080"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51" type="#_x0000_t202" style="position:absolute;margin-left:369.55pt;margin-top:53.65pt;width:76.55pt;height:12.05pt;z-index:-2516224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DFi8WlrQIAALAFAAAOAAAAAAAA&#10;AAAAAAAAAC4CAABkcnMvZTJvRG9jLnhtbFBLAQItABQABgAIAAAAIQCovDcq3QAAAAsBAAAPAAAA&#10;AAAAAAAAAAAAAAcFAABkcnMvZG93bnJldi54bWxQSwUGAAAAAAQABADzAAAAEQY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03296"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7" type="#_x0000_t202" style="position:absolute;margin-left:94.75pt;margin-top:53.65pt;width:82.4pt;height:12.05pt;z-index:-2516131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nirgIAALE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ZwQJ4q4CAACxBQAADgAAAAAA&#10;AAAAAAAAAAAuAgAAZHJzL2Uyb0RvYy54bWxQSwECLQAUAAYACAAAACEA1q9I1t0AAAALAQAADwAA&#10;AAAAAAAAAAAAAAAIBQAAZHJzL2Rvd25yZXYueG1sUEsFBgAAAAAEAAQA8wAAABIGA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04320"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58" type="#_x0000_t202" style="position:absolute;margin-left:369.55pt;margin-top:53.65pt;width:76.55pt;height:12.05pt;z-index:-25161216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13536"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4" type="#_x0000_t202" style="position:absolute;margin-left:94.75pt;margin-top:53.65pt;width:82.4pt;height:12.05pt;z-index:-25160294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4uER6a4CAACxBQAADgAAAAAA&#10;AAAAAAAAAAAuAgAAZHJzL2Uyb0RvYy54bWxQSwECLQAUAAYACAAAACEA1q9I1t0AAAALAQAADwAA&#10;AAAAAAAAAAAAAAAIBQAAZHJzL2Rvd25yZXYueG1sUEsFBgAAAAAEAAQA8wAAABIGA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14560"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65" type="#_x0000_t202" style="position:absolute;margin-left:369.55pt;margin-top:53.65pt;width:76.55pt;height:12.05pt;z-index:-2516019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23776"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71" type="#_x0000_t202" style="position:absolute;margin-left:94.75pt;margin-top:53.65pt;width:82.4pt;height:12.05pt;z-index:-25159270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24800"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72" type="#_x0000_t202" style="position:absolute;margin-left:369.55pt;margin-top:53.65pt;width:76.55pt;height:12.05pt;z-index:-2515916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734016"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78" type="#_x0000_t202" style="position:absolute;margin-left:94.75pt;margin-top:53.65pt;width:82.4pt;height:12.05pt;z-index:-25158246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4F2GNa4CAACxBQAADgAAAAAA&#10;AAAAAAAAAAAuAgAAZHJzL2Uyb0RvYy54bWxQSwECLQAUAAYACAAAACEA1q9I1t0AAAALAQAADwAA&#10;AAAAAAAAAAAAAAAIBQAAZHJzL2Rvd25yZXYueG1sUEsFBgAAAAAEAAQA8wAAABIGA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735040"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79" type="#_x0000_t202" style="position:absolute;margin-left:369.55pt;margin-top:53.65pt;width:76.55pt;height:12.05pt;z-index:-2515814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DWRdWBrQIAALAFAAAOAAAAAAAA&#10;AAAAAAAAAC4CAABkcnMvZTJvRG9jLnhtbFBLAQItABQABgAIAAAAIQCovDcq3QAAAAsBAAAPAAAA&#10;AAAAAAAAAAAAAAcFAABkcnMvZG93bnJldi54bWxQSwUGAAAAAAQABADzAAAAEQY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59264"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94.75pt;margin-top:53.65pt;width:82.4pt;height:12.05pt;z-index:-2516572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60288"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27" type="#_x0000_t202" style="position:absolute;margin-left:369.55pt;margin-top:53.65pt;width:76.55pt;height:12.05pt;z-index:-2516561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nWrQIAAK8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C2yZnWrQIAAK8FAAAOAAAAAAAA&#10;AAAAAAAAAC4CAABkcnMvZTJvRG9jLnhtbFBLAQItABQABgAIAAAAIQCovDcq3QAAAAsBAAAPAAAA&#10;AAAAAAAAAAAAAAcFAABkcnMvZG93bnJldi54bWxQSwUGAAAAAAQABADzAAAAEQY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64384" behindDoc="1" locked="0" layoutInCell="1" allowOverlap="1">
              <wp:simplePos x="0" y="0"/>
              <wp:positionH relativeFrom="page">
                <wp:posOffset>4740910</wp:posOffset>
              </wp:positionH>
              <wp:positionV relativeFrom="paragraph">
                <wp:posOffset>696595</wp:posOffset>
              </wp:positionV>
              <wp:extent cx="972185" cy="153035"/>
              <wp:effectExtent l="0" t="0" r="13335" b="63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31" type="#_x0000_t202" style="position:absolute;margin-left:373.3pt;margin-top:54.85pt;width:76.55pt;height:12.05pt;z-index:-2516520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XnrQIAAK8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70528" behindDoc="1" locked="0" layoutInCell="1" allowOverlap="1">
              <wp:simplePos x="0" y="0"/>
              <wp:positionH relativeFrom="page">
                <wp:posOffset>1203325</wp:posOffset>
              </wp:positionH>
              <wp:positionV relativeFrom="paragraph">
                <wp:posOffset>681355</wp:posOffset>
              </wp:positionV>
              <wp:extent cx="1046480" cy="153035"/>
              <wp:effectExtent l="0" t="0" r="133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94.75pt;margin-top:53.65pt;width:82.4pt;height:12.05pt;z-index:-2516459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uE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" filled="f" stroked="f">
              <v:textbox style="mso-fit-shape-to-text:t" inset="0,0,0,0">
                <w:txbxContent>
                  <w:p>
                    <w:pPr>
                      <w:pStyle w:val="En-tteoupieddepage0"/>
                      <w:shd w:val="clear" w:color="auto" w:fill="auto"/>
                      <w:jc w:val="both"/>
                    </w:pPr>
                  </w:p>
                </w:txbxContent>
              </v:textbox>
              <w10:wrap anchorx="page"/>
            </v:shape>
          </w:pict>
        </mc:Fallback>
      </mc:AlternateContent>
    </w:r>
    <w:r>
      <w:rPr>
        <w:noProof/>
        <w:lang w:val="en-US" w:eastAsia="en-US" w:bidi="ar-SA"/>
      </w:rPr>
      <mc:AlternateContent>
        <mc:Choice Requires="wps">
          <w:drawing>
            <wp:anchor distT="63500" distB="63500" distL="63500" distR="63500" simplePos="0" relativeHeight="251671552" behindDoc="1" locked="0" layoutInCell="1" allowOverlap="1">
              <wp:simplePos x="0" y="0"/>
              <wp:positionH relativeFrom="page">
                <wp:posOffset>4693285</wp:posOffset>
              </wp:positionH>
              <wp:positionV relativeFrom="paragraph">
                <wp:posOffset>681355</wp:posOffset>
              </wp:positionV>
              <wp:extent cx="972185" cy="153035"/>
              <wp:effectExtent l="0" t="0" r="133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369.55pt;margin-top:53.65pt;width:76.55pt;height:12.05pt;z-index:-2516449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kerAIAAK0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noProof/>
        <w:lang w:val="en-US" w:eastAsia="en-US" w:bidi="ar-SA"/>
      </w:rPr>
      <mc:AlternateContent>
        <mc:Choice Requires="wps">
          <w:drawing>
            <wp:anchor distT="63500" distB="63500" distL="63500" distR="63500" simplePos="0" relativeHeight="251668480" behindDoc="1" locked="0" layoutInCell="1" allowOverlap="1">
              <wp:simplePos x="0" y="0"/>
              <wp:positionH relativeFrom="page">
                <wp:posOffset>4740910</wp:posOffset>
              </wp:positionH>
              <wp:positionV relativeFrom="paragraph">
                <wp:posOffset>696595</wp:posOffset>
              </wp:positionV>
              <wp:extent cx="972185" cy="153035"/>
              <wp:effectExtent l="0" t="0" r="133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73.3pt;margin-top:54.85pt;width:76.55pt;height:12.05pt;z-index:-2516480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" filled="f" stroked="f">
              <v:textbox style="mso-fit-shape-to-text:t" inset="0,0,0,0">
                <w:txbxContent>
                  <w:p>
                    <w:pPr>
                      <w:pStyle w:val="En-tteoupieddepage0"/>
                      <w:shd w:val="clear" w:color="auto" w:fill="auto"/>
                      <w:jc w:val="both"/>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3A295E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75596E"/>
    <w:multiLevelType w:val="hybridMultilevel"/>
    <w:tmpl w:val="4B0C8B98"/>
    <w:lvl w:ilvl="0" w:tplc="85BE55C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nsid w:val="0AEB7AD8"/>
    <w:multiLevelType w:val="hybridMultilevel"/>
    <w:tmpl w:val="F078D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
    <w:nsid w:val="0F212747"/>
    <w:multiLevelType w:val="multilevel"/>
    <w:tmpl w:val="45206176"/>
    <w:name w:val="Point"/>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6770DF"/>
    <w:multiLevelType w:val="hybridMultilevel"/>
    <w:tmpl w:val="B87024F8"/>
    <w:lvl w:ilvl="0" w:tplc="0809000F">
      <w:start w:val="1"/>
      <w:numFmt w:val="decimal"/>
      <w:pStyle w:val="Text2"/>
      <w:lvlText w:val="%1."/>
      <w:lvlJc w:val="left"/>
      <w:pPr>
        <w:tabs>
          <w:tab w:val="num" w:pos="360"/>
        </w:tabs>
        <w:ind w:left="360" w:hanging="360"/>
      </w:pPr>
      <w:rPr>
        <w:rFonts w:hint="default"/>
      </w:rPr>
    </w:lvl>
    <w:lvl w:ilvl="1" w:tplc="7E4CAE66">
      <w:start w:val="1"/>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168696A"/>
    <w:multiLevelType w:val="hybridMultilevel"/>
    <w:tmpl w:val="44FE390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C77850"/>
    <w:multiLevelType w:val="hybridMultilevel"/>
    <w:tmpl w:val="C2D84C4A"/>
    <w:lvl w:ilvl="0" w:tplc="A01E42CE">
      <w:start w:val="1"/>
      <w:numFmt w:val="lowerRoman"/>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7D28DE60">
      <w:start w:val="1"/>
      <w:numFmt w:val="bullet"/>
      <w:lvlText w:val="–"/>
      <w:lvlJc w:val="left"/>
      <w:pPr>
        <w:tabs>
          <w:tab w:val="num" w:pos="1980"/>
        </w:tabs>
        <w:ind w:left="1980" w:hanging="360"/>
      </w:pPr>
      <w:rPr>
        <w:rFonts w:ascii="Times New Roman" w:hAnsi="Times New Roman" w:cs="Times New Roman"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158C586D"/>
    <w:multiLevelType w:val="hybridMultilevel"/>
    <w:tmpl w:val="4E86F78A"/>
    <w:styleLink w:val="ImportedStyle1"/>
    <w:lvl w:ilvl="0" w:tplc="F9EC7D6C">
      <w:start w:val="1"/>
      <w:numFmt w:val="lowerLetter"/>
      <w:lvlText w:val="(%1)"/>
      <w:lvlJc w:val="left"/>
      <w:pPr>
        <w:ind w:left="125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5E13FA">
      <w:start w:val="1"/>
      <w:numFmt w:val="lowerLetter"/>
      <w:lvlText w:val="%2."/>
      <w:lvlJc w:val="left"/>
      <w:pPr>
        <w:ind w:left="21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2" w:tplc="BAD06892">
      <w:start w:val="1"/>
      <w:numFmt w:val="lowerRoman"/>
      <w:lvlText w:val="%3."/>
      <w:lvlJc w:val="left"/>
      <w:pPr>
        <w:ind w:left="288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3" w:tplc="2A30E382">
      <w:start w:val="1"/>
      <w:numFmt w:val="decimal"/>
      <w:lvlText w:val="%4."/>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606F0A">
      <w:start w:val="1"/>
      <w:numFmt w:val="lowerLetter"/>
      <w:lvlText w:val="%5."/>
      <w:lvlJc w:val="left"/>
      <w:pPr>
        <w:ind w:left="432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5" w:tplc="658C2BA6">
      <w:start w:val="1"/>
      <w:numFmt w:val="lowerRoman"/>
      <w:lvlText w:val="%6."/>
      <w:lvlJc w:val="left"/>
      <w:pPr>
        <w:ind w:left="504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6" w:tplc="EF622988">
      <w:start w:val="1"/>
      <w:numFmt w:val="decimal"/>
      <w:lvlText w:val="%7."/>
      <w:lvlJc w:val="left"/>
      <w:pPr>
        <w:ind w:left="57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7" w:tplc="BCD487B2">
      <w:start w:val="1"/>
      <w:numFmt w:val="lowerLetter"/>
      <w:lvlText w:val="%8."/>
      <w:lvlJc w:val="left"/>
      <w:pPr>
        <w:ind w:left="648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8" w:tplc="3D9A8F04">
      <w:start w:val="1"/>
      <w:numFmt w:val="lowerRoman"/>
      <w:lvlText w:val="%9."/>
      <w:lvlJc w:val="left"/>
      <w:pPr>
        <w:ind w:left="7200" w:hanging="5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1888583D"/>
    <w:multiLevelType w:val="multilevel"/>
    <w:tmpl w:val="E36C4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B02CCE"/>
    <w:multiLevelType w:val="multilevel"/>
    <w:tmpl w:val="FE7438F8"/>
    <w:name w:val="List Dash"/>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DE624AC"/>
    <w:multiLevelType w:val="hybridMultilevel"/>
    <w:tmpl w:val="106A3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576EB9"/>
    <w:multiLevelType w:val="hybridMultilevel"/>
    <w:tmpl w:val="4F0E5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4C21A3"/>
    <w:multiLevelType w:val="hybridMultilevel"/>
    <w:tmpl w:val="A1D615A0"/>
    <w:lvl w:ilvl="0" w:tplc="FA0646C6">
      <w:start w:val="1"/>
      <w:numFmt w:val="upperLetter"/>
      <w:pStyle w:val="Pealkiri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45BA6"/>
    <w:multiLevelType w:val="multilevel"/>
    <w:tmpl w:val="74067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BA3236"/>
    <w:multiLevelType w:val="hybridMultilevel"/>
    <w:tmpl w:val="DA3EFB3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8862E2"/>
    <w:multiLevelType w:val="hybridMultilevel"/>
    <w:tmpl w:val="A752855A"/>
    <w:lvl w:ilvl="0" w:tplc="E0B41D1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F076C74"/>
    <w:multiLevelType w:val="multilevel"/>
    <w:tmpl w:val="FE4C4AB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numb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numb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pStyle w:val="Point2numb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decimal"/>
      <w:pStyle w:val="Point3numb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8">
    <w:nsid w:val="36E35564"/>
    <w:multiLevelType w:val="hybridMultilevel"/>
    <w:tmpl w:val="AB988648"/>
    <w:lvl w:ilvl="0" w:tplc="0809000F">
      <w:start w:val="1"/>
      <w:numFmt w:val="decimal"/>
      <w:lvlText w:val="%1."/>
      <w:lvlJc w:val="left"/>
      <w:pPr>
        <w:tabs>
          <w:tab w:val="num" w:pos="360"/>
        </w:tabs>
        <w:ind w:left="360" w:hanging="360"/>
      </w:pPr>
      <w:rPr>
        <w:rFonts w:hint="default"/>
      </w:rPr>
    </w:lvl>
    <w:lvl w:ilvl="1" w:tplc="A0322E40">
      <w:start w:val="1"/>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43E62384"/>
    <w:multiLevelType w:val="hybridMultilevel"/>
    <w:tmpl w:val="4E86F78A"/>
    <w:lvl w:ilvl="0" w:tplc="4F1EA5DE">
      <w:numFmt w:val="decimal"/>
      <w:lvlText w:val=""/>
      <w:lvlJc w:val="left"/>
    </w:lvl>
    <w:lvl w:ilvl="1" w:tplc="E4760242">
      <w:numFmt w:val="decimal"/>
      <w:lvlText w:val=""/>
      <w:lvlJc w:val="left"/>
    </w:lvl>
    <w:lvl w:ilvl="2" w:tplc="F95251F6">
      <w:numFmt w:val="decimal"/>
      <w:lvlText w:val=""/>
      <w:lvlJc w:val="left"/>
    </w:lvl>
    <w:lvl w:ilvl="3" w:tplc="DC7CFE8C">
      <w:numFmt w:val="decimal"/>
      <w:lvlText w:val=""/>
      <w:lvlJc w:val="left"/>
    </w:lvl>
    <w:lvl w:ilvl="4" w:tplc="D59C56B4">
      <w:numFmt w:val="decimal"/>
      <w:lvlText w:val=""/>
      <w:lvlJc w:val="left"/>
    </w:lvl>
    <w:lvl w:ilvl="5" w:tplc="AA6EBAE2">
      <w:numFmt w:val="decimal"/>
      <w:lvlText w:val=""/>
      <w:lvlJc w:val="left"/>
    </w:lvl>
    <w:lvl w:ilvl="6" w:tplc="F364CE1C">
      <w:numFmt w:val="decimal"/>
      <w:lvlText w:val=""/>
      <w:lvlJc w:val="left"/>
    </w:lvl>
    <w:lvl w:ilvl="7" w:tplc="A7B0A504">
      <w:numFmt w:val="decimal"/>
      <w:lvlText w:val=""/>
      <w:lvlJc w:val="left"/>
    </w:lvl>
    <w:lvl w:ilvl="8" w:tplc="FAC63002">
      <w:numFmt w:val="decimal"/>
      <w:lvlText w:val=""/>
      <w:lvlJc w:val="left"/>
    </w:lvl>
  </w:abstractNum>
  <w:abstractNum w:abstractNumId="20">
    <w:nsid w:val="46A563F1"/>
    <w:multiLevelType w:val="hybridMultilevel"/>
    <w:tmpl w:val="CF92D366"/>
    <w:lvl w:ilvl="0" w:tplc="FFFFFFFF">
      <w:start w:val="1"/>
      <w:numFmt w:val="decimal"/>
      <w:lvlText w:val="%1."/>
      <w:lvlJc w:val="left"/>
      <w:pPr>
        <w:tabs>
          <w:tab w:val="num" w:pos="720"/>
        </w:tabs>
        <w:ind w:left="720" w:hanging="360"/>
      </w:pPr>
    </w:lvl>
    <w:lvl w:ilvl="1" w:tplc="DFE840B6">
      <w:start w:val="1"/>
      <w:numFmt w:val="lowerLetter"/>
      <w:lvlText w:val="(%2)"/>
      <w:lvlJc w:val="left"/>
      <w:pPr>
        <w:tabs>
          <w:tab w:val="num" w:pos="1440"/>
        </w:tabs>
        <w:ind w:left="1440" w:hanging="360"/>
      </w:pPr>
      <w:rPr>
        <w:rFonts w:hint="eastAsi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024366"/>
    <w:multiLevelType w:val="hybridMultilevel"/>
    <w:tmpl w:val="F2BCC8C0"/>
    <w:lvl w:ilvl="0" w:tplc="20861C34">
      <w:numFmt w:val="bullet"/>
      <w:lvlText w:val="-"/>
      <w:lvlJc w:val="left"/>
      <w:pPr>
        <w:ind w:left="720" w:hanging="360"/>
      </w:pPr>
      <w:rPr>
        <w:rFonts w:ascii="Courier New" w:eastAsia="Calibri"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E66C31"/>
    <w:multiLevelType w:val="hybridMultilevel"/>
    <w:tmpl w:val="AE22D29E"/>
    <w:lvl w:ilvl="0" w:tplc="9836E84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2D74EB"/>
    <w:multiLevelType w:val="hybridMultilevel"/>
    <w:tmpl w:val="3C18F798"/>
    <w:styleLink w:val="ImportedStyle3"/>
    <w:lvl w:ilvl="0" w:tplc="373C46F2">
      <w:start w:val="1"/>
      <w:numFmt w:val="lowerLetter"/>
      <w:lvlText w:val="(%1)"/>
      <w:lvlJc w:val="left"/>
      <w:pPr>
        <w:tabs>
          <w:tab w:val="left" w:pos="360"/>
        </w:tabs>
        <w:ind w:left="791"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1A1CF6D6">
      <w:start w:val="1"/>
      <w:numFmt w:val="lowerLetter"/>
      <w:lvlText w:val="%2."/>
      <w:lvlJc w:val="left"/>
      <w:pPr>
        <w:tabs>
          <w:tab w:val="left" w:pos="360"/>
          <w:tab w:val="num" w:pos="2454"/>
        </w:tabs>
        <w:ind w:left="1805" w:firstLine="403"/>
      </w:pPr>
      <w:rPr>
        <w:rFonts w:hAnsi="Arial Unicode MS"/>
        <w:caps w:val="0"/>
        <w:smallCaps w:val="0"/>
        <w:strike w:val="0"/>
        <w:dstrike w:val="0"/>
        <w:outline w:val="0"/>
        <w:emboss w:val="0"/>
        <w:imprint w:val="0"/>
        <w:spacing w:val="0"/>
        <w:w w:val="100"/>
        <w:kern w:val="0"/>
        <w:position w:val="0"/>
        <w:highlight w:val="none"/>
        <w:vertAlign w:val="baseline"/>
      </w:rPr>
    </w:lvl>
    <w:lvl w:ilvl="2" w:tplc="F392EE02">
      <w:start w:val="1"/>
      <w:numFmt w:val="lowerRoman"/>
      <w:lvlText w:val="%3."/>
      <w:lvlJc w:val="left"/>
      <w:pPr>
        <w:tabs>
          <w:tab w:val="left" w:pos="360"/>
          <w:tab w:val="num" w:pos="3174"/>
        </w:tabs>
        <w:ind w:left="2525" w:firstLine="478"/>
      </w:pPr>
      <w:rPr>
        <w:rFonts w:hAnsi="Arial Unicode MS"/>
        <w:caps w:val="0"/>
        <w:smallCaps w:val="0"/>
        <w:strike w:val="0"/>
        <w:dstrike w:val="0"/>
        <w:outline w:val="0"/>
        <w:emboss w:val="0"/>
        <w:imprint w:val="0"/>
        <w:spacing w:val="0"/>
        <w:w w:val="100"/>
        <w:kern w:val="0"/>
        <w:position w:val="0"/>
        <w:highlight w:val="none"/>
        <w:vertAlign w:val="baseline"/>
      </w:rPr>
    </w:lvl>
    <w:lvl w:ilvl="3" w:tplc="5E66FB6A">
      <w:start w:val="1"/>
      <w:numFmt w:val="decimal"/>
      <w:lvlText w:val="%4."/>
      <w:lvlJc w:val="left"/>
      <w:pPr>
        <w:tabs>
          <w:tab w:val="left" w:pos="360"/>
          <w:tab w:val="num" w:pos="3894"/>
        </w:tabs>
        <w:ind w:left="3245" w:firstLine="403"/>
      </w:pPr>
      <w:rPr>
        <w:rFonts w:hAnsi="Arial Unicode MS"/>
        <w:caps w:val="0"/>
        <w:smallCaps w:val="0"/>
        <w:strike w:val="0"/>
        <w:dstrike w:val="0"/>
        <w:outline w:val="0"/>
        <w:emboss w:val="0"/>
        <w:imprint w:val="0"/>
        <w:spacing w:val="0"/>
        <w:w w:val="100"/>
        <w:kern w:val="0"/>
        <w:position w:val="0"/>
        <w:highlight w:val="none"/>
        <w:vertAlign w:val="baseline"/>
      </w:rPr>
    </w:lvl>
    <w:lvl w:ilvl="4" w:tplc="BB426C92">
      <w:start w:val="1"/>
      <w:numFmt w:val="lowerLetter"/>
      <w:lvlText w:val="%5."/>
      <w:lvlJc w:val="left"/>
      <w:pPr>
        <w:tabs>
          <w:tab w:val="left" w:pos="360"/>
          <w:tab w:val="num" w:pos="4614"/>
        </w:tabs>
        <w:ind w:left="3965" w:firstLine="403"/>
      </w:pPr>
      <w:rPr>
        <w:rFonts w:hAnsi="Arial Unicode MS"/>
        <w:caps w:val="0"/>
        <w:smallCaps w:val="0"/>
        <w:strike w:val="0"/>
        <w:dstrike w:val="0"/>
        <w:outline w:val="0"/>
        <w:emboss w:val="0"/>
        <w:imprint w:val="0"/>
        <w:spacing w:val="0"/>
        <w:w w:val="100"/>
        <w:kern w:val="0"/>
        <w:position w:val="0"/>
        <w:highlight w:val="none"/>
        <w:vertAlign w:val="baseline"/>
      </w:rPr>
    </w:lvl>
    <w:lvl w:ilvl="5" w:tplc="A6D6DD28">
      <w:start w:val="1"/>
      <w:numFmt w:val="lowerRoman"/>
      <w:lvlText w:val="%6."/>
      <w:lvlJc w:val="left"/>
      <w:pPr>
        <w:tabs>
          <w:tab w:val="left" w:pos="360"/>
          <w:tab w:val="num" w:pos="5334"/>
        </w:tabs>
        <w:ind w:left="4685" w:firstLine="478"/>
      </w:pPr>
      <w:rPr>
        <w:rFonts w:hAnsi="Arial Unicode MS"/>
        <w:caps w:val="0"/>
        <w:smallCaps w:val="0"/>
        <w:strike w:val="0"/>
        <w:dstrike w:val="0"/>
        <w:outline w:val="0"/>
        <w:emboss w:val="0"/>
        <w:imprint w:val="0"/>
        <w:spacing w:val="0"/>
        <w:w w:val="100"/>
        <w:kern w:val="0"/>
        <w:position w:val="0"/>
        <w:highlight w:val="none"/>
        <w:vertAlign w:val="baseline"/>
      </w:rPr>
    </w:lvl>
    <w:lvl w:ilvl="6" w:tplc="07661404">
      <w:start w:val="1"/>
      <w:numFmt w:val="decimal"/>
      <w:lvlText w:val="%7."/>
      <w:lvlJc w:val="left"/>
      <w:pPr>
        <w:tabs>
          <w:tab w:val="left" w:pos="360"/>
          <w:tab w:val="num" w:pos="6054"/>
        </w:tabs>
        <w:ind w:left="5405" w:firstLine="403"/>
      </w:pPr>
      <w:rPr>
        <w:rFonts w:hAnsi="Arial Unicode MS"/>
        <w:caps w:val="0"/>
        <w:smallCaps w:val="0"/>
        <w:strike w:val="0"/>
        <w:dstrike w:val="0"/>
        <w:outline w:val="0"/>
        <w:emboss w:val="0"/>
        <w:imprint w:val="0"/>
        <w:spacing w:val="0"/>
        <w:w w:val="100"/>
        <w:kern w:val="0"/>
        <w:position w:val="0"/>
        <w:highlight w:val="none"/>
        <w:vertAlign w:val="baseline"/>
      </w:rPr>
    </w:lvl>
    <w:lvl w:ilvl="7" w:tplc="2BB08A7C">
      <w:start w:val="1"/>
      <w:numFmt w:val="lowerLetter"/>
      <w:lvlText w:val="%8."/>
      <w:lvlJc w:val="left"/>
      <w:pPr>
        <w:tabs>
          <w:tab w:val="left" w:pos="360"/>
          <w:tab w:val="num" w:pos="6774"/>
        </w:tabs>
        <w:ind w:left="6125" w:firstLine="403"/>
      </w:pPr>
      <w:rPr>
        <w:rFonts w:hAnsi="Arial Unicode MS"/>
        <w:caps w:val="0"/>
        <w:smallCaps w:val="0"/>
        <w:strike w:val="0"/>
        <w:dstrike w:val="0"/>
        <w:outline w:val="0"/>
        <w:emboss w:val="0"/>
        <w:imprint w:val="0"/>
        <w:spacing w:val="0"/>
        <w:w w:val="100"/>
        <w:kern w:val="0"/>
        <w:position w:val="0"/>
        <w:highlight w:val="none"/>
        <w:vertAlign w:val="baseline"/>
      </w:rPr>
    </w:lvl>
    <w:lvl w:ilvl="8" w:tplc="37449A2A">
      <w:start w:val="1"/>
      <w:numFmt w:val="lowerRoman"/>
      <w:lvlText w:val="%9."/>
      <w:lvlJc w:val="left"/>
      <w:pPr>
        <w:tabs>
          <w:tab w:val="left" w:pos="360"/>
          <w:tab w:val="num" w:pos="7494"/>
        </w:tabs>
        <w:ind w:left="6845" w:firstLine="4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53F47367"/>
    <w:multiLevelType w:val="singleLevel"/>
    <w:tmpl w:val="B4E8C9F0"/>
    <w:name w:val="Tiret 1"/>
    <w:lvl w:ilvl="0">
      <w:start w:val="1"/>
      <w:numFmt w:val="bullet"/>
      <w:lvlRestart w:val="0"/>
      <w:pStyle w:val="Tiret1"/>
      <w:lvlText w:val="–"/>
      <w:lvlJc w:val="left"/>
      <w:pPr>
        <w:tabs>
          <w:tab w:val="num" w:pos="1417"/>
        </w:tabs>
        <w:ind w:left="1417" w:hanging="567"/>
      </w:pPr>
    </w:lvl>
  </w:abstractNum>
  <w:abstractNum w:abstractNumId="25">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nsid w:val="55A55E4F"/>
    <w:multiLevelType w:val="hybridMultilevel"/>
    <w:tmpl w:val="7D98B4A4"/>
    <w:lvl w:ilvl="0" w:tplc="E822E05A">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6E14FA"/>
    <w:multiLevelType w:val="multilevel"/>
    <w:tmpl w:val="F228869E"/>
    <w:lvl w:ilvl="0">
      <w:numFmt w:val="bullet"/>
      <w:lvlText w:val="-"/>
      <w:lvlJc w:val="left"/>
      <w:pPr>
        <w:tabs>
          <w:tab w:val="num" w:pos="360"/>
        </w:tabs>
        <w:ind w:left="360" w:hanging="360"/>
      </w:pPr>
      <w:rPr>
        <w:rFonts w:ascii="Courier New" w:eastAsia="Calibri"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nsid w:val="57A524B4"/>
    <w:multiLevelType w:val="hybridMultilevel"/>
    <w:tmpl w:val="A07AE0E4"/>
    <w:styleLink w:val="ImportedStyle2"/>
    <w:lvl w:ilvl="0" w:tplc="2E6C5560">
      <w:start w:val="1"/>
      <w:numFmt w:val="lowerLetter"/>
      <w:lvlText w:val="(%1)"/>
      <w:lvlJc w:val="left"/>
      <w:pPr>
        <w:ind w:left="120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643648">
      <w:start w:val="1"/>
      <w:numFmt w:val="lowerLetter"/>
      <w:lvlText w:val="%2."/>
      <w:lvlJc w:val="left"/>
      <w:pPr>
        <w:ind w:left="21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2" w:tplc="CDEC7ACC">
      <w:start w:val="1"/>
      <w:numFmt w:val="lowerRoman"/>
      <w:lvlText w:val="%3."/>
      <w:lvlJc w:val="left"/>
      <w:pPr>
        <w:ind w:left="288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3" w:tplc="778EE8EE">
      <w:start w:val="1"/>
      <w:numFmt w:val="decimal"/>
      <w:lvlText w:val="%4."/>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9AE768">
      <w:start w:val="1"/>
      <w:numFmt w:val="lowerLetter"/>
      <w:lvlText w:val="%5."/>
      <w:lvlJc w:val="left"/>
      <w:pPr>
        <w:ind w:left="432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5" w:tplc="39FA8FFE">
      <w:start w:val="1"/>
      <w:numFmt w:val="lowerRoman"/>
      <w:lvlText w:val="%6."/>
      <w:lvlJc w:val="left"/>
      <w:pPr>
        <w:ind w:left="504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6" w:tplc="86169EC6">
      <w:start w:val="1"/>
      <w:numFmt w:val="decimal"/>
      <w:lvlText w:val="%7."/>
      <w:lvlJc w:val="left"/>
      <w:pPr>
        <w:ind w:left="57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7" w:tplc="90E8ADF0">
      <w:start w:val="1"/>
      <w:numFmt w:val="lowerLetter"/>
      <w:lvlText w:val="%8."/>
      <w:lvlJc w:val="left"/>
      <w:pPr>
        <w:ind w:left="648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8" w:tplc="72C2043C">
      <w:start w:val="1"/>
      <w:numFmt w:val="lowerRoman"/>
      <w:lvlText w:val="%9."/>
      <w:lvlJc w:val="left"/>
      <w:pPr>
        <w:ind w:left="7200" w:hanging="5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nsid w:val="59B40527"/>
    <w:multiLevelType w:val="multilevel"/>
    <w:tmpl w:val="8B92D5EE"/>
    <w:lvl w:ilvl="0">
      <w:numFmt w:val="bullet"/>
      <w:lvlText w:val="-"/>
      <w:lvlJc w:val="left"/>
      <w:pPr>
        <w:tabs>
          <w:tab w:val="num" w:pos="360"/>
        </w:tabs>
        <w:ind w:left="360" w:hanging="360"/>
      </w:pPr>
      <w:rPr>
        <w:rFonts w:ascii="Courier New" w:eastAsia="Calibri"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nsid w:val="6272686E"/>
    <w:multiLevelType w:val="singleLevel"/>
    <w:tmpl w:val="6292DC68"/>
    <w:name w:val="Heading"/>
    <w:lvl w:ilvl="0">
      <w:start w:val="1"/>
      <w:numFmt w:val="bullet"/>
      <w:pStyle w:val="ListDash1"/>
      <w:lvlText w:val="–"/>
      <w:lvlJc w:val="left"/>
      <w:pPr>
        <w:tabs>
          <w:tab w:val="num" w:pos="1134"/>
        </w:tabs>
        <w:ind w:left="1134" w:hanging="283"/>
      </w:pPr>
      <w:rPr>
        <w:rFonts w:ascii="Times New Roman" w:hAnsi="Times New Roman"/>
      </w:rPr>
    </w:lvl>
  </w:abstractNum>
  <w:abstractNum w:abstractNumId="31">
    <w:nsid w:val="64206921"/>
    <w:multiLevelType w:val="hybridMultilevel"/>
    <w:tmpl w:val="1F6AA3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9E4207A"/>
    <w:multiLevelType w:val="multilevel"/>
    <w:tmpl w:val="2F0E8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D482320"/>
    <w:multiLevelType w:val="multilevel"/>
    <w:tmpl w:val="50680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A166FC"/>
    <w:multiLevelType w:val="hybridMultilevel"/>
    <w:tmpl w:val="DA3EFB3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784971"/>
    <w:multiLevelType w:val="hybridMultilevel"/>
    <w:tmpl w:val="4F0E5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B1254B"/>
    <w:multiLevelType w:val="hybridMultilevel"/>
    <w:tmpl w:val="3C18F798"/>
    <w:lvl w:ilvl="0" w:tplc="3BD0057C">
      <w:numFmt w:val="decimal"/>
      <w:lvlText w:val=""/>
      <w:lvlJc w:val="left"/>
    </w:lvl>
    <w:lvl w:ilvl="1" w:tplc="DEFC1506">
      <w:numFmt w:val="decimal"/>
      <w:lvlText w:val=""/>
      <w:lvlJc w:val="left"/>
    </w:lvl>
    <w:lvl w:ilvl="2" w:tplc="C39CAD8C">
      <w:numFmt w:val="decimal"/>
      <w:lvlText w:val=""/>
      <w:lvlJc w:val="left"/>
    </w:lvl>
    <w:lvl w:ilvl="3" w:tplc="86641172">
      <w:numFmt w:val="decimal"/>
      <w:lvlText w:val=""/>
      <w:lvlJc w:val="left"/>
    </w:lvl>
    <w:lvl w:ilvl="4" w:tplc="B866AFD8">
      <w:numFmt w:val="decimal"/>
      <w:lvlText w:val=""/>
      <w:lvlJc w:val="left"/>
    </w:lvl>
    <w:lvl w:ilvl="5" w:tplc="801AD4E2">
      <w:numFmt w:val="decimal"/>
      <w:lvlText w:val=""/>
      <w:lvlJc w:val="left"/>
    </w:lvl>
    <w:lvl w:ilvl="6" w:tplc="6C22D8B6">
      <w:numFmt w:val="decimal"/>
      <w:lvlText w:val=""/>
      <w:lvlJc w:val="left"/>
    </w:lvl>
    <w:lvl w:ilvl="7" w:tplc="3FC2649C">
      <w:numFmt w:val="decimal"/>
      <w:lvlText w:val=""/>
      <w:lvlJc w:val="left"/>
    </w:lvl>
    <w:lvl w:ilvl="8" w:tplc="323A5D16">
      <w:numFmt w:val="decimal"/>
      <w:lvlText w:val=""/>
      <w:lvlJc w:val="left"/>
    </w:lvl>
  </w:abstractNum>
  <w:abstractNum w:abstractNumId="39">
    <w:nsid w:val="79C96D36"/>
    <w:multiLevelType w:val="multilevel"/>
    <w:tmpl w:val="BE983CE4"/>
    <w:name w:val="List Bullet"/>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BF366AD"/>
    <w:multiLevelType w:val="hybridMultilevel"/>
    <w:tmpl w:val="9732E326"/>
    <w:lvl w:ilvl="0" w:tplc="E0B41D1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F7B68CA"/>
    <w:multiLevelType w:val="hybridMultilevel"/>
    <w:tmpl w:val="A07AE0E4"/>
    <w:lvl w:ilvl="0" w:tplc="BECC4C7E">
      <w:numFmt w:val="decimal"/>
      <w:lvlText w:val=""/>
      <w:lvlJc w:val="left"/>
    </w:lvl>
    <w:lvl w:ilvl="1" w:tplc="E5BCFA68">
      <w:numFmt w:val="decimal"/>
      <w:lvlText w:val=""/>
      <w:lvlJc w:val="left"/>
    </w:lvl>
    <w:lvl w:ilvl="2" w:tplc="EA1832A4">
      <w:numFmt w:val="decimal"/>
      <w:lvlText w:val=""/>
      <w:lvlJc w:val="left"/>
    </w:lvl>
    <w:lvl w:ilvl="3" w:tplc="46662BAC">
      <w:numFmt w:val="decimal"/>
      <w:lvlText w:val=""/>
      <w:lvlJc w:val="left"/>
    </w:lvl>
    <w:lvl w:ilvl="4" w:tplc="F15ABDE8">
      <w:numFmt w:val="decimal"/>
      <w:lvlText w:val=""/>
      <w:lvlJc w:val="left"/>
    </w:lvl>
    <w:lvl w:ilvl="5" w:tplc="07104BAA">
      <w:numFmt w:val="decimal"/>
      <w:lvlText w:val=""/>
      <w:lvlJc w:val="left"/>
    </w:lvl>
    <w:lvl w:ilvl="6" w:tplc="4052EBDE">
      <w:numFmt w:val="decimal"/>
      <w:lvlText w:val=""/>
      <w:lvlJc w:val="left"/>
    </w:lvl>
    <w:lvl w:ilvl="7" w:tplc="59E4EDBE">
      <w:numFmt w:val="decimal"/>
      <w:lvlText w:val=""/>
      <w:lvlJc w:val="left"/>
    </w:lvl>
    <w:lvl w:ilvl="8" w:tplc="2E562020">
      <w:numFmt w:val="decimal"/>
      <w:lvlText w:val=""/>
      <w:lvlJc w:val="left"/>
    </w:lvl>
  </w:abstractNum>
  <w:num w:numId="1">
    <w:abstractNumId w:val="25"/>
  </w:num>
  <w:num w:numId="2">
    <w:abstractNumId w:val="32"/>
  </w:num>
  <w:num w:numId="3">
    <w:abstractNumId w:val="34"/>
  </w:num>
  <w:num w:numId="4">
    <w:abstractNumId w:val="14"/>
  </w:num>
  <w:num w:numId="5">
    <w:abstractNumId w:val="35"/>
  </w:num>
  <w:num w:numId="6">
    <w:abstractNumId w:val="9"/>
  </w:num>
  <w:num w:numId="7">
    <w:abstractNumId w:val="33"/>
  </w:num>
  <w:num w:numId="8">
    <w:abstractNumId w:val="1"/>
  </w:num>
  <w:num w:numId="9">
    <w:abstractNumId w:val="26"/>
  </w:num>
  <w:num w:numId="10">
    <w:abstractNumId w:val="16"/>
  </w:num>
  <w:num w:numId="11">
    <w:abstractNumId w:val="40"/>
  </w:num>
  <w:num w:numId="12">
    <w:abstractNumId w:val="21"/>
  </w:num>
  <w:num w:numId="13">
    <w:abstractNumId w:val="29"/>
  </w:num>
  <w:num w:numId="14">
    <w:abstractNumId w:val="27"/>
  </w:num>
  <w:num w:numId="15">
    <w:abstractNumId w:val="11"/>
  </w:num>
  <w:num w:numId="16">
    <w:abstractNumId w:val="2"/>
  </w:num>
  <w:num w:numId="17">
    <w:abstractNumId w:val="39"/>
  </w:num>
  <w:num w:numId="18">
    <w:abstractNumId w:val="10"/>
  </w:num>
  <w:num w:numId="19">
    <w:abstractNumId w:val="3"/>
  </w:num>
  <w:num w:numId="20">
    <w:abstractNumId w:val="0"/>
  </w:num>
  <w:num w:numId="21">
    <w:abstractNumId w:val="5"/>
  </w:num>
  <w:num w:numId="22">
    <w:abstractNumId w:val="4"/>
  </w:num>
  <w:num w:numId="23">
    <w:abstractNumId w:val="17"/>
  </w:num>
  <w:num w:numId="24">
    <w:abstractNumId w:val="30"/>
  </w:num>
  <w:num w:numId="25">
    <w:abstractNumId w:val="1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6"/>
  </w:num>
  <w:num w:numId="29">
    <w:abstractNumId w:val="37"/>
  </w:num>
  <w:num w:numId="30">
    <w:abstractNumId w:val="12"/>
  </w:num>
  <w:num w:numId="31">
    <w:abstractNumId w:val="31"/>
  </w:num>
  <w:num w:numId="32">
    <w:abstractNumId w:val="6"/>
  </w:num>
  <w:num w:numId="33">
    <w:abstractNumId w:val="20"/>
  </w:num>
  <w:num w:numId="34">
    <w:abstractNumId w:val="24"/>
  </w:num>
  <w:num w:numId="35">
    <w:abstractNumId w:val="8"/>
  </w:num>
  <w:num w:numId="36">
    <w:abstractNumId w:val="28"/>
  </w:num>
  <w:num w:numId="37">
    <w:abstractNumId w:val="23"/>
  </w:num>
  <w:num w:numId="38">
    <w:abstractNumId w:val="2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 w:ilvl="0" w:tplc="4F1EA5DE">
        <w:start w:val="1"/>
        <w:numFmt w:val="lowerLetter"/>
        <w:lvlText w:val="(%1)"/>
        <w:lvlJc w:val="left"/>
        <w:pPr>
          <w:ind w:left="1250" w:hanging="54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2">
    <w:abstractNumId w:val="41"/>
    <w:lvlOverride w:ilvl="0">
      <w:lvl w:ilvl="0" w:tplc="BECC4C7E">
        <w:start w:val="1"/>
        <w:numFmt w:val="lowerLetter"/>
        <w:lvlText w:val="(%1)"/>
        <w:lvlJc w:val="left"/>
        <w:pPr>
          <w:ind w:left="1200" w:hanging="54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à la"/>
    <w:docVar w:name="LW_ANNEX_NBR_FIRST" w:val="2"/>
    <w:docVar w:name="LW_ANNEX_NBR_LAST" w:val="2"/>
    <w:docVar w:name="LW_CONFIDENCE" w:val=" "/>
    <w:docVar w:name="LW_CONST_RESTREINT_UE" w:val="RESTREINT UE"/>
    <w:docVar w:name="LW_CORRIGENDUM" w:val="&lt;UNUSED&gt;"/>
    <w:docVar w:name="LW_COVERPAGE_GUID" w:val="9BDEA29242E44B21A8E5AAB2C068CEE5"/>
    <w:docVar w:name="LW_CROSSREFERENCE" w:val="&lt;UNUSED&gt;"/>
    <w:docVar w:name="LW_DocType" w:val="NORMAL"/>
    <w:docVar w:name="LW_EMISSION" w:val="25.9.2017"/>
    <w:docVar w:name="LW_EMISSION_ISODATE" w:val="2017-09-25"/>
    <w:docVar w:name="LW_EMISSION_LOCATION" w:val="BRX"/>
    <w:docVar w:name="LW_EMISSION_PREFIX" w:val="Bruxelles, le "/>
    <w:docVar w:name="LW_EMISSION_SUFFIX" w:val=" "/>
    <w:docVar w:name="LW_ID_DOCTYPE_NONLW" w:val="CP-037"/>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OBJETACTEPRINCIPAL.CP" w:val="relative à la conclusion, au nom de l\u8217?Union européenne, de l\u8217?accord de partenariat global et renforcé entre l\u8217?Union européenne et la Communauté européenne de l\u8217?énergie atomique et leurs États membres, d\u8217?une part, et la République d\u8217?Arménie, d\u8217?autre part_x000b_"/>
    <w:docVar w:name="LW_PART_NBR" w:val="1"/>
    <w:docVar w:name="LW_PART_NBR_TOTAL" w:val="1"/>
    <w:docVar w:name="LW_REF.INST.NEW" w:val="JOIN"/>
    <w:docVar w:name="LW_REF.INST.NEW_ADOPTED" w:val="final"/>
    <w:docVar w:name="LW_REF.INST.NEW_TEXT" w:val="(2017) 37"/>
    <w:docVar w:name="LW_REF.INTERNE" w:val="&lt;UNUSED&gt;"/>
    <w:docVar w:name="LW_SUPERTITRE" w:val="&lt;UNUSED&gt;"/>
    <w:docVar w:name="LW_TITRE.OBJ.CP" w:val="&lt;UNUSED&gt;"/>
    <w:docVar w:name="LW_TYPE.DOC.CP" w:val="ANNEXE_x000b_"/>
    <w:docVar w:name="LW_TYPEACTEPRINCIPAL.CP" w:val="proposition conjointe de décision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autoSpaceDE w:val="0"/>
      <w:autoSpaceDN w:val="0"/>
      <w:adjustRightInd w:val="0"/>
      <w:spacing w:after="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unhideWhenUsed/>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Bold" w:eastAsia="Times New Roman" w:hAnsi="Times New Roman Bold" w:cs="Times New Roman"/>
      <w:b/>
      <w:bCs/>
      <w:caps/>
      <w:sz w:val="24"/>
      <w:szCs w:val="24"/>
      <w:lang w:val="fr-FR"/>
    </w:rPr>
  </w:style>
  <w:style w:type="character" w:customStyle="1" w:styleId="Heading2Char">
    <w:name w:val="Heading 2 Char"/>
    <w:basedOn w:val="DefaultParagraphFont"/>
    <w:link w:val="Heading2"/>
    <w:rPr>
      <w:rFonts w:ascii="Cambria" w:eastAsia="Times New Roman" w:hAnsi="Cambria" w:cs="Times New Roman"/>
      <w:b/>
      <w:bCs/>
      <w:i/>
      <w:iCs/>
      <w:sz w:val="28"/>
      <w:szCs w:val="28"/>
      <w:lang w:val="fr-FR"/>
    </w:rPr>
  </w:style>
  <w:style w:type="character" w:customStyle="1" w:styleId="Heading3Char">
    <w:name w:val="Heading 3 Char"/>
    <w:basedOn w:val="DefaultParagraphFont"/>
    <w:link w:val="Heading3"/>
    <w:rPr>
      <w:rFonts w:ascii="Cambria" w:eastAsia="Times New Roman" w:hAnsi="Cambria" w:cs="Times New Roman"/>
      <w:b/>
      <w:bCs/>
      <w:sz w:val="26"/>
      <w:szCs w:val="26"/>
      <w:lang w:val="fr-FR"/>
    </w:rPr>
  </w:style>
  <w:style w:type="character" w:customStyle="1" w:styleId="Heading4Char">
    <w:name w:val="Heading 4 Char"/>
    <w:basedOn w:val="DefaultParagraphFont"/>
    <w:link w:val="Heading4"/>
    <w:rPr>
      <w:rFonts w:ascii="Calibri" w:eastAsia="Times New Roman" w:hAnsi="Calibri" w:cs="Times New Roman"/>
      <w:b/>
      <w:bCs/>
      <w:sz w:val="28"/>
      <w:szCs w:val="28"/>
      <w:lang w:val="fr-FR"/>
    </w:rPr>
  </w:style>
  <w:style w:type="numbering" w:customStyle="1" w:styleId="NoList1">
    <w:name w:val="No List1"/>
    <w:next w:val="NoList"/>
    <w:uiPriority w:val="99"/>
    <w:semiHidden/>
    <w:unhideWhenUsed/>
  </w:style>
  <w:style w:type="paragraph" w:styleId="Date">
    <w:name w:val="Date"/>
    <w:basedOn w:val="Normal"/>
    <w:next w:val="Normal"/>
    <w:link w:val="DateChar"/>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styleId="FootnoteText">
    <w:name w:val="footnote text"/>
    <w:basedOn w:val="Normal"/>
    <w:link w:val="FootnoteTextChar"/>
    <w:qFormat/>
    <w:pPr>
      <w:spacing w:after="0" w:line="240" w:lineRule="auto"/>
      <w:ind w:left="567" w:hanging="567"/>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lang w:val="fr-FR"/>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rPr>
      <w:rFonts w:ascii="Times New Roman" w:hAnsi="Times New Roman"/>
      <w:b/>
      <w:sz w:val="24"/>
      <w:vertAlign w:val="superscript"/>
    </w:rPr>
  </w:style>
  <w:style w:type="character" w:styleId="Emphasis">
    <w:name w:val="Emphasis"/>
    <w:qFormat/>
    <w:rPr>
      <w:i/>
      <w:iCs/>
    </w:rPr>
  </w:style>
  <w:style w:type="paragraph" w:customStyle="1" w:styleId="a">
    <w:name w:val="Знак"/>
    <w:basedOn w:val="Normal"/>
    <w:pPr>
      <w:spacing w:after="160" w:line="240" w:lineRule="exact"/>
    </w:pPr>
    <w:rPr>
      <w:rFonts w:ascii="Arial" w:eastAsia="Batang" w:hAnsi="Arial" w:cs="Arial"/>
      <w:sz w:val="20"/>
      <w:szCs w:val="20"/>
    </w:rPr>
  </w:style>
  <w:style w:type="paragraph" w:customStyle="1" w:styleId="ListBullet1">
    <w:name w:val="List Bullet 1"/>
    <w:basedOn w:val="Normal"/>
    <w:pPr>
      <w:numPr>
        <w:numId w:val="3"/>
      </w:numPr>
      <w:spacing w:before="120" w:after="120" w:line="240" w:lineRule="auto"/>
      <w:jc w:val="both"/>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BalloonText">
    <w:name w:val="Balloon Text"/>
    <w:basedOn w:val="Normal"/>
    <w:link w:val="BalloonTextChar"/>
    <w:uiPriority w:val="9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fr-FR" w:eastAsia="fr-FR"/>
    </w:rPr>
  </w:style>
  <w:style w:type="character" w:customStyle="1" w:styleId="Corpsdutexte">
    <w:name w:val="Corps du texte_"/>
    <w:link w:val="Corpsdutexte0"/>
    <w:rPr>
      <w:sz w:val="21"/>
      <w:szCs w:val="21"/>
      <w:shd w:val="clear" w:color="auto" w:fill="FFFFFF"/>
    </w:rPr>
  </w:style>
  <w:style w:type="paragraph" w:customStyle="1" w:styleId="Corpsdutexte0">
    <w:name w:val="Corps du texte"/>
    <w:basedOn w:val="Normal"/>
    <w:link w:val="Corpsdutexte"/>
    <w:pPr>
      <w:widowControl w:val="0"/>
      <w:shd w:val="clear" w:color="auto" w:fill="FFFFFF"/>
      <w:spacing w:before="660" w:after="540" w:line="0" w:lineRule="atLeast"/>
      <w:ind w:hanging="480"/>
      <w:jc w:val="center"/>
    </w:pPr>
    <w:rPr>
      <w:sz w:val="21"/>
      <w:szCs w:val="21"/>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rpsdutexte2">
    <w:name w:val="Corps du texte (2)_"/>
    <w:link w:val="Corpsdutexte20"/>
    <w:rPr>
      <w:sz w:val="21"/>
      <w:szCs w:val="21"/>
      <w:shd w:val="clear" w:color="auto" w:fill="FFFFFF"/>
    </w:rPr>
  </w:style>
  <w:style w:type="character" w:customStyle="1" w:styleId="En-tteoupieddepage">
    <w:name w:val="En-tête ou pied de page_"/>
    <w:link w:val="En-tteoupieddepage0"/>
    <w:rPr>
      <w:shd w:val="clear" w:color="auto" w:fill="FFFFFF"/>
    </w:rPr>
  </w:style>
  <w:style w:type="character" w:customStyle="1" w:styleId="En-tte7">
    <w:name w:val="En-tête #7_"/>
    <w:link w:val="En-tte70"/>
    <w:rPr>
      <w:sz w:val="21"/>
      <w:szCs w:val="21"/>
      <w:shd w:val="clear" w:color="auto" w:fill="FFFFFF"/>
    </w:rPr>
  </w:style>
  <w:style w:type="character" w:customStyle="1" w:styleId="Corpsdutexte4">
    <w:name w:val="Corps du texte (4)_"/>
    <w:rPr>
      <w:b w:val="0"/>
      <w:bCs w:val="0"/>
      <w:i w:val="0"/>
      <w:iCs w:val="0"/>
      <w:smallCaps w:val="0"/>
      <w:strike w:val="0"/>
      <w:sz w:val="21"/>
      <w:szCs w:val="21"/>
      <w:u w:val="none"/>
    </w:rPr>
  </w:style>
  <w:style w:type="character" w:customStyle="1" w:styleId="Corpsdutexte6Exact">
    <w:name w:val="Corps du texte (6) Exact"/>
    <w:link w:val="Corpsdutexte6"/>
    <w:rPr>
      <w:spacing w:val="3"/>
      <w:shd w:val="clear" w:color="auto" w:fill="FFFFFF"/>
    </w:rPr>
  </w:style>
  <w:style w:type="character" w:customStyle="1" w:styleId="Corpsdutexte7Exact">
    <w:name w:val="Corps du texte (7) Exact"/>
    <w:link w:val="Corpsdutexte7"/>
    <w:rPr>
      <w:sz w:val="49"/>
      <w:szCs w:val="49"/>
      <w:shd w:val="clear" w:color="auto" w:fill="FFFFFF"/>
    </w:rPr>
  </w:style>
  <w:style w:type="character" w:customStyle="1" w:styleId="CorpsdutexteExact">
    <w:name w:val="Corps du texte Exact"/>
    <w:rPr>
      <w:b w:val="0"/>
      <w:bCs w:val="0"/>
      <w:i w:val="0"/>
      <w:iCs w:val="0"/>
      <w:smallCaps w:val="0"/>
      <w:strike w:val="0"/>
      <w:spacing w:val="4"/>
      <w:sz w:val="20"/>
      <w:szCs w:val="20"/>
      <w:u w:val="none"/>
    </w:rPr>
  </w:style>
  <w:style w:type="character" w:customStyle="1" w:styleId="CorpsdutexteGras">
    <w:name w:val="Corps du texte + Gras"/>
    <w:aliases w:val="Espacement 1 pt"/>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rPr>
  </w:style>
  <w:style w:type="character" w:customStyle="1" w:styleId="En-tteoupieddepage105pt">
    <w:name w:val="En-tête ou pied de page + 10.5 pt"/>
    <w:aliases w:val="Italique,Corps du texte + 11 pt,Corps du texte + 12 pt,En-tête ou pied de page + 26 pt,Echelle 9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CorpsdutexteItalique">
    <w:name w:val="Corps du texte + Italiqu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rPr>
  </w:style>
  <w:style w:type="character" w:customStyle="1" w:styleId="Corpsdutexte40">
    <w:name w:val="Corps du texte (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style>
  <w:style w:type="character" w:customStyle="1" w:styleId="Corpsdutexte175pt">
    <w:name w:val="Corps du texte + 17.5 pt"/>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rPr>
  </w:style>
  <w:style w:type="character" w:customStyle="1" w:styleId="En-tte72">
    <w:name w:val="En-tête #7 (2)_"/>
    <w:rPr>
      <w:b w:val="0"/>
      <w:bCs w:val="0"/>
      <w:i w:val="0"/>
      <w:iCs w:val="0"/>
      <w:smallCaps w:val="0"/>
      <w:strike w:val="0"/>
      <w:sz w:val="21"/>
      <w:szCs w:val="21"/>
      <w:u w:val="none"/>
    </w:rPr>
  </w:style>
  <w:style w:type="character" w:customStyle="1" w:styleId="En-tte720">
    <w:name w:val="En-tête #7 (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style>
  <w:style w:type="character" w:customStyle="1" w:styleId="En-tte7211pt">
    <w:name w:val="En-tête #7 (2) + 11 p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Corpsdutexte2Gras">
    <w:name w:val="Corps du texte (2) + Gras"/>
    <w:rPr>
      <w:rFonts w:ascii="Times New Roman" w:eastAsia="Times New Roman" w:hAnsi="Times New Roman" w:cs="Times New Roman"/>
      <w:b/>
      <w:bCs/>
      <w:i w:val="0"/>
      <w:iCs w:val="0"/>
      <w:smallCaps w:val="0"/>
      <w:strike w:val="0"/>
      <w:color w:val="000000"/>
      <w:spacing w:val="0"/>
      <w:w w:val="100"/>
      <w:position w:val="0"/>
      <w:sz w:val="21"/>
      <w:szCs w:val="21"/>
      <w:u w:val="none"/>
      <w:lang w:val="fr-FR"/>
    </w:rPr>
  </w:style>
  <w:style w:type="character" w:customStyle="1" w:styleId="Corpsdutexte4Gras">
    <w:name w:val="Corps du texte (4) + Gras"/>
    <w:rPr>
      <w:rFonts w:ascii="Times New Roman" w:eastAsia="Times New Roman" w:hAnsi="Times New Roman" w:cs="Times New Roman"/>
      <w:b/>
      <w:bCs/>
      <w:i w:val="0"/>
      <w:iCs w:val="0"/>
      <w:smallCaps w:val="0"/>
      <w:strike w:val="0"/>
      <w:color w:val="000000"/>
      <w:spacing w:val="0"/>
      <w:w w:val="100"/>
      <w:position w:val="0"/>
      <w:sz w:val="21"/>
      <w:szCs w:val="21"/>
      <w:u w:val="none"/>
      <w:lang w:val="fr-FR"/>
    </w:rPr>
  </w:style>
  <w:style w:type="paragraph" w:customStyle="1" w:styleId="Corpsdutexte20">
    <w:name w:val="Corps du texte (2)"/>
    <w:basedOn w:val="Normal"/>
    <w:link w:val="Corpsdutexte2"/>
    <w:pPr>
      <w:widowControl w:val="0"/>
      <w:shd w:val="clear" w:color="auto" w:fill="FFFFFF"/>
      <w:spacing w:after="3240" w:line="264" w:lineRule="exact"/>
      <w:jc w:val="right"/>
    </w:pPr>
    <w:rPr>
      <w:sz w:val="21"/>
      <w:szCs w:val="21"/>
    </w:rPr>
  </w:style>
  <w:style w:type="paragraph" w:customStyle="1" w:styleId="En-tteoupieddepage0">
    <w:name w:val="En-tête ou pied de page"/>
    <w:basedOn w:val="Normal"/>
    <w:link w:val="En-tteoupieddepage"/>
    <w:pPr>
      <w:widowControl w:val="0"/>
      <w:shd w:val="clear" w:color="auto" w:fill="FFFFFF"/>
      <w:spacing w:after="0" w:line="240" w:lineRule="auto"/>
    </w:pPr>
  </w:style>
  <w:style w:type="paragraph" w:customStyle="1" w:styleId="En-tte70">
    <w:name w:val="En-tête #7"/>
    <w:basedOn w:val="Normal"/>
    <w:link w:val="En-tte7"/>
    <w:pPr>
      <w:widowControl w:val="0"/>
      <w:shd w:val="clear" w:color="auto" w:fill="FFFFFF"/>
      <w:spacing w:after="0" w:line="374" w:lineRule="exact"/>
      <w:ind w:hanging="380"/>
      <w:jc w:val="both"/>
      <w:outlineLvl w:val="6"/>
    </w:pPr>
    <w:rPr>
      <w:sz w:val="21"/>
      <w:szCs w:val="21"/>
    </w:rPr>
  </w:style>
  <w:style w:type="paragraph" w:customStyle="1" w:styleId="Corpsdutexte6">
    <w:name w:val="Corps du texte (6)"/>
    <w:basedOn w:val="Normal"/>
    <w:link w:val="Corpsdutexte6Exact"/>
    <w:pPr>
      <w:widowControl w:val="0"/>
      <w:shd w:val="clear" w:color="auto" w:fill="FFFFFF"/>
      <w:spacing w:after="0" w:line="0" w:lineRule="atLeast"/>
    </w:pPr>
    <w:rPr>
      <w:spacing w:val="3"/>
    </w:rPr>
  </w:style>
  <w:style w:type="paragraph" w:customStyle="1" w:styleId="Corpsdutexte7">
    <w:name w:val="Corps du texte (7)"/>
    <w:basedOn w:val="Normal"/>
    <w:link w:val="Corpsdutexte7Exact"/>
    <w:pPr>
      <w:widowControl w:val="0"/>
      <w:shd w:val="clear" w:color="auto" w:fill="FFFFFF"/>
      <w:spacing w:after="0" w:line="0" w:lineRule="atLeast"/>
    </w:pPr>
    <w:rPr>
      <w:sz w:val="49"/>
      <w:szCs w:val="49"/>
    </w:rPr>
  </w:style>
  <w:style w:type="paragraph" w:customStyle="1" w:styleId="doc-ti">
    <w:name w:val="doc-ti"/>
    <w:basedOn w:val="Normal"/>
    <w:pPr>
      <w:spacing w:before="240" w:after="120" w:line="240" w:lineRule="auto"/>
      <w:jc w:val="center"/>
    </w:pPr>
    <w:rPr>
      <w:rFonts w:ascii="Times New Roman" w:eastAsia="Times New Roman" w:hAnsi="Times New Roman" w:cs="Times New Roman"/>
      <w:b/>
      <w:bCs/>
      <w:sz w:val="24"/>
      <w:szCs w:val="24"/>
    </w:rPr>
  </w:style>
  <w:style w:type="character" w:styleId="Hyperlink">
    <w:name w:val="Hyperlink"/>
    <w:uiPriority w:val="99"/>
    <w:unhideWhenUsed/>
    <w:rPr>
      <w:color w:val="0000FF"/>
      <w:u w:val="single"/>
    </w:rPr>
  </w:style>
  <w:style w:type="character" w:customStyle="1" w:styleId="En-tteoupieddepage23pt">
    <w:name w:val="En-tête ou pied de page + 23 pt"/>
    <w:aliases w:val="Gras,Espacement 2 pt,Echelle 66%,En-tête ou pied de page + Arial,21 pt,Corps du texte (2) + 16.5 pt,Non Italique,Corps du texte (3) + 17.5 pt,Non Gras"/>
    <w:rPr>
      <w:rFonts w:ascii="Times New Roman" w:eastAsia="Times New Roman" w:hAnsi="Times New Roman" w:cs="Times New Roman"/>
      <w:b/>
      <w:bCs/>
      <w:i w:val="0"/>
      <w:iCs w:val="0"/>
      <w:smallCaps w:val="0"/>
      <w:strike w:val="0"/>
      <w:color w:val="000000"/>
      <w:spacing w:val="40"/>
      <w:w w:val="66"/>
      <w:position w:val="0"/>
      <w:sz w:val="46"/>
      <w:szCs w:val="46"/>
      <w:u w:val="none"/>
      <w:lang w:val="fr-FR"/>
    </w:rPr>
  </w:style>
  <w:style w:type="paragraph" w:customStyle="1" w:styleId="Corpsdutexte1">
    <w:name w:val="Corps du texte1"/>
    <w:basedOn w:val="Normal"/>
    <w:uiPriority w:val="99"/>
    <w:pPr>
      <w:widowControl w:val="0"/>
      <w:shd w:val="clear" w:color="auto" w:fill="FFFFFF"/>
      <w:spacing w:before="900" w:after="360" w:line="408" w:lineRule="exact"/>
      <w:ind w:hanging="600"/>
      <w:jc w:val="center"/>
    </w:pPr>
    <w:rPr>
      <w:rFonts w:ascii="Times New Roman" w:eastAsia="Times New Roman" w:hAnsi="Times New Roman" w:cs="Times New Roman"/>
      <w:sz w:val="24"/>
      <w:szCs w:val="24"/>
    </w:rPr>
  </w:style>
  <w:style w:type="character" w:customStyle="1" w:styleId="Corpsdutexte211pt">
    <w:name w:val="Corps du texte (2) + 11 pt"/>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En-tte1">
    <w:name w:val="En-tête #1_"/>
    <w:link w:val="En-tte10"/>
    <w:rPr>
      <w:sz w:val="21"/>
      <w:szCs w:val="21"/>
      <w:shd w:val="clear" w:color="auto" w:fill="FFFFFF"/>
      <w:lang w:val="fr-FR"/>
    </w:rPr>
  </w:style>
  <w:style w:type="character" w:customStyle="1" w:styleId="En-tte1Espacement2pt">
    <w:name w:val="En-tête #1 + Espacement 2 pt"/>
    <w:rPr>
      <w:rFonts w:ascii="Times New Roman" w:eastAsia="Times New Roman" w:hAnsi="Times New Roman" w:cs="Times New Roman"/>
      <w:color w:val="000000"/>
      <w:spacing w:val="40"/>
      <w:w w:val="100"/>
      <w:position w:val="0"/>
      <w:sz w:val="21"/>
      <w:szCs w:val="21"/>
      <w:shd w:val="clear" w:color="auto" w:fill="FFFFFF"/>
      <w:lang w:val="fr-FR"/>
    </w:rPr>
  </w:style>
  <w:style w:type="character" w:customStyle="1" w:styleId="Corpsdutexte3">
    <w:name w:val="Corps du texte (3)_"/>
    <w:rPr>
      <w:b w:val="0"/>
      <w:bCs w:val="0"/>
      <w:i w:val="0"/>
      <w:iCs w:val="0"/>
      <w:smallCaps w:val="0"/>
      <w:strike w:val="0"/>
      <w:sz w:val="34"/>
      <w:szCs w:val="34"/>
      <w:u w:val="none"/>
    </w:rPr>
  </w:style>
  <w:style w:type="character" w:customStyle="1" w:styleId="Corpsdutexte30">
    <w:name w:val="Corps du texte (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rPr>
  </w:style>
  <w:style w:type="character" w:customStyle="1" w:styleId="En-tte3">
    <w:name w:val="En-tête #3_"/>
    <w:link w:val="En-tte30"/>
    <w:rPr>
      <w:spacing w:val="10"/>
      <w:sz w:val="28"/>
      <w:szCs w:val="28"/>
      <w:shd w:val="clear" w:color="auto" w:fill="FFFFFF"/>
    </w:rPr>
  </w:style>
  <w:style w:type="character" w:customStyle="1" w:styleId="En-tte4">
    <w:name w:val="En-tête #4_"/>
    <w:link w:val="En-tte40"/>
    <w:rPr>
      <w:spacing w:val="10"/>
      <w:sz w:val="28"/>
      <w:szCs w:val="28"/>
      <w:shd w:val="clear" w:color="auto" w:fill="FFFFFF"/>
    </w:rPr>
  </w:style>
  <w:style w:type="character" w:customStyle="1" w:styleId="En-tte5">
    <w:name w:val="En-tête #5_"/>
    <w:link w:val="En-tte50"/>
    <w:rPr>
      <w:sz w:val="30"/>
      <w:szCs w:val="30"/>
      <w:shd w:val="clear" w:color="auto" w:fill="FFFFFF"/>
      <w:lang w:val="fr-FR"/>
    </w:rPr>
  </w:style>
  <w:style w:type="character" w:customStyle="1" w:styleId="En-tte6">
    <w:name w:val="En-tête #6_"/>
    <w:link w:val="En-tte60"/>
    <w:rPr>
      <w:sz w:val="21"/>
      <w:szCs w:val="21"/>
      <w:shd w:val="clear" w:color="auto" w:fill="FFFFFF"/>
      <w:lang w:val="fr-FR"/>
    </w:rPr>
  </w:style>
  <w:style w:type="character" w:customStyle="1" w:styleId="En-tte6Espacement1pt">
    <w:name w:val="En-tête #6 + Espacement 1 pt"/>
    <w:rPr>
      <w:rFonts w:ascii="Times New Roman" w:eastAsia="Times New Roman" w:hAnsi="Times New Roman" w:cs="Times New Roman"/>
      <w:color w:val="000000"/>
      <w:spacing w:val="30"/>
      <w:w w:val="100"/>
      <w:position w:val="0"/>
      <w:sz w:val="21"/>
      <w:szCs w:val="21"/>
      <w:shd w:val="clear" w:color="auto" w:fill="FFFFFF"/>
      <w:lang w:val="fr-FR"/>
    </w:rPr>
  </w:style>
  <w:style w:type="character" w:customStyle="1" w:styleId="En-tteoupieddepageEspacement0pt">
    <w:name w:val="En-tête ou pied de page + Espacement 0 pt"/>
    <w:rPr>
      <w:rFonts w:ascii="Times New Roman" w:eastAsia="Times New Roman" w:hAnsi="Times New Roman" w:cs="Times New Roman"/>
      <w:color w:val="000000"/>
      <w:spacing w:val="10"/>
      <w:w w:val="100"/>
      <w:position w:val="0"/>
      <w:sz w:val="20"/>
      <w:szCs w:val="20"/>
      <w:shd w:val="clear" w:color="auto" w:fill="FFFFFF"/>
      <w:lang w:val="fr-FR"/>
    </w:rPr>
  </w:style>
  <w:style w:type="character" w:customStyle="1" w:styleId="En-tte62">
    <w:name w:val="En-tête #6 (2)_"/>
    <w:link w:val="En-tte620"/>
    <w:rPr>
      <w:spacing w:val="10"/>
      <w:sz w:val="31"/>
      <w:szCs w:val="31"/>
      <w:shd w:val="clear" w:color="auto" w:fill="FFFFFF"/>
      <w:lang w:val="fr-FR"/>
    </w:rPr>
  </w:style>
  <w:style w:type="character" w:customStyle="1" w:styleId="Corpsdutexte5">
    <w:name w:val="Corps du texte (5)_"/>
    <w:link w:val="Corpsdutexte50"/>
    <w:rPr>
      <w:spacing w:val="10"/>
      <w:sz w:val="31"/>
      <w:szCs w:val="31"/>
      <w:shd w:val="clear" w:color="auto" w:fill="FFFFFF"/>
      <w:lang w:val="fr-FR"/>
    </w:rPr>
  </w:style>
  <w:style w:type="character" w:customStyle="1" w:styleId="Lgendedelimage">
    <w:name w:val="Légende de l'image_"/>
    <w:rPr>
      <w:b w:val="0"/>
      <w:bCs w:val="0"/>
      <w:i w:val="0"/>
      <w:iCs w:val="0"/>
      <w:smallCaps w:val="0"/>
      <w:strike w:val="0"/>
      <w:sz w:val="21"/>
      <w:szCs w:val="21"/>
      <w:u w:val="none"/>
    </w:rPr>
  </w:style>
  <w:style w:type="character" w:customStyle="1" w:styleId="Lgendedelimage0">
    <w:name w:val="Légende de l'imag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style>
  <w:style w:type="character" w:customStyle="1" w:styleId="Corpsdutexte8">
    <w:name w:val="Corps du texte (8)_"/>
    <w:rPr>
      <w:b w:val="0"/>
      <w:bCs w:val="0"/>
      <w:i w:val="0"/>
      <w:iCs w:val="0"/>
      <w:smallCaps w:val="0"/>
      <w:strike w:val="0"/>
      <w:sz w:val="16"/>
      <w:szCs w:val="16"/>
      <w:u w:val="none"/>
    </w:rPr>
  </w:style>
  <w:style w:type="character" w:customStyle="1" w:styleId="Corpsdutexte80">
    <w:name w:val="Corps du texte (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rPr>
  </w:style>
  <w:style w:type="character" w:customStyle="1" w:styleId="Corpsdutexte8Gras">
    <w:name w:val="Corps du texte (8) + Gras"/>
    <w:rPr>
      <w:rFonts w:ascii="Times New Roman" w:eastAsia="Times New Roman" w:hAnsi="Times New Roman" w:cs="Times New Roman"/>
      <w:b/>
      <w:bCs/>
      <w:i w:val="0"/>
      <w:iCs w:val="0"/>
      <w:smallCaps w:val="0"/>
      <w:strike w:val="0"/>
      <w:color w:val="000000"/>
      <w:spacing w:val="0"/>
      <w:w w:val="100"/>
      <w:position w:val="0"/>
      <w:sz w:val="16"/>
      <w:szCs w:val="16"/>
      <w:u w:val="none"/>
      <w:lang w:val="fr-FR"/>
    </w:rPr>
  </w:style>
  <w:style w:type="character" w:customStyle="1" w:styleId="Lgendedelimage2">
    <w:name w:val="Légende de l'image (2)_"/>
    <w:link w:val="Lgendedelimage20"/>
    <w:rPr>
      <w:sz w:val="21"/>
      <w:szCs w:val="21"/>
      <w:shd w:val="clear" w:color="auto" w:fill="FFFFFF"/>
    </w:rPr>
  </w:style>
  <w:style w:type="character" w:customStyle="1" w:styleId="Corpsdutexte4Espacement-1pt">
    <w:name w:val="Corps du texte (4) + Espacement -1 p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fr-FR"/>
    </w:rPr>
  </w:style>
  <w:style w:type="character" w:customStyle="1" w:styleId="En-tte72Gras">
    <w:name w:val="En-tête #7 (2) + Gras"/>
    <w:rPr>
      <w:rFonts w:ascii="Times New Roman" w:eastAsia="Times New Roman" w:hAnsi="Times New Roman" w:cs="Times New Roman"/>
      <w:b/>
      <w:bCs/>
      <w:i w:val="0"/>
      <w:iCs w:val="0"/>
      <w:smallCaps w:val="0"/>
      <w:strike w:val="0"/>
      <w:color w:val="000000"/>
      <w:spacing w:val="0"/>
      <w:w w:val="100"/>
      <w:position w:val="0"/>
      <w:sz w:val="21"/>
      <w:szCs w:val="21"/>
      <w:u w:val="none"/>
      <w:lang w:val="fr-FR"/>
    </w:rPr>
  </w:style>
  <w:style w:type="character" w:customStyle="1" w:styleId="Corpsdutexte95pt">
    <w:name w:val="Corps du texte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rPr>
  </w:style>
  <w:style w:type="character" w:customStyle="1" w:styleId="En-tte2">
    <w:name w:val="En-tête #2_"/>
    <w:link w:val="En-tte20"/>
    <w:rPr>
      <w:sz w:val="30"/>
      <w:szCs w:val="30"/>
      <w:shd w:val="clear" w:color="auto" w:fill="FFFFFF"/>
      <w:lang w:val="fr-FR"/>
    </w:rPr>
  </w:style>
  <w:style w:type="paragraph" w:customStyle="1" w:styleId="En-tte10">
    <w:name w:val="En-tête #1"/>
    <w:basedOn w:val="Normal"/>
    <w:link w:val="En-tte1"/>
    <w:pPr>
      <w:widowControl w:val="0"/>
      <w:shd w:val="clear" w:color="auto" w:fill="FFFFFF"/>
      <w:spacing w:before="120" w:after="480" w:line="0" w:lineRule="atLeast"/>
      <w:jc w:val="center"/>
      <w:outlineLvl w:val="0"/>
    </w:pPr>
    <w:rPr>
      <w:sz w:val="21"/>
      <w:szCs w:val="21"/>
    </w:rPr>
  </w:style>
  <w:style w:type="paragraph" w:customStyle="1" w:styleId="En-tte30">
    <w:name w:val="En-tête #3"/>
    <w:basedOn w:val="Normal"/>
    <w:link w:val="En-tte3"/>
    <w:pPr>
      <w:widowControl w:val="0"/>
      <w:shd w:val="clear" w:color="auto" w:fill="FFFFFF"/>
      <w:spacing w:after="0" w:line="0" w:lineRule="atLeast"/>
      <w:outlineLvl w:val="2"/>
    </w:pPr>
    <w:rPr>
      <w:spacing w:val="10"/>
      <w:sz w:val="28"/>
      <w:szCs w:val="28"/>
    </w:rPr>
  </w:style>
  <w:style w:type="paragraph" w:customStyle="1" w:styleId="En-tte40">
    <w:name w:val="En-tête #4"/>
    <w:basedOn w:val="Normal"/>
    <w:link w:val="En-tte4"/>
    <w:pPr>
      <w:widowControl w:val="0"/>
      <w:shd w:val="clear" w:color="auto" w:fill="FFFFFF"/>
      <w:spacing w:after="120" w:line="0" w:lineRule="atLeast"/>
      <w:outlineLvl w:val="3"/>
    </w:pPr>
    <w:rPr>
      <w:spacing w:val="10"/>
      <w:sz w:val="28"/>
      <w:szCs w:val="28"/>
    </w:rPr>
  </w:style>
  <w:style w:type="paragraph" w:customStyle="1" w:styleId="En-tte50">
    <w:name w:val="En-tête #5"/>
    <w:basedOn w:val="Normal"/>
    <w:link w:val="En-tte5"/>
    <w:pPr>
      <w:widowControl w:val="0"/>
      <w:shd w:val="clear" w:color="auto" w:fill="FFFFFF"/>
      <w:spacing w:before="120" w:after="660" w:line="0" w:lineRule="atLeast"/>
      <w:jc w:val="center"/>
      <w:outlineLvl w:val="4"/>
    </w:pPr>
    <w:rPr>
      <w:sz w:val="30"/>
      <w:szCs w:val="30"/>
    </w:rPr>
  </w:style>
  <w:style w:type="paragraph" w:customStyle="1" w:styleId="En-tte60">
    <w:name w:val="En-tête #6"/>
    <w:basedOn w:val="Normal"/>
    <w:link w:val="En-tte6"/>
    <w:pPr>
      <w:widowControl w:val="0"/>
      <w:shd w:val="clear" w:color="auto" w:fill="FFFFFF"/>
      <w:spacing w:after="0" w:line="346" w:lineRule="exact"/>
      <w:ind w:firstLine="360"/>
      <w:outlineLvl w:val="5"/>
    </w:pPr>
    <w:rPr>
      <w:sz w:val="21"/>
      <w:szCs w:val="21"/>
    </w:rPr>
  </w:style>
  <w:style w:type="paragraph" w:customStyle="1" w:styleId="En-tte620">
    <w:name w:val="En-tête #6 (2)"/>
    <w:basedOn w:val="Normal"/>
    <w:link w:val="En-tte62"/>
    <w:pPr>
      <w:widowControl w:val="0"/>
      <w:shd w:val="clear" w:color="auto" w:fill="FFFFFF"/>
      <w:spacing w:after="0" w:line="360" w:lineRule="exact"/>
      <w:jc w:val="both"/>
      <w:outlineLvl w:val="5"/>
    </w:pPr>
    <w:rPr>
      <w:spacing w:val="10"/>
      <w:sz w:val="31"/>
      <w:szCs w:val="31"/>
    </w:rPr>
  </w:style>
  <w:style w:type="paragraph" w:customStyle="1" w:styleId="Corpsdutexte50">
    <w:name w:val="Corps du texte (5)"/>
    <w:basedOn w:val="Normal"/>
    <w:link w:val="Corpsdutexte5"/>
    <w:pPr>
      <w:widowControl w:val="0"/>
      <w:shd w:val="clear" w:color="auto" w:fill="FFFFFF"/>
      <w:spacing w:after="0" w:line="360" w:lineRule="exact"/>
      <w:jc w:val="both"/>
    </w:pPr>
    <w:rPr>
      <w:spacing w:val="10"/>
      <w:sz w:val="31"/>
      <w:szCs w:val="31"/>
    </w:rPr>
  </w:style>
  <w:style w:type="paragraph" w:customStyle="1" w:styleId="Lgendedelimage20">
    <w:name w:val="Légende de l'image (2)"/>
    <w:basedOn w:val="Normal"/>
    <w:link w:val="Lgendedelimage2"/>
    <w:pPr>
      <w:widowControl w:val="0"/>
      <w:shd w:val="clear" w:color="auto" w:fill="FFFFFF"/>
      <w:spacing w:after="0" w:line="0" w:lineRule="atLeast"/>
    </w:pPr>
    <w:rPr>
      <w:sz w:val="21"/>
      <w:szCs w:val="21"/>
    </w:rPr>
  </w:style>
  <w:style w:type="paragraph" w:customStyle="1" w:styleId="En-tte20">
    <w:name w:val="En-tête #2"/>
    <w:basedOn w:val="Normal"/>
    <w:link w:val="En-tte2"/>
    <w:pPr>
      <w:widowControl w:val="0"/>
      <w:shd w:val="clear" w:color="auto" w:fill="FFFFFF"/>
      <w:spacing w:after="780" w:line="0" w:lineRule="atLeast"/>
      <w:jc w:val="both"/>
      <w:outlineLvl w:val="1"/>
    </w:pPr>
    <w:rPr>
      <w:sz w:val="30"/>
      <w:szCs w:val="30"/>
    </w:rPr>
  </w:style>
  <w:style w:type="paragraph" w:styleId="ListParagraph">
    <w:name w:val="List Paragraph"/>
    <w:basedOn w:val="Normal"/>
    <w:uiPriority w:val="34"/>
    <w:qFormat/>
    <w:pPr>
      <w:spacing w:after="0" w:line="240" w:lineRule="auto"/>
      <w:ind w:left="720"/>
    </w:pPr>
    <w:rPr>
      <w:rFonts w:ascii="Calibri" w:eastAsia="Calibri" w:hAnsi="Calibri" w:cs="Times New Roman"/>
    </w:rPr>
  </w:style>
  <w:style w:type="numbering" w:customStyle="1" w:styleId="NoList11">
    <w:name w:val="No List11"/>
    <w:next w:val="NoList"/>
    <w:uiPriority w:val="99"/>
    <w:semiHidden/>
    <w:unhideWhenUsed/>
  </w:style>
  <w:style w:type="numbering" w:customStyle="1" w:styleId="NoList111">
    <w:name w:val="No List111"/>
    <w:next w:val="NoList"/>
    <w:uiPriority w:val="99"/>
    <w:semiHidden/>
  </w:style>
  <w:style w:type="character" w:styleId="PageNumber">
    <w:name w:val="page number"/>
  </w:style>
  <w:style w:type="character" w:customStyle="1" w:styleId="ecx472343111-23052011">
    <w:name w:val="ecx472343111-23052011"/>
  </w:style>
  <w:style w:type="character" w:customStyle="1" w:styleId="apple-style-span">
    <w:name w:val="apple-style-span"/>
  </w:style>
  <w:style w:type="paragraph" w:customStyle="1" w:styleId="msolistparagraph0">
    <w:name w:val="msolistparagraph"/>
    <w:basedOn w:val="Normal"/>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pPr>
      <w:spacing w:after="0" w:line="240" w:lineRule="auto"/>
    </w:pPr>
    <w:rPr>
      <w:rFonts w:ascii="Times New Roman" w:eastAsia="Times New Roman" w:hAnsi="Times New Roman" w:cs="Times New Roman"/>
      <w:b/>
      <w:bCs/>
      <w:sz w:val="20"/>
      <w:szCs w:val="20"/>
    </w:rPr>
  </w:style>
  <w:style w:type="paragraph" w:customStyle="1" w:styleId="Text1">
    <w:name w:val="Text 1"/>
    <w:basedOn w:val="Normal"/>
    <w:link w:val="Text1Znak"/>
    <w:pPr>
      <w:spacing w:before="120" w:after="120" w:line="240" w:lineRule="auto"/>
      <w:ind w:left="850"/>
      <w:jc w:val="both"/>
    </w:pPr>
    <w:rPr>
      <w:rFonts w:ascii="Times New Roman" w:eastAsia="Times New Roman" w:hAnsi="Times New Roman" w:cs="Times New Roman"/>
      <w:sz w:val="24"/>
      <w:szCs w:val="20"/>
    </w:rPr>
  </w:style>
  <w:style w:type="paragraph" w:styleId="BodyText">
    <w:name w:val="Body Text"/>
    <w:aliases w:val="Texto independiente Car,Car1 Car,Body"/>
    <w:basedOn w:val="Normal"/>
    <w:link w:val="BodyTextChar"/>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Texto independiente Car Char,Car1 Car Char,Body Char"/>
    <w:basedOn w:val="DefaultParagraphFont"/>
    <w:link w:val="BodyText"/>
    <w:rPr>
      <w:rFonts w:ascii="Times New Roman" w:eastAsia="Times New Roman" w:hAnsi="Times New Roman" w:cs="Times New Roman"/>
      <w:sz w:val="24"/>
      <w:szCs w:val="24"/>
      <w:lang w:val="fr-FR" w:eastAsia="fr-FR"/>
    </w:rPr>
  </w:style>
  <w:style w:type="paragraph" w:customStyle="1" w:styleId="ListNumber1">
    <w:name w:val="List Number 1"/>
    <w:basedOn w:val="Text1"/>
    <w:pPr>
      <w:numPr>
        <w:numId w:val="17"/>
      </w:numPr>
      <w:tabs>
        <w:tab w:val="clear" w:pos="1560"/>
        <w:tab w:val="num" w:pos="720"/>
      </w:tabs>
      <w:ind w:left="720" w:hanging="360"/>
    </w:pPr>
    <w:rPr>
      <w:szCs w:val="24"/>
    </w:rPr>
  </w:style>
  <w:style w:type="paragraph" w:customStyle="1" w:styleId="ListNumber1Level2">
    <w:name w:val="List Number 1 (Level 2)"/>
    <w:basedOn w:val="Text1"/>
    <w:pPr>
      <w:numPr>
        <w:ilvl w:val="1"/>
        <w:numId w:val="17"/>
      </w:numPr>
      <w:tabs>
        <w:tab w:val="clear" w:pos="2268"/>
        <w:tab w:val="num" w:pos="1440"/>
      </w:tabs>
      <w:ind w:left="1440" w:hanging="360"/>
    </w:pPr>
    <w:rPr>
      <w:szCs w:val="24"/>
    </w:rPr>
  </w:style>
  <w:style w:type="paragraph" w:customStyle="1" w:styleId="ListNumber1Level3">
    <w:name w:val="List Number 1 (Level 3)"/>
    <w:basedOn w:val="Text1"/>
    <w:pPr>
      <w:numPr>
        <w:ilvl w:val="2"/>
        <w:numId w:val="17"/>
      </w:numPr>
      <w:tabs>
        <w:tab w:val="clear" w:pos="2977"/>
        <w:tab w:val="num" w:pos="2160"/>
      </w:tabs>
      <w:ind w:left="2160" w:hanging="360"/>
    </w:pPr>
    <w:rPr>
      <w:szCs w:val="24"/>
    </w:rPr>
  </w:style>
  <w:style w:type="paragraph" w:customStyle="1" w:styleId="ListNumber1Level4">
    <w:name w:val="List Number 1 (Level 4)"/>
    <w:basedOn w:val="Text1"/>
    <w:pPr>
      <w:numPr>
        <w:ilvl w:val="3"/>
        <w:numId w:val="17"/>
      </w:numPr>
      <w:tabs>
        <w:tab w:val="clear" w:pos="3686"/>
        <w:tab w:val="num" w:pos="2880"/>
      </w:tabs>
      <w:ind w:left="2880" w:hanging="360"/>
    </w:pPr>
    <w:rPr>
      <w:szCs w:val="24"/>
    </w:rPr>
  </w:style>
  <w:style w:type="paragraph" w:customStyle="1" w:styleId="Titrearticle">
    <w:name w:val="Titre article"/>
    <w:basedOn w:val="Normal"/>
    <w:next w:val="Normal"/>
    <w:link w:val="TitrearticleChar"/>
    <w:pPr>
      <w:keepNext/>
      <w:spacing w:before="360" w:after="120" w:line="240" w:lineRule="auto"/>
      <w:jc w:val="center"/>
    </w:pPr>
    <w:rPr>
      <w:rFonts w:ascii="Times New Roman" w:eastAsia="Times New Roman" w:hAnsi="Times New Roman" w:cs="Times New Roman"/>
      <w:i/>
      <w:sz w:val="24"/>
      <w:szCs w:val="24"/>
    </w:rPr>
  </w:style>
  <w:style w:type="paragraph" w:customStyle="1" w:styleId="Text2">
    <w:name w:val="Text 2"/>
    <w:basedOn w:val="Normal"/>
    <w:pPr>
      <w:numPr>
        <w:numId w:val="21"/>
      </w:numPr>
      <w:tabs>
        <w:tab w:val="clear" w:pos="360"/>
      </w:tabs>
      <w:spacing w:before="120" w:after="120" w:line="240" w:lineRule="auto"/>
      <w:ind w:left="850" w:firstLine="0"/>
      <w:jc w:val="both"/>
    </w:pPr>
    <w:rPr>
      <w:rFonts w:ascii="Times New Roman" w:eastAsia="Times New Roman" w:hAnsi="Times New Roman" w:cs="Times New Roman"/>
      <w:sz w:val="24"/>
      <w:szCs w:val="24"/>
    </w:rPr>
  </w:style>
  <w:style w:type="paragraph" w:styleId="ListNumber">
    <w:name w:val="List Number"/>
    <w:basedOn w:val="Normal"/>
    <w:pPr>
      <w:numPr>
        <w:numId w:val="18"/>
      </w:numPr>
      <w:spacing w:before="120" w:after="12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pPr>
      <w:numPr>
        <w:ilvl w:val="1"/>
        <w:numId w:val="18"/>
      </w:numPr>
      <w:spacing w:before="120" w:after="12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pPr>
      <w:numPr>
        <w:ilvl w:val="2"/>
        <w:numId w:val="18"/>
      </w:numPr>
      <w:spacing w:before="120" w:after="12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pPr>
      <w:numPr>
        <w:ilvl w:val="3"/>
        <w:numId w:val="18"/>
      </w:numPr>
      <w:spacing w:before="120" w:after="12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harCharCharCharCharCharChar">
    <w:name w:val="Char Char Char Char Char Char Char"/>
    <w:aliases w:val=" Char Char Char Char Char1"/>
    <w:basedOn w:val="Normal"/>
    <w:next w:val="Normal"/>
    <w:pPr>
      <w:spacing w:after="160" w:line="240" w:lineRule="exact"/>
    </w:pPr>
    <w:rPr>
      <w:rFonts w:ascii="Tahoma" w:eastAsia="Times New Roman" w:hAnsi="Tahoma" w:cs="Times New Roman"/>
      <w:sz w:val="24"/>
      <w:szCs w:val="20"/>
    </w:rPr>
  </w:style>
  <w:style w:type="paragraph" w:styleId="Title">
    <w:name w:val="Title"/>
    <w:basedOn w:val="Normal"/>
    <w:next w:val="Normal"/>
    <w:link w:val="TitleChar"/>
    <w:uiPriority w:val="10"/>
    <w:qFormat/>
    <w:pPr>
      <w:spacing w:before="240" w:after="60"/>
      <w:jc w:val="center"/>
      <w:outlineLvl w:val="0"/>
    </w:pPr>
    <w:rPr>
      <w:rFonts w:ascii="Times New Roman" w:eastAsia="Times New Roman" w:hAnsi="Times New Roman" w:cs="Times New Roman"/>
      <w:b/>
      <w:bCs/>
      <w:kern w:val="28"/>
      <w:sz w:val="24"/>
      <w:szCs w:val="32"/>
    </w:rPr>
  </w:style>
  <w:style w:type="character" w:customStyle="1" w:styleId="TitleChar">
    <w:name w:val="Title Char"/>
    <w:basedOn w:val="DefaultParagraphFont"/>
    <w:link w:val="Title"/>
    <w:uiPriority w:val="10"/>
    <w:rPr>
      <w:rFonts w:ascii="Times New Roman" w:eastAsia="Times New Roman" w:hAnsi="Times New Roman" w:cs="Times New Roman"/>
      <w:b/>
      <w:bCs/>
      <w:kern w:val="28"/>
      <w:sz w:val="24"/>
      <w:szCs w:val="32"/>
      <w:lang w:val="fr-FR"/>
    </w:rPr>
  </w:style>
  <w:style w:type="paragraph" w:styleId="PlainText">
    <w:name w:val="Plain Text"/>
    <w:basedOn w:val="Normal"/>
    <w:link w:val="PlainTextChar"/>
    <w:uiPriority w:val="99"/>
    <w:unhideWhenUsed/>
    <w:pPr>
      <w:spacing w:after="0" w:line="240" w:lineRule="auto"/>
    </w:pPr>
    <w:rPr>
      <w:rFonts w:ascii="Times New Roman" w:eastAsia="Calibri" w:hAnsi="Times New Roman" w:cs="Times New Roman"/>
      <w:sz w:val="24"/>
      <w:szCs w:val="24"/>
    </w:rPr>
  </w:style>
  <w:style w:type="character" w:customStyle="1" w:styleId="PlainTextChar">
    <w:name w:val="Plain Text Char"/>
    <w:basedOn w:val="DefaultParagraphFont"/>
    <w:link w:val="PlainText"/>
    <w:uiPriority w:val="99"/>
    <w:rPr>
      <w:rFonts w:ascii="Times New Roman" w:eastAsia="Calibri" w:hAnsi="Times New Roman" w:cs="Times New Roman"/>
      <w:sz w:val="24"/>
      <w:szCs w:val="24"/>
      <w:lang w:val="fr-FR"/>
    </w:rPr>
  </w:style>
  <w:style w:type="paragraph" w:customStyle="1" w:styleId="Bullet1">
    <w:name w:val="Bullet 1"/>
    <w:basedOn w:val="Normal"/>
    <w:pPr>
      <w:numPr>
        <w:numId w:val="19"/>
      </w:numPr>
      <w:spacing w:before="120" w:after="120" w:line="360" w:lineRule="auto"/>
      <w:outlineLvl w:val="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Bullet2">
    <w:name w:val="List Bullet 2"/>
    <w:basedOn w:val="Normal"/>
    <w:pPr>
      <w:numPr>
        <w:numId w:val="20"/>
      </w:numPr>
      <w:spacing w:after="0" w:line="240" w:lineRule="auto"/>
      <w:contextualSpacing/>
    </w:pPr>
    <w:rPr>
      <w:rFonts w:ascii="Times New Roman" w:eastAsia="Times New Roman" w:hAnsi="Times New Roman" w:cs="Times New Roman"/>
      <w:sz w:val="24"/>
      <w:szCs w:val="24"/>
    </w:rPr>
  </w:style>
  <w:style w:type="numbering" w:customStyle="1" w:styleId="NoList1111">
    <w:name w:val="No List1111"/>
    <w:next w:val="NoList"/>
    <w:uiPriority w:val="99"/>
    <w:semiHidden/>
    <w:unhideWhenUsed/>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character" w:customStyle="1" w:styleId="spschname">
    <w:name w:val="sp_schname"/>
  </w:style>
  <w:style w:type="character" w:customStyle="1" w:styleId="TitrearticleChar">
    <w:name w:val="Titre article Char"/>
    <w:link w:val="Titrearticle"/>
    <w:rPr>
      <w:rFonts w:ascii="Times New Roman" w:eastAsia="Times New Roman" w:hAnsi="Times New Roman" w:cs="Times New Roman"/>
      <w:i/>
      <w:sz w:val="24"/>
      <w:szCs w:val="24"/>
      <w:lang w:eastAsia="fr-FR"/>
    </w:rPr>
  </w:style>
  <w:style w:type="paragraph" w:customStyle="1" w:styleId="num">
    <w:name w:val="num"/>
    <w:basedOn w:val="Normal"/>
    <w:pPr>
      <w:spacing w:after="240" w:line="240" w:lineRule="auto"/>
      <w:ind w:left="850" w:hanging="850"/>
      <w:jc w:val="both"/>
    </w:pPr>
    <w:rPr>
      <w:rFonts w:ascii="Times New Roman" w:eastAsia="Times New Roman" w:hAnsi="Times New Roman" w:cs="Times New Roman"/>
      <w:sz w:val="24"/>
      <w:szCs w:val="20"/>
    </w:rPr>
  </w:style>
  <w:style w:type="paragraph" w:customStyle="1" w:styleId="num2">
    <w:name w:val="num2"/>
    <w:basedOn w:val="num"/>
    <w:pPr>
      <w:ind w:left="1700"/>
    </w:pPr>
  </w:style>
  <w:style w:type="paragraph" w:customStyle="1" w:styleId="footnote">
    <w:name w:val="footnote"/>
    <w:basedOn w:val="FootnoteText"/>
    <w:link w:val="footnoteChar"/>
    <w:pPr>
      <w:ind w:left="0" w:firstLine="0"/>
    </w:pPr>
    <w:rPr>
      <w:rFonts w:eastAsia="Batang"/>
      <w:sz w:val="16"/>
      <w:szCs w:val="16"/>
    </w:rPr>
  </w:style>
  <w:style w:type="character" w:customStyle="1" w:styleId="footnoteChar">
    <w:name w:val="footnote Char"/>
    <w:link w:val="footnote"/>
    <w:rPr>
      <w:rFonts w:ascii="Times New Roman" w:eastAsia="Batang" w:hAnsi="Times New Roman" w:cs="Times New Roman"/>
      <w:sz w:val="16"/>
      <w:szCs w:val="16"/>
      <w:lang w:val="fr-FR" w:eastAsia="fr-FR"/>
    </w:rPr>
  </w:style>
  <w:style w:type="paragraph" w:customStyle="1" w:styleId="para">
    <w:name w:val="para"/>
    <w:basedOn w:val="Normal"/>
    <w:pPr>
      <w:spacing w:after="240" w:line="240" w:lineRule="auto"/>
    </w:pPr>
    <w:rPr>
      <w:rFonts w:ascii="Times New Roman" w:eastAsia="Batang" w:hAnsi="Times New Roman" w:cs="Times New Roman"/>
      <w:sz w:val="24"/>
      <w:szCs w:val="20"/>
    </w:rPr>
  </w:style>
  <w:style w:type="paragraph" w:customStyle="1" w:styleId="Tiret4">
    <w:name w:val="Tiret 4"/>
    <w:basedOn w:val="Normal"/>
    <w:pPr>
      <w:tabs>
        <w:tab w:val="num" w:pos="3118"/>
      </w:tabs>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NumPar1">
    <w:name w:val="NumPar 1"/>
    <w:basedOn w:val="Normal"/>
    <w:next w:val="Normal"/>
    <w:pPr>
      <w:numPr>
        <w:numId w:val="2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Normal"/>
    <w:pPr>
      <w:numPr>
        <w:ilvl w:val="1"/>
        <w:numId w:val="2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Normal"/>
    <w:pPr>
      <w:numPr>
        <w:ilvl w:val="2"/>
        <w:numId w:val="2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Normal"/>
    <w:pPr>
      <w:numPr>
        <w:ilvl w:val="3"/>
        <w:numId w:val="22"/>
      </w:numPr>
      <w:spacing w:before="120" w:after="120" w:line="240" w:lineRule="auto"/>
      <w:jc w:val="both"/>
    </w:pPr>
    <w:rPr>
      <w:rFonts w:ascii="Times New Roman" w:eastAsia="Times New Roman" w:hAnsi="Times New Roman" w:cs="Times New Roman"/>
      <w:sz w:val="24"/>
      <w:szCs w:val="24"/>
    </w:rPr>
  </w:style>
  <w:style w:type="paragraph" w:customStyle="1" w:styleId="Point0number">
    <w:name w:val="Point 0 (number)"/>
    <w:basedOn w:val="Normal"/>
    <w:pPr>
      <w:numPr>
        <w:ilvl w:val="1"/>
        <w:numId w:val="2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3"/>
        <w:numId w:val="2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5"/>
        <w:numId w:val="2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7"/>
        <w:numId w:val="2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letter">
    <w:name w:val="Point 1 (letter)"/>
    <w:basedOn w:val="Normal"/>
    <w:pPr>
      <w:tabs>
        <w:tab w:val="num" w:pos="1417"/>
      </w:tabs>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letter">
    <w:name w:val="Point 2 (letter)"/>
    <w:basedOn w:val="Normal"/>
    <w:pPr>
      <w:tabs>
        <w:tab w:val="num" w:pos="1984"/>
      </w:tabs>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letter">
    <w:name w:val="Point 3 (letter)"/>
    <w:basedOn w:val="Normal"/>
    <w:pPr>
      <w:tabs>
        <w:tab w:val="num" w:pos="2551"/>
      </w:tabs>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letter">
    <w:name w:val="Point 4 (letter)"/>
    <w:basedOn w:val="Normal"/>
    <w:pPr>
      <w:tabs>
        <w:tab w:val="num" w:pos="3118"/>
      </w:tabs>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ZTitleChapter">
    <w:name w:val="Z_Title Chapter"/>
    <w:basedOn w:val="Normal"/>
    <w:pPr>
      <w:tabs>
        <w:tab w:val="left" w:pos="567"/>
        <w:tab w:val="left" w:pos="851"/>
        <w:tab w:val="left" w:pos="1134"/>
        <w:tab w:val="left" w:pos="1418"/>
        <w:tab w:val="left" w:pos="1701"/>
      </w:tabs>
      <w:spacing w:after="0" w:line="240" w:lineRule="auto"/>
      <w:jc w:val="center"/>
    </w:pPr>
    <w:rPr>
      <w:rFonts w:ascii="Times New Roman" w:eastAsia="Times New Roman" w:hAnsi="Times New Roman" w:cs="Times New Roman"/>
      <w:b/>
      <w:bCs/>
      <w:sz w:val="32"/>
      <w:szCs w:val="20"/>
    </w:rPr>
  </w:style>
  <w:style w:type="character" w:customStyle="1" w:styleId="Text1Znak">
    <w:name w:val="Text 1 Znak"/>
    <w:link w:val="Text1"/>
    <w:rPr>
      <w:rFonts w:ascii="Times New Roman" w:eastAsia="Times New Roman" w:hAnsi="Times New Roman" w:cs="Times New Roman"/>
      <w:sz w:val="24"/>
      <w:szCs w:val="20"/>
      <w:lang w:eastAsia="fr-FR"/>
    </w:rPr>
  </w:style>
  <w:style w:type="paragraph" w:customStyle="1" w:styleId="Point1">
    <w:name w:val="Point 1"/>
    <w:basedOn w:val="Normal"/>
    <w:link w:val="Point1Char"/>
    <w:pPr>
      <w:spacing w:before="120" w:after="120" w:line="240" w:lineRule="auto"/>
      <w:ind w:left="1417" w:hanging="567"/>
      <w:jc w:val="both"/>
    </w:pPr>
    <w:rPr>
      <w:rFonts w:ascii="Times New Roman" w:eastAsia="Times New Roman" w:hAnsi="Times New Roman" w:cs="Times New Roman"/>
      <w:sz w:val="24"/>
      <w:szCs w:val="24"/>
    </w:rPr>
  </w:style>
  <w:style w:type="character" w:customStyle="1" w:styleId="Point1Char">
    <w:name w:val="Point 1 Char"/>
    <w:link w:val="Point1"/>
    <w:rPr>
      <w:rFonts w:ascii="Times New Roman" w:eastAsia="Times New Roman" w:hAnsi="Times New Roman" w:cs="Times New Roman"/>
      <w:sz w:val="24"/>
      <w:szCs w:val="24"/>
      <w:lang w:eastAsia="fr-FR"/>
    </w:rPr>
  </w:style>
  <w:style w:type="paragraph" w:customStyle="1" w:styleId="ManualNumPar1">
    <w:name w:val="Manual NumPar 1"/>
    <w:basedOn w:val="Normal"/>
    <w:next w:val="Text1"/>
    <w:link w:val="ManualNumPar10"/>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ManualNumPar10">
    <w:name w:val="Manual NumPar 1 Знак"/>
    <w:link w:val="ManualNumPar1"/>
    <w:locked/>
    <w:rPr>
      <w:rFonts w:ascii="Times New Roman" w:eastAsia="Times New Roman" w:hAnsi="Times New Roman" w:cs="Times New Roman"/>
      <w:sz w:val="24"/>
      <w:szCs w:val="24"/>
      <w:lang w:eastAsia="fr-FR"/>
    </w:rPr>
  </w:style>
  <w:style w:type="table" w:customStyle="1" w:styleId="TableGrid1">
    <w:name w:val="Table Grid1"/>
    <w:basedOn w:val="TableNormal"/>
    <w:next w:val="TableGrid"/>
    <w:uiPriority w:val="59"/>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1">
    <w:name w:val="List Dash 1"/>
    <w:basedOn w:val="Normal"/>
    <w:pPr>
      <w:numPr>
        <w:numId w:val="24"/>
      </w:numPr>
      <w:spacing w:before="120" w:after="120" w:line="240" w:lineRule="auto"/>
      <w:jc w:val="both"/>
    </w:pPr>
    <w:rPr>
      <w:rFonts w:ascii="Times New Roman" w:eastAsia="Times New Roman" w:hAnsi="Times New Roman" w:cs="Times New Roman"/>
      <w:sz w:val="24"/>
      <w:szCs w:val="24"/>
    </w:rPr>
  </w:style>
  <w:style w:type="paragraph" w:styleId="TOC3">
    <w:name w:val="toc 3"/>
    <w:basedOn w:val="Normal"/>
    <w:next w:val="Normal"/>
    <w:autoRedefine/>
    <w:pPr>
      <w:keepLines/>
      <w:tabs>
        <w:tab w:val="left" w:pos="1200"/>
        <w:tab w:val="right" w:leader="dot" w:pos="9000"/>
        <w:tab w:val="right" w:leader="underscore" w:pos="9060"/>
      </w:tabs>
      <w:spacing w:after="120" w:line="240" w:lineRule="auto"/>
      <w:ind w:right="23"/>
      <w:jc w:val="both"/>
    </w:pPr>
    <w:rPr>
      <w:rFonts w:ascii="Times New Roman" w:eastAsia="Times New Roman" w:hAnsi="Times New Roman" w:cs="Times New Roman"/>
      <w:sz w:val="24"/>
      <w:szCs w:val="20"/>
    </w:rPr>
  </w:style>
  <w:style w:type="paragraph" w:customStyle="1" w:styleId="pealkiri">
    <w:name w:val="pealkiri"/>
    <w:basedOn w:val="Normal"/>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caps/>
      <w:sz w:val="24"/>
      <w:szCs w:val="24"/>
    </w:rPr>
  </w:style>
  <w:style w:type="paragraph" w:customStyle="1" w:styleId="Pealkiri2">
    <w:name w:val="Pealkiri 2"/>
    <w:basedOn w:val="Normal"/>
    <w:pPr>
      <w:numPr>
        <w:numId w:val="25"/>
      </w:numPr>
      <w:spacing w:after="0"/>
      <w:contextualSpacing/>
    </w:pPr>
    <w:rPr>
      <w:rFonts w:ascii="Times New Roman" w:eastAsia="SimSun" w:hAnsi="Times New Roman" w:cs="Times New Roman"/>
      <w:b/>
      <w:sz w:val="20"/>
      <w:szCs w:val="20"/>
    </w:rPr>
  </w:style>
  <w:style w:type="paragraph" w:customStyle="1" w:styleId="CharCharCharChar">
    <w:name w:val="Char Char Char Char"/>
    <w:basedOn w:val="Normal"/>
    <w:pPr>
      <w:tabs>
        <w:tab w:val="left" w:pos="709"/>
      </w:tabs>
      <w:spacing w:after="0" w:line="240" w:lineRule="auto"/>
    </w:pPr>
    <w:rPr>
      <w:rFonts w:ascii="Tahoma" w:eastAsia="Times New Roman" w:hAnsi="Tahoma" w:cs="Times New Roman"/>
      <w:sz w:val="24"/>
      <w:szCs w:val="24"/>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lang w:eastAsia="fr-FR"/>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Annexetitreglobale">
    <w:name w:val="Annexe titre (global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Transportable">
    <w:name w:val="Transportable"/>
    <w:basedOn w:val="Normal"/>
    <w:pPr>
      <w:spacing w:after="0" w:line="240" w:lineRule="auto"/>
    </w:pPr>
    <w:rPr>
      <w:rFonts w:ascii="Book Antiqua" w:eastAsia="Batang" w:hAnsi="Book Antiqua" w:cs="Times New Roman"/>
      <w:sz w:val="18"/>
      <w:szCs w:val="20"/>
    </w:rPr>
  </w:style>
  <w:style w:type="paragraph" w:customStyle="1" w:styleId="StyleHeading114pt">
    <w:name w:val="Style Heading 1 + 14 pt"/>
    <w:basedOn w:val="Heading1"/>
    <w:pPr>
      <w:keepNext/>
      <w:autoSpaceDE/>
      <w:autoSpaceDN/>
      <w:adjustRightInd/>
      <w:spacing w:before="360" w:after="120"/>
      <w:jc w:val="center"/>
    </w:pPr>
    <w:rPr>
      <w:rFonts w:ascii="Times New Roman" w:eastAsia="Batang" w:hAnsi="Times New Roman"/>
      <w:caps w:val="0"/>
      <w:smallCaps/>
      <w:sz w:val="28"/>
      <w:szCs w:val="32"/>
    </w:rPr>
  </w:style>
  <w:style w:type="paragraph" w:customStyle="1" w:styleId="footno">
    <w:name w:val="footno"/>
    <w:basedOn w:val="Footer"/>
    <w:pPr>
      <w:tabs>
        <w:tab w:val="clear" w:pos="4536"/>
        <w:tab w:val="clear" w:pos="9072"/>
        <w:tab w:val="center" w:pos="4320"/>
        <w:tab w:val="right" w:pos="8640"/>
      </w:tabs>
      <w:jc w:val="center"/>
    </w:pPr>
    <w:rPr>
      <w:rFonts w:ascii="Times New Roman" w:eastAsia="Times New Roman" w:hAnsi="Times New Roman" w:cstheme="majorBidi"/>
      <w:sz w:val="20"/>
      <w:szCs w:val="24"/>
    </w:rPr>
  </w:style>
  <w:style w:type="paragraph" w:customStyle="1" w:styleId="CharCharCharCharChar">
    <w:name w:val="Char Char Char Char Char"/>
    <w:basedOn w:val="Normal"/>
    <w:pPr>
      <w:spacing w:after="160" w:line="240" w:lineRule="exact"/>
    </w:pPr>
    <w:rPr>
      <w:rFonts w:ascii="Tahoma" w:eastAsia="Times New Roman" w:hAnsi="Tahoma" w:cs="Times New Roman"/>
      <w:sz w:val="20"/>
      <w:szCs w:val="20"/>
    </w:rPr>
  </w:style>
  <w:style w:type="paragraph" w:customStyle="1" w:styleId="default0">
    <w:name w:val="default"/>
    <w:basedOn w:val="Normal"/>
    <w:pPr>
      <w:autoSpaceDE w:val="0"/>
      <w:autoSpaceDN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pPr>
      <w:spacing w:after="120" w:line="480"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rPr>
      <w:rFonts w:ascii="Times New Roman" w:eastAsia="Calibri" w:hAnsi="Times New Roman" w:cs="Times New Roman"/>
      <w:sz w:val="24"/>
      <w:szCs w:val="24"/>
      <w:lang w:eastAsia="fr-FR"/>
    </w:rPr>
  </w:style>
  <w:style w:type="paragraph" w:styleId="BodyTextIndent">
    <w:name w:val="Body Text Indent"/>
    <w:basedOn w:val="Normal"/>
    <w:link w:val="BodyTextIndentChar"/>
    <w:pPr>
      <w:spacing w:after="120" w:line="240" w:lineRule="auto"/>
      <w:ind w:left="283"/>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Pr>
      <w:rFonts w:ascii="Times New Roman" w:eastAsia="Calibri" w:hAnsi="Times New Roman" w:cs="Times New Roman"/>
      <w:sz w:val="24"/>
      <w:szCs w:val="24"/>
      <w:lang w:eastAsia="fr-FR"/>
    </w:rPr>
  </w:style>
  <w:style w:type="paragraph" w:styleId="BodyTextIndent2">
    <w:name w:val="Body Text Indent 2"/>
    <w:basedOn w:val="Normal"/>
    <w:link w:val="BodyTextIndent2Char"/>
    <w:pPr>
      <w:spacing w:after="120" w:line="480" w:lineRule="auto"/>
      <w:ind w:left="283"/>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Calibri" w:hAnsi="Times New Roman" w:cs="Times New Roman"/>
      <w:sz w:val="24"/>
      <w:szCs w:val="24"/>
      <w:lang w:eastAsia="fr-FR"/>
    </w:rPr>
  </w:style>
  <w:style w:type="paragraph" w:customStyle="1" w:styleId="NormalWeb8">
    <w:name w:val="Normal (Web)8"/>
    <w:basedOn w:val="Normal"/>
    <w:pPr>
      <w:spacing w:before="75" w:after="75" w:line="240" w:lineRule="auto"/>
      <w:ind w:left="225" w:right="225"/>
    </w:pPr>
    <w:rPr>
      <w:rFonts w:ascii="Times New Roman" w:eastAsia="Times New Roman" w:hAnsi="Times New Roman" w:cs="Times New Roman"/>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0"/>
    </w:rPr>
  </w:style>
  <w:style w:type="paragraph" w:customStyle="1" w:styleId="References">
    <w:name w:val="References"/>
    <w:basedOn w:val="Normal"/>
    <w:next w:val="Normal"/>
    <w:uiPriority w:val="99"/>
    <w:pPr>
      <w:spacing w:after="240" w:line="240" w:lineRule="auto"/>
      <w:ind w:left="5103"/>
    </w:pPr>
    <w:rPr>
      <w:rFonts w:ascii="Times New Roman" w:eastAsia="Times New Roman" w:hAnsi="Times New Roman" w:cs="Times New Roman"/>
      <w:sz w:val="20"/>
      <w:szCs w:val="20"/>
    </w:rPr>
  </w:style>
  <w:style w:type="character" w:customStyle="1" w:styleId="FootnoteTextChar1">
    <w:name w:val="Footnote Text Char1"/>
    <w:semiHidden/>
    <w:locked/>
    <w:rPr>
      <w:lang w:val="fr-FR" w:eastAsia="fr-FR" w:bidi="fr-FR"/>
    </w:rPr>
  </w:style>
  <w:style w:type="character" w:customStyle="1" w:styleId="apple-converted-space">
    <w:name w:val="apple-converted-space"/>
  </w:style>
  <w:style w:type="paragraph" w:customStyle="1" w:styleId="Normal1">
    <w:name w:val="Normal 1"/>
    <w:basedOn w:val="Normal"/>
    <w:link w:val="Normal1Char"/>
    <w:pPr>
      <w:widowControl w:val="0"/>
      <w:tabs>
        <w:tab w:val="left" w:pos="567"/>
        <w:tab w:val="left" w:pos="851"/>
        <w:tab w:val="left" w:pos="1134"/>
        <w:tab w:val="left" w:pos="1418"/>
        <w:tab w:val="left" w:pos="1701"/>
      </w:tabs>
      <w:spacing w:before="60" w:after="60" w:line="240" w:lineRule="auto"/>
      <w:ind w:left="567"/>
      <w:jc w:val="both"/>
    </w:pPr>
    <w:rPr>
      <w:rFonts w:ascii="Times New Roman" w:eastAsia="Times New Roman" w:hAnsi="Times New Roman" w:cs="Times New Roman"/>
      <w:szCs w:val="20"/>
    </w:rPr>
  </w:style>
  <w:style w:type="paragraph" w:customStyle="1" w:styleId="NormalArticle">
    <w:name w:val="Normal Article"/>
    <w:basedOn w:val="Normal"/>
    <w:pPr>
      <w:tabs>
        <w:tab w:val="left" w:pos="720"/>
        <w:tab w:val="left" w:pos="1440"/>
      </w:tabs>
      <w:spacing w:after="0" w:line="240" w:lineRule="auto"/>
      <w:jc w:val="center"/>
    </w:pPr>
    <w:rPr>
      <w:rFonts w:ascii="Times New Roman" w:eastAsia="Times New Roman" w:hAnsi="Times New Roman" w:cs="Times New Roman"/>
      <w:b/>
      <w:bCs/>
      <w:sz w:val="24"/>
      <w:szCs w:val="20"/>
    </w:rPr>
  </w:style>
  <w:style w:type="character" w:customStyle="1" w:styleId="Normal1Char">
    <w:name w:val="Normal 1 Char"/>
    <w:link w:val="Normal1"/>
    <w:rPr>
      <w:rFonts w:ascii="Times New Roman" w:eastAsia="Times New Roman" w:hAnsi="Times New Roman" w:cs="Times New Roman"/>
      <w:szCs w:val="20"/>
    </w:rPr>
  </w:style>
  <w:style w:type="paragraph" w:customStyle="1" w:styleId="ZTitleSection">
    <w:name w:val="Z_Title Section"/>
    <w:basedOn w:val="Normal"/>
    <w:pPr>
      <w:spacing w:after="0" w:line="240" w:lineRule="auto"/>
      <w:jc w:val="center"/>
    </w:pPr>
    <w:rPr>
      <w:rFonts w:ascii="Times New Roman" w:eastAsia="Times New Roman" w:hAnsi="Times New Roman" w:cs="Times New Roman"/>
      <w:b/>
      <w:caps/>
      <w:sz w:val="24"/>
      <w:szCs w:val="20"/>
    </w:rPr>
  </w:style>
  <w:style w:type="paragraph" w:customStyle="1" w:styleId="NormalArticle000Indent127">
    <w:name w:val="Normal Article 000 Indent 127"/>
    <w:basedOn w:val="Normal"/>
    <w:pPr>
      <w:tabs>
        <w:tab w:val="left" w:pos="720"/>
      </w:tabs>
      <w:spacing w:after="0" w:line="240" w:lineRule="auto"/>
      <w:ind w:left="720" w:hanging="720"/>
      <w:jc w:val="both"/>
    </w:pPr>
    <w:rPr>
      <w:rFonts w:ascii="Times New Roman" w:eastAsia="Times New Roman" w:hAnsi="Times New Roman" w:cs="Times New Roman"/>
      <w:sz w:val="24"/>
      <w:szCs w:val="24"/>
    </w:rPr>
  </w:style>
  <w:style w:type="paragraph" w:customStyle="1" w:styleId="NormalArticle127Indent127">
    <w:name w:val="Normal Article 127 Indent 127"/>
    <w:basedOn w:val="Normal"/>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Normal10">
    <w:name w:val="Normal1"/>
    <w:pPr>
      <w:spacing w:after="0" w:line="240" w:lineRule="auto"/>
      <w:jc w:val="both"/>
    </w:pPr>
    <w:rPr>
      <w:rFonts w:ascii="Times New Roman" w:eastAsia="Times New Roman" w:hAnsi="Times New Roman" w:cs="Times New Roman"/>
      <w:color w:val="000000"/>
      <w:sz w:val="24"/>
      <w:szCs w:val="24"/>
    </w:rPr>
  </w:style>
  <w:style w:type="paragraph" w:customStyle="1" w:styleId="Tiret1">
    <w:name w:val="Tiret 1"/>
    <w:basedOn w:val="Normal"/>
    <w:pPr>
      <w:numPr>
        <w:numId w:val="34"/>
      </w:numPr>
      <w:spacing w:before="120" w:after="120" w:line="240" w:lineRule="auto"/>
      <w:jc w:val="both"/>
    </w:pPr>
    <w:rPr>
      <w:rFonts w:ascii="Times New Roman" w:eastAsia="Times New Roman" w:hAnsi="Times New Roman" w:cs="Times New Roman"/>
      <w:sz w:val="24"/>
      <w:szCs w:val="24"/>
      <w:u w:color="000000"/>
    </w:rPr>
  </w:style>
  <w:style w:type="paragraph" w:customStyle="1" w:styleId="Annexetitreacte">
    <w:name w:val="Annexe titre (acte)"/>
    <w:next w:val="Normal"/>
    <w:pPr>
      <w:pBdr>
        <w:top w:val="nil"/>
        <w:left w:val="nil"/>
        <w:bottom w:val="nil"/>
        <w:right w:val="nil"/>
        <w:between w:val="nil"/>
        <w:bar w:val="nil"/>
      </w:pBdr>
      <w:spacing w:before="120" w:after="120" w:line="240" w:lineRule="auto"/>
      <w:jc w:val="center"/>
    </w:pPr>
    <w:rPr>
      <w:rFonts w:ascii="Times New Roman" w:eastAsia="Arial Unicode MS" w:hAnsi="Times New Roman" w:cs="Arial Unicode MS"/>
      <w:b/>
      <w:bCs/>
      <w:color w:val="000000"/>
      <w:sz w:val="24"/>
      <w:szCs w:val="24"/>
      <w:u w:val="single" w:color="000000"/>
      <w:bdr w:val="nil"/>
    </w:rPr>
  </w:style>
  <w:style w:type="numbering" w:customStyle="1" w:styleId="ImportedStyle1">
    <w:name w:val="Imported Style 1"/>
    <w:pPr>
      <w:numPr>
        <w:numId w:val="35"/>
      </w:numPr>
    </w:pPr>
  </w:style>
  <w:style w:type="numbering" w:customStyle="1" w:styleId="ImportedStyle2">
    <w:name w:val="Imported Style 2"/>
    <w:pPr>
      <w:numPr>
        <w:numId w:val="36"/>
      </w:numPr>
    </w:pPr>
  </w:style>
  <w:style w:type="numbering" w:customStyle="1" w:styleId="ImportedStyle3">
    <w:name w:val="Imported Style 3"/>
    <w:pPr>
      <w:numPr>
        <w:numId w:val="37"/>
      </w:numPr>
    </w:pPr>
  </w:style>
  <w:style w:type="numbering" w:customStyle="1" w:styleId="ImportedStyle11">
    <w:name w:val="Imported Style 11"/>
  </w:style>
  <w:style w:type="numbering" w:customStyle="1" w:styleId="ImportedStyle21">
    <w:name w:val="Imported Style 21"/>
  </w:style>
  <w:style w:type="numbering" w:customStyle="1" w:styleId="ImportedStyle31">
    <w:name w:val="Imported Style 31"/>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styleId="FollowedHyperlink">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autoSpaceDE w:val="0"/>
      <w:autoSpaceDN w:val="0"/>
      <w:adjustRightInd w:val="0"/>
      <w:spacing w:after="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unhideWhenUsed/>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Bold" w:eastAsia="Times New Roman" w:hAnsi="Times New Roman Bold" w:cs="Times New Roman"/>
      <w:b/>
      <w:bCs/>
      <w:caps/>
      <w:sz w:val="24"/>
      <w:szCs w:val="24"/>
      <w:lang w:val="fr-FR"/>
    </w:rPr>
  </w:style>
  <w:style w:type="character" w:customStyle="1" w:styleId="Heading2Char">
    <w:name w:val="Heading 2 Char"/>
    <w:basedOn w:val="DefaultParagraphFont"/>
    <w:link w:val="Heading2"/>
    <w:rPr>
      <w:rFonts w:ascii="Cambria" w:eastAsia="Times New Roman" w:hAnsi="Cambria" w:cs="Times New Roman"/>
      <w:b/>
      <w:bCs/>
      <w:i/>
      <w:iCs/>
      <w:sz w:val="28"/>
      <w:szCs w:val="28"/>
      <w:lang w:val="fr-FR"/>
    </w:rPr>
  </w:style>
  <w:style w:type="character" w:customStyle="1" w:styleId="Heading3Char">
    <w:name w:val="Heading 3 Char"/>
    <w:basedOn w:val="DefaultParagraphFont"/>
    <w:link w:val="Heading3"/>
    <w:rPr>
      <w:rFonts w:ascii="Cambria" w:eastAsia="Times New Roman" w:hAnsi="Cambria" w:cs="Times New Roman"/>
      <w:b/>
      <w:bCs/>
      <w:sz w:val="26"/>
      <w:szCs w:val="26"/>
      <w:lang w:val="fr-FR"/>
    </w:rPr>
  </w:style>
  <w:style w:type="character" w:customStyle="1" w:styleId="Heading4Char">
    <w:name w:val="Heading 4 Char"/>
    <w:basedOn w:val="DefaultParagraphFont"/>
    <w:link w:val="Heading4"/>
    <w:rPr>
      <w:rFonts w:ascii="Calibri" w:eastAsia="Times New Roman" w:hAnsi="Calibri" w:cs="Times New Roman"/>
      <w:b/>
      <w:bCs/>
      <w:sz w:val="28"/>
      <w:szCs w:val="28"/>
      <w:lang w:val="fr-FR"/>
    </w:rPr>
  </w:style>
  <w:style w:type="numbering" w:customStyle="1" w:styleId="NoList1">
    <w:name w:val="No List1"/>
    <w:next w:val="NoList"/>
    <w:uiPriority w:val="99"/>
    <w:semiHidden/>
    <w:unhideWhenUsed/>
  </w:style>
  <w:style w:type="paragraph" w:styleId="Date">
    <w:name w:val="Date"/>
    <w:basedOn w:val="Normal"/>
    <w:next w:val="Normal"/>
    <w:link w:val="DateChar"/>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styleId="FootnoteText">
    <w:name w:val="footnote text"/>
    <w:basedOn w:val="Normal"/>
    <w:link w:val="FootnoteTextChar"/>
    <w:qFormat/>
    <w:pPr>
      <w:spacing w:after="0" w:line="240" w:lineRule="auto"/>
      <w:ind w:left="567" w:hanging="567"/>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lang w:val="fr-FR"/>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rPr>
      <w:rFonts w:ascii="Times New Roman" w:hAnsi="Times New Roman"/>
      <w:b/>
      <w:sz w:val="24"/>
      <w:vertAlign w:val="superscript"/>
    </w:rPr>
  </w:style>
  <w:style w:type="character" w:styleId="Emphasis">
    <w:name w:val="Emphasis"/>
    <w:qFormat/>
    <w:rPr>
      <w:i/>
      <w:iCs/>
    </w:rPr>
  </w:style>
  <w:style w:type="paragraph" w:customStyle="1" w:styleId="a">
    <w:name w:val="Знак"/>
    <w:basedOn w:val="Normal"/>
    <w:pPr>
      <w:spacing w:after="160" w:line="240" w:lineRule="exact"/>
    </w:pPr>
    <w:rPr>
      <w:rFonts w:ascii="Arial" w:eastAsia="Batang" w:hAnsi="Arial" w:cs="Arial"/>
      <w:sz w:val="20"/>
      <w:szCs w:val="20"/>
    </w:rPr>
  </w:style>
  <w:style w:type="paragraph" w:customStyle="1" w:styleId="ListBullet1">
    <w:name w:val="List Bullet 1"/>
    <w:basedOn w:val="Normal"/>
    <w:pPr>
      <w:numPr>
        <w:numId w:val="3"/>
      </w:numPr>
      <w:spacing w:before="120" w:after="120" w:line="240" w:lineRule="auto"/>
      <w:jc w:val="both"/>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BalloonText">
    <w:name w:val="Balloon Text"/>
    <w:basedOn w:val="Normal"/>
    <w:link w:val="BalloonTextChar"/>
    <w:uiPriority w:val="9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fr-FR"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fr-FR" w:eastAsia="fr-FR"/>
    </w:rPr>
  </w:style>
  <w:style w:type="character" w:customStyle="1" w:styleId="Corpsdutexte">
    <w:name w:val="Corps du texte_"/>
    <w:link w:val="Corpsdutexte0"/>
    <w:rPr>
      <w:sz w:val="21"/>
      <w:szCs w:val="21"/>
      <w:shd w:val="clear" w:color="auto" w:fill="FFFFFF"/>
    </w:rPr>
  </w:style>
  <w:style w:type="paragraph" w:customStyle="1" w:styleId="Corpsdutexte0">
    <w:name w:val="Corps du texte"/>
    <w:basedOn w:val="Normal"/>
    <w:link w:val="Corpsdutexte"/>
    <w:pPr>
      <w:widowControl w:val="0"/>
      <w:shd w:val="clear" w:color="auto" w:fill="FFFFFF"/>
      <w:spacing w:before="660" w:after="540" w:line="0" w:lineRule="atLeast"/>
      <w:ind w:hanging="480"/>
      <w:jc w:val="center"/>
    </w:pPr>
    <w:rPr>
      <w:sz w:val="21"/>
      <w:szCs w:val="21"/>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rpsdutexte2">
    <w:name w:val="Corps du texte (2)_"/>
    <w:link w:val="Corpsdutexte20"/>
    <w:rPr>
      <w:sz w:val="21"/>
      <w:szCs w:val="21"/>
      <w:shd w:val="clear" w:color="auto" w:fill="FFFFFF"/>
    </w:rPr>
  </w:style>
  <w:style w:type="character" w:customStyle="1" w:styleId="En-tteoupieddepage">
    <w:name w:val="En-tête ou pied de page_"/>
    <w:link w:val="En-tteoupieddepage0"/>
    <w:rPr>
      <w:shd w:val="clear" w:color="auto" w:fill="FFFFFF"/>
    </w:rPr>
  </w:style>
  <w:style w:type="character" w:customStyle="1" w:styleId="En-tte7">
    <w:name w:val="En-tête #7_"/>
    <w:link w:val="En-tte70"/>
    <w:rPr>
      <w:sz w:val="21"/>
      <w:szCs w:val="21"/>
      <w:shd w:val="clear" w:color="auto" w:fill="FFFFFF"/>
    </w:rPr>
  </w:style>
  <w:style w:type="character" w:customStyle="1" w:styleId="Corpsdutexte4">
    <w:name w:val="Corps du texte (4)_"/>
    <w:rPr>
      <w:b w:val="0"/>
      <w:bCs w:val="0"/>
      <w:i w:val="0"/>
      <w:iCs w:val="0"/>
      <w:smallCaps w:val="0"/>
      <w:strike w:val="0"/>
      <w:sz w:val="21"/>
      <w:szCs w:val="21"/>
      <w:u w:val="none"/>
    </w:rPr>
  </w:style>
  <w:style w:type="character" w:customStyle="1" w:styleId="Corpsdutexte6Exact">
    <w:name w:val="Corps du texte (6) Exact"/>
    <w:link w:val="Corpsdutexte6"/>
    <w:rPr>
      <w:spacing w:val="3"/>
      <w:shd w:val="clear" w:color="auto" w:fill="FFFFFF"/>
    </w:rPr>
  </w:style>
  <w:style w:type="character" w:customStyle="1" w:styleId="Corpsdutexte7Exact">
    <w:name w:val="Corps du texte (7) Exact"/>
    <w:link w:val="Corpsdutexte7"/>
    <w:rPr>
      <w:sz w:val="49"/>
      <w:szCs w:val="49"/>
      <w:shd w:val="clear" w:color="auto" w:fill="FFFFFF"/>
    </w:rPr>
  </w:style>
  <w:style w:type="character" w:customStyle="1" w:styleId="CorpsdutexteExact">
    <w:name w:val="Corps du texte Exact"/>
    <w:rPr>
      <w:b w:val="0"/>
      <w:bCs w:val="0"/>
      <w:i w:val="0"/>
      <w:iCs w:val="0"/>
      <w:smallCaps w:val="0"/>
      <w:strike w:val="0"/>
      <w:spacing w:val="4"/>
      <w:sz w:val="20"/>
      <w:szCs w:val="20"/>
      <w:u w:val="none"/>
    </w:rPr>
  </w:style>
  <w:style w:type="character" w:customStyle="1" w:styleId="CorpsdutexteGras">
    <w:name w:val="Corps du texte + Gras"/>
    <w:aliases w:val="Espacement 1 pt"/>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rPr>
  </w:style>
  <w:style w:type="character" w:customStyle="1" w:styleId="En-tteoupieddepage105pt">
    <w:name w:val="En-tête ou pied de page + 10.5 pt"/>
    <w:aliases w:val="Italique,Corps du texte + 11 pt,Corps du texte + 12 pt,En-tête ou pied de page + 26 pt,Echelle 9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CorpsdutexteItalique">
    <w:name w:val="Corps du texte + Italiqu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rPr>
  </w:style>
  <w:style w:type="character" w:customStyle="1" w:styleId="Corpsdutexte40">
    <w:name w:val="Corps du texte (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style>
  <w:style w:type="character" w:customStyle="1" w:styleId="Corpsdutexte175pt">
    <w:name w:val="Corps du texte + 17.5 pt"/>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rPr>
  </w:style>
  <w:style w:type="character" w:customStyle="1" w:styleId="En-tte72">
    <w:name w:val="En-tête #7 (2)_"/>
    <w:rPr>
      <w:b w:val="0"/>
      <w:bCs w:val="0"/>
      <w:i w:val="0"/>
      <w:iCs w:val="0"/>
      <w:smallCaps w:val="0"/>
      <w:strike w:val="0"/>
      <w:sz w:val="21"/>
      <w:szCs w:val="21"/>
      <w:u w:val="none"/>
    </w:rPr>
  </w:style>
  <w:style w:type="character" w:customStyle="1" w:styleId="En-tte720">
    <w:name w:val="En-tête #7 (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style>
  <w:style w:type="character" w:customStyle="1" w:styleId="En-tte7211pt">
    <w:name w:val="En-tête #7 (2) + 11 p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Corpsdutexte2Gras">
    <w:name w:val="Corps du texte (2) + Gras"/>
    <w:rPr>
      <w:rFonts w:ascii="Times New Roman" w:eastAsia="Times New Roman" w:hAnsi="Times New Roman" w:cs="Times New Roman"/>
      <w:b/>
      <w:bCs/>
      <w:i w:val="0"/>
      <w:iCs w:val="0"/>
      <w:smallCaps w:val="0"/>
      <w:strike w:val="0"/>
      <w:color w:val="000000"/>
      <w:spacing w:val="0"/>
      <w:w w:val="100"/>
      <w:position w:val="0"/>
      <w:sz w:val="21"/>
      <w:szCs w:val="21"/>
      <w:u w:val="none"/>
      <w:lang w:val="fr-FR"/>
    </w:rPr>
  </w:style>
  <w:style w:type="character" w:customStyle="1" w:styleId="Corpsdutexte4Gras">
    <w:name w:val="Corps du texte (4) + Gras"/>
    <w:rPr>
      <w:rFonts w:ascii="Times New Roman" w:eastAsia="Times New Roman" w:hAnsi="Times New Roman" w:cs="Times New Roman"/>
      <w:b/>
      <w:bCs/>
      <w:i w:val="0"/>
      <w:iCs w:val="0"/>
      <w:smallCaps w:val="0"/>
      <w:strike w:val="0"/>
      <w:color w:val="000000"/>
      <w:spacing w:val="0"/>
      <w:w w:val="100"/>
      <w:position w:val="0"/>
      <w:sz w:val="21"/>
      <w:szCs w:val="21"/>
      <w:u w:val="none"/>
      <w:lang w:val="fr-FR"/>
    </w:rPr>
  </w:style>
  <w:style w:type="paragraph" w:customStyle="1" w:styleId="Corpsdutexte20">
    <w:name w:val="Corps du texte (2)"/>
    <w:basedOn w:val="Normal"/>
    <w:link w:val="Corpsdutexte2"/>
    <w:pPr>
      <w:widowControl w:val="0"/>
      <w:shd w:val="clear" w:color="auto" w:fill="FFFFFF"/>
      <w:spacing w:after="3240" w:line="264" w:lineRule="exact"/>
      <w:jc w:val="right"/>
    </w:pPr>
    <w:rPr>
      <w:sz w:val="21"/>
      <w:szCs w:val="21"/>
    </w:rPr>
  </w:style>
  <w:style w:type="paragraph" w:customStyle="1" w:styleId="En-tteoupieddepage0">
    <w:name w:val="En-tête ou pied de page"/>
    <w:basedOn w:val="Normal"/>
    <w:link w:val="En-tteoupieddepage"/>
    <w:pPr>
      <w:widowControl w:val="0"/>
      <w:shd w:val="clear" w:color="auto" w:fill="FFFFFF"/>
      <w:spacing w:after="0" w:line="240" w:lineRule="auto"/>
    </w:pPr>
  </w:style>
  <w:style w:type="paragraph" w:customStyle="1" w:styleId="En-tte70">
    <w:name w:val="En-tête #7"/>
    <w:basedOn w:val="Normal"/>
    <w:link w:val="En-tte7"/>
    <w:pPr>
      <w:widowControl w:val="0"/>
      <w:shd w:val="clear" w:color="auto" w:fill="FFFFFF"/>
      <w:spacing w:after="0" w:line="374" w:lineRule="exact"/>
      <w:ind w:hanging="380"/>
      <w:jc w:val="both"/>
      <w:outlineLvl w:val="6"/>
    </w:pPr>
    <w:rPr>
      <w:sz w:val="21"/>
      <w:szCs w:val="21"/>
    </w:rPr>
  </w:style>
  <w:style w:type="paragraph" w:customStyle="1" w:styleId="Corpsdutexte6">
    <w:name w:val="Corps du texte (6)"/>
    <w:basedOn w:val="Normal"/>
    <w:link w:val="Corpsdutexte6Exact"/>
    <w:pPr>
      <w:widowControl w:val="0"/>
      <w:shd w:val="clear" w:color="auto" w:fill="FFFFFF"/>
      <w:spacing w:after="0" w:line="0" w:lineRule="atLeast"/>
    </w:pPr>
    <w:rPr>
      <w:spacing w:val="3"/>
    </w:rPr>
  </w:style>
  <w:style w:type="paragraph" w:customStyle="1" w:styleId="Corpsdutexte7">
    <w:name w:val="Corps du texte (7)"/>
    <w:basedOn w:val="Normal"/>
    <w:link w:val="Corpsdutexte7Exact"/>
    <w:pPr>
      <w:widowControl w:val="0"/>
      <w:shd w:val="clear" w:color="auto" w:fill="FFFFFF"/>
      <w:spacing w:after="0" w:line="0" w:lineRule="atLeast"/>
    </w:pPr>
    <w:rPr>
      <w:sz w:val="49"/>
      <w:szCs w:val="49"/>
    </w:rPr>
  </w:style>
  <w:style w:type="paragraph" w:customStyle="1" w:styleId="doc-ti">
    <w:name w:val="doc-ti"/>
    <w:basedOn w:val="Normal"/>
    <w:pPr>
      <w:spacing w:before="240" w:after="120" w:line="240" w:lineRule="auto"/>
      <w:jc w:val="center"/>
    </w:pPr>
    <w:rPr>
      <w:rFonts w:ascii="Times New Roman" w:eastAsia="Times New Roman" w:hAnsi="Times New Roman" w:cs="Times New Roman"/>
      <w:b/>
      <w:bCs/>
      <w:sz w:val="24"/>
      <w:szCs w:val="24"/>
    </w:rPr>
  </w:style>
  <w:style w:type="character" w:styleId="Hyperlink">
    <w:name w:val="Hyperlink"/>
    <w:uiPriority w:val="99"/>
    <w:unhideWhenUsed/>
    <w:rPr>
      <w:color w:val="0000FF"/>
      <w:u w:val="single"/>
    </w:rPr>
  </w:style>
  <w:style w:type="character" w:customStyle="1" w:styleId="En-tteoupieddepage23pt">
    <w:name w:val="En-tête ou pied de page + 23 pt"/>
    <w:aliases w:val="Gras,Espacement 2 pt,Echelle 66%,En-tête ou pied de page + Arial,21 pt,Corps du texte (2) + 16.5 pt,Non Italique,Corps du texte (3) + 17.5 pt,Non Gras"/>
    <w:rPr>
      <w:rFonts w:ascii="Times New Roman" w:eastAsia="Times New Roman" w:hAnsi="Times New Roman" w:cs="Times New Roman"/>
      <w:b/>
      <w:bCs/>
      <w:i w:val="0"/>
      <w:iCs w:val="0"/>
      <w:smallCaps w:val="0"/>
      <w:strike w:val="0"/>
      <w:color w:val="000000"/>
      <w:spacing w:val="40"/>
      <w:w w:val="66"/>
      <w:position w:val="0"/>
      <w:sz w:val="46"/>
      <w:szCs w:val="46"/>
      <w:u w:val="none"/>
      <w:lang w:val="fr-FR"/>
    </w:rPr>
  </w:style>
  <w:style w:type="paragraph" w:customStyle="1" w:styleId="Corpsdutexte1">
    <w:name w:val="Corps du texte1"/>
    <w:basedOn w:val="Normal"/>
    <w:uiPriority w:val="99"/>
    <w:pPr>
      <w:widowControl w:val="0"/>
      <w:shd w:val="clear" w:color="auto" w:fill="FFFFFF"/>
      <w:spacing w:before="900" w:after="360" w:line="408" w:lineRule="exact"/>
      <w:ind w:hanging="600"/>
      <w:jc w:val="center"/>
    </w:pPr>
    <w:rPr>
      <w:rFonts w:ascii="Times New Roman" w:eastAsia="Times New Roman" w:hAnsi="Times New Roman" w:cs="Times New Roman"/>
      <w:sz w:val="24"/>
      <w:szCs w:val="24"/>
    </w:rPr>
  </w:style>
  <w:style w:type="character" w:customStyle="1" w:styleId="Corpsdutexte211pt">
    <w:name w:val="Corps du texte (2) + 11 pt"/>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En-tte1">
    <w:name w:val="En-tête #1_"/>
    <w:link w:val="En-tte10"/>
    <w:rPr>
      <w:sz w:val="21"/>
      <w:szCs w:val="21"/>
      <w:shd w:val="clear" w:color="auto" w:fill="FFFFFF"/>
      <w:lang w:val="fr-FR"/>
    </w:rPr>
  </w:style>
  <w:style w:type="character" w:customStyle="1" w:styleId="En-tte1Espacement2pt">
    <w:name w:val="En-tête #1 + Espacement 2 pt"/>
    <w:rPr>
      <w:rFonts w:ascii="Times New Roman" w:eastAsia="Times New Roman" w:hAnsi="Times New Roman" w:cs="Times New Roman"/>
      <w:color w:val="000000"/>
      <w:spacing w:val="40"/>
      <w:w w:val="100"/>
      <w:position w:val="0"/>
      <w:sz w:val="21"/>
      <w:szCs w:val="21"/>
      <w:shd w:val="clear" w:color="auto" w:fill="FFFFFF"/>
      <w:lang w:val="fr-FR"/>
    </w:rPr>
  </w:style>
  <w:style w:type="character" w:customStyle="1" w:styleId="Corpsdutexte3">
    <w:name w:val="Corps du texte (3)_"/>
    <w:rPr>
      <w:b w:val="0"/>
      <w:bCs w:val="0"/>
      <w:i w:val="0"/>
      <w:iCs w:val="0"/>
      <w:smallCaps w:val="0"/>
      <w:strike w:val="0"/>
      <w:sz w:val="34"/>
      <w:szCs w:val="34"/>
      <w:u w:val="none"/>
    </w:rPr>
  </w:style>
  <w:style w:type="character" w:customStyle="1" w:styleId="Corpsdutexte30">
    <w:name w:val="Corps du texte (3)"/>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rPr>
  </w:style>
  <w:style w:type="character" w:customStyle="1" w:styleId="En-tte3">
    <w:name w:val="En-tête #3_"/>
    <w:link w:val="En-tte30"/>
    <w:rPr>
      <w:spacing w:val="10"/>
      <w:sz w:val="28"/>
      <w:szCs w:val="28"/>
      <w:shd w:val="clear" w:color="auto" w:fill="FFFFFF"/>
    </w:rPr>
  </w:style>
  <w:style w:type="character" w:customStyle="1" w:styleId="En-tte4">
    <w:name w:val="En-tête #4_"/>
    <w:link w:val="En-tte40"/>
    <w:rPr>
      <w:spacing w:val="10"/>
      <w:sz w:val="28"/>
      <w:szCs w:val="28"/>
      <w:shd w:val="clear" w:color="auto" w:fill="FFFFFF"/>
    </w:rPr>
  </w:style>
  <w:style w:type="character" w:customStyle="1" w:styleId="En-tte5">
    <w:name w:val="En-tête #5_"/>
    <w:link w:val="En-tte50"/>
    <w:rPr>
      <w:sz w:val="30"/>
      <w:szCs w:val="30"/>
      <w:shd w:val="clear" w:color="auto" w:fill="FFFFFF"/>
      <w:lang w:val="fr-FR"/>
    </w:rPr>
  </w:style>
  <w:style w:type="character" w:customStyle="1" w:styleId="En-tte6">
    <w:name w:val="En-tête #6_"/>
    <w:link w:val="En-tte60"/>
    <w:rPr>
      <w:sz w:val="21"/>
      <w:szCs w:val="21"/>
      <w:shd w:val="clear" w:color="auto" w:fill="FFFFFF"/>
      <w:lang w:val="fr-FR"/>
    </w:rPr>
  </w:style>
  <w:style w:type="character" w:customStyle="1" w:styleId="En-tte6Espacement1pt">
    <w:name w:val="En-tête #6 + Espacement 1 pt"/>
    <w:rPr>
      <w:rFonts w:ascii="Times New Roman" w:eastAsia="Times New Roman" w:hAnsi="Times New Roman" w:cs="Times New Roman"/>
      <w:color w:val="000000"/>
      <w:spacing w:val="30"/>
      <w:w w:val="100"/>
      <w:position w:val="0"/>
      <w:sz w:val="21"/>
      <w:szCs w:val="21"/>
      <w:shd w:val="clear" w:color="auto" w:fill="FFFFFF"/>
      <w:lang w:val="fr-FR"/>
    </w:rPr>
  </w:style>
  <w:style w:type="character" w:customStyle="1" w:styleId="En-tteoupieddepageEspacement0pt">
    <w:name w:val="En-tête ou pied de page + Espacement 0 pt"/>
    <w:rPr>
      <w:rFonts w:ascii="Times New Roman" w:eastAsia="Times New Roman" w:hAnsi="Times New Roman" w:cs="Times New Roman"/>
      <w:color w:val="000000"/>
      <w:spacing w:val="10"/>
      <w:w w:val="100"/>
      <w:position w:val="0"/>
      <w:sz w:val="20"/>
      <w:szCs w:val="20"/>
      <w:shd w:val="clear" w:color="auto" w:fill="FFFFFF"/>
      <w:lang w:val="fr-FR"/>
    </w:rPr>
  </w:style>
  <w:style w:type="character" w:customStyle="1" w:styleId="En-tte62">
    <w:name w:val="En-tête #6 (2)_"/>
    <w:link w:val="En-tte620"/>
    <w:rPr>
      <w:spacing w:val="10"/>
      <w:sz w:val="31"/>
      <w:szCs w:val="31"/>
      <w:shd w:val="clear" w:color="auto" w:fill="FFFFFF"/>
      <w:lang w:val="fr-FR"/>
    </w:rPr>
  </w:style>
  <w:style w:type="character" w:customStyle="1" w:styleId="Corpsdutexte5">
    <w:name w:val="Corps du texte (5)_"/>
    <w:link w:val="Corpsdutexte50"/>
    <w:rPr>
      <w:spacing w:val="10"/>
      <w:sz w:val="31"/>
      <w:szCs w:val="31"/>
      <w:shd w:val="clear" w:color="auto" w:fill="FFFFFF"/>
      <w:lang w:val="fr-FR"/>
    </w:rPr>
  </w:style>
  <w:style w:type="character" w:customStyle="1" w:styleId="Lgendedelimage">
    <w:name w:val="Légende de l'image_"/>
    <w:rPr>
      <w:b w:val="0"/>
      <w:bCs w:val="0"/>
      <w:i w:val="0"/>
      <w:iCs w:val="0"/>
      <w:smallCaps w:val="0"/>
      <w:strike w:val="0"/>
      <w:sz w:val="21"/>
      <w:szCs w:val="21"/>
      <w:u w:val="none"/>
    </w:rPr>
  </w:style>
  <w:style w:type="character" w:customStyle="1" w:styleId="Lgendedelimage0">
    <w:name w:val="Légende de l'imag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rPr>
  </w:style>
  <w:style w:type="character" w:customStyle="1" w:styleId="Corpsdutexte8">
    <w:name w:val="Corps du texte (8)_"/>
    <w:rPr>
      <w:b w:val="0"/>
      <w:bCs w:val="0"/>
      <w:i w:val="0"/>
      <w:iCs w:val="0"/>
      <w:smallCaps w:val="0"/>
      <w:strike w:val="0"/>
      <w:sz w:val="16"/>
      <w:szCs w:val="16"/>
      <w:u w:val="none"/>
    </w:rPr>
  </w:style>
  <w:style w:type="character" w:customStyle="1" w:styleId="Corpsdutexte80">
    <w:name w:val="Corps du texte (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rPr>
  </w:style>
  <w:style w:type="character" w:customStyle="1" w:styleId="Corpsdutexte8Gras">
    <w:name w:val="Corps du texte (8) + Gras"/>
    <w:rPr>
      <w:rFonts w:ascii="Times New Roman" w:eastAsia="Times New Roman" w:hAnsi="Times New Roman" w:cs="Times New Roman"/>
      <w:b/>
      <w:bCs/>
      <w:i w:val="0"/>
      <w:iCs w:val="0"/>
      <w:smallCaps w:val="0"/>
      <w:strike w:val="0"/>
      <w:color w:val="000000"/>
      <w:spacing w:val="0"/>
      <w:w w:val="100"/>
      <w:position w:val="0"/>
      <w:sz w:val="16"/>
      <w:szCs w:val="16"/>
      <w:u w:val="none"/>
      <w:lang w:val="fr-FR"/>
    </w:rPr>
  </w:style>
  <w:style w:type="character" w:customStyle="1" w:styleId="Lgendedelimage2">
    <w:name w:val="Légende de l'image (2)_"/>
    <w:link w:val="Lgendedelimage20"/>
    <w:rPr>
      <w:sz w:val="21"/>
      <w:szCs w:val="21"/>
      <w:shd w:val="clear" w:color="auto" w:fill="FFFFFF"/>
    </w:rPr>
  </w:style>
  <w:style w:type="character" w:customStyle="1" w:styleId="Corpsdutexte4Espacement-1pt">
    <w:name w:val="Corps du texte (4) + Espacement -1 p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fr-FR"/>
    </w:rPr>
  </w:style>
  <w:style w:type="character" w:customStyle="1" w:styleId="En-tte72Gras">
    <w:name w:val="En-tête #7 (2) + Gras"/>
    <w:rPr>
      <w:rFonts w:ascii="Times New Roman" w:eastAsia="Times New Roman" w:hAnsi="Times New Roman" w:cs="Times New Roman"/>
      <w:b/>
      <w:bCs/>
      <w:i w:val="0"/>
      <w:iCs w:val="0"/>
      <w:smallCaps w:val="0"/>
      <w:strike w:val="0"/>
      <w:color w:val="000000"/>
      <w:spacing w:val="0"/>
      <w:w w:val="100"/>
      <w:position w:val="0"/>
      <w:sz w:val="21"/>
      <w:szCs w:val="21"/>
      <w:u w:val="none"/>
      <w:lang w:val="fr-FR"/>
    </w:rPr>
  </w:style>
  <w:style w:type="character" w:customStyle="1" w:styleId="Corpsdutexte95pt">
    <w:name w:val="Corps du texte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rPr>
  </w:style>
  <w:style w:type="character" w:customStyle="1" w:styleId="En-tte2">
    <w:name w:val="En-tête #2_"/>
    <w:link w:val="En-tte20"/>
    <w:rPr>
      <w:sz w:val="30"/>
      <w:szCs w:val="30"/>
      <w:shd w:val="clear" w:color="auto" w:fill="FFFFFF"/>
      <w:lang w:val="fr-FR"/>
    </w:rPr>
  </w:style>
  <w:style w:type="paragraph" w:customStyle="1" w:styleId="En-tte10">
    <w:name w:val="En-tête #1"/>
    <w:basedOn w:val="Normal"/>
    <w:link w:val="En-tte1"/>
    <w:pPr>
      <w:widowControl w:val="0"/>
      <w:shd w:val="clear" w:color="auto" w:fill="FFFFFF"/>
      <w:spacing w:before="120" w:after="480" w:line="0" w:lineRule="atLeast"/>
      <w:jc w:val="center"/>
      <w:outlineLvl w:val="0"/>
    </w:pPr>
    <w:rPr>
      <w:sz w:val="21"/>
      <w:szCs w:val="21"/>
    </w:rPr>
  </w:style>
  <w:style w:type="paragraph" w:customStyle="1" w:styleId="En-tte30">
    <w:name w:val="En-tête #3"/>
    <w:basedOn w:val="Normal"/>
    <w:link w:val="En-tte3"/>
    <w:pPr>
      <w:widowControl w:val="0"/>
      <w:shd w:val="clear" w:color="auto" w:fill="FFFFFF"/>
      <w:spacing w:after="0" w:line="0" w:lineRule="atLeast"/>
      <w:outlineLvl w:val="2"/>
    </w:pPr>
    <w:rPr>
      <w:spacing w:val="10"/>
      <w:sz w:val="28"/>
      <w:szCs w:val="28"/>
    </w:rPr>
  </w:style>
  <w:style w:type="paragraph" w:customStyle="1" w:styleId="En-tte40">
    <w:name w:val="En-tête #4"/>
    <w:basedOn w:val="Normal"/>
    <w:link w:val="En-tte4"/>
    <w:pPr>
      <w:widowControl w:val="0"/>
      <w:shd w:val="clear" w:color="auto" w:fill="FFFFFF"/>
      <w:spacing w:after="120" w:line="0" w:lineRule="atLeast"/>
      <w:outlineLvl w:val="3"/>
    </w:pPr>
    <w:rPr>
      <w:spacing w:val="10"/>
      <w:sz w:val="28"/>
      <w:szCs w:val="28"/>
    </w:rPr>
  </w:style>
  <w:style w:type="paragraph" w:customStyle="1" w:styleId="En-tte50">
    <w:name w:val="En-tête #5"/>
    <w:basedOn w:val="Normal"/>
    <w:link w:val="En-tte5"/>
    <w:pPr>
      <w:widowControl w:val="0"/>
      <w:shd w:val="clear" w:color="auto" w:fill="FFFFFF"/>
      <w:spacing w:before="120" w:after="660" w:line="0" w:lineRule="atLeast"/>
      <w:jc w:val="center"/>
      <w:outlineLvl w:val="4"/>
    </w:pPr>
    <w:rPr>
      <w:sz w:val="30"/>
      <w:szCs w:val="30"/>
    </w:rPr>
  </w:style>
  <w:style w:type="paragraph" w:customStyle="1" w:styleId="En-tte60">
    <w:name w:val="En-tête #6"/>
    <w:basedOn w:val="Normal"/>
    <w:link w:val="En-tte6"/>
    <w:pPr>
      <w:widowControl w:val="0"/>
      <w:shd w:val="clear" w:color="auto" w:fill="FFFFFF"/>
      <w:spacing w:after="0" w:line="346" w:lineRule="exact"/>
      <w:ind w:firstLine="360"/>
      <w:outlineLvl w:val="5"/>
    </w:pPr>
    <w:rPr>
      <w:sz w:val="21"/>
      <w:szCs w:val="21"/>
    </w:rPr>
  </w:style>
  <w:style w:type="paragraph" w:customStyle="1" w:styleId="En-tte620">
    <w:name w:val="En-tête #6 (2)"/>
    <w:basedOn w:val="Normal"/>
    <w:link w:val="En-tte62"/>
    <w:pPr>
      <w:widowControl w:val="0"/>
      <w:shd w:val="clear" w:color="auto" w:fill="FFFFFF"/>
      <w:spacing w:after="0" w:line="360" w:lineRule="exact"/>
      <w:jc w:val="both"/>
      <w:outlineLvl w:val="5"/>
    </w:pPr>
    <w:rPr>
      <w:spacing w:val="10"/>
      <w:sz w:val="31"/>
      <w:szCs w:val="31"/>
    </w:rPr>
  </w:style>
  <w:style w:type="paragraph" w:customStyle="1" w:styleId="Corpsdutexte50">
    <w:name w:val="Corps du texte (5)"/>
    <w:basedOn w:val="Normal"/>
    <w:link w:val="Corpsdutexte5"/>
    <w:pPr>
      <w:widowControl w:val="0"/>
      <w:shd w:val="clear" w:color="auto" w:fill="FFFFFF"/>
      <w:spacing w:after="0" w:line="360" w:lineRule="exact"/>
      <w:jc w:val="both"/>
    </w:pPr>
    <w:rPr>
      <w:spacing w:val="10"/>
      <w:sz w:val="31"/>
      <w:szCs w:val="31"/>
    </w:rPr>
  </w:style>
  <w:style w:type="paragraph" w:customStyle="1" w:styleId="Lgendedelimage20">
    <w:name w:val="Légende de l'image (2)"/>
    <w:basedOn w:val="Normal"/>
    <w:link w:val="Lgendedelimage2"/>
    <w:pPr>
      <w:widowControl w:val="0"/>
      <w:shd w:val="clear" w:color="auto" w:fill="FFFFFF"/>
      <w:spacing w:after="0" w:line="0" w:lineRule="atLeast"/>
    </w:pPr>
    <w:rPr>
      <w:sz w:val="21"/>
      <w:szCs w:val="21"/>
    </w:rPr>
  </w:style>
  <w:style w:type="paragraph" w:customStyle="1" w:styleId="En-tte20">
    <w:name w:val="En-tête #2"/>
    <w:basedOn w:val="Normal"/>
    <w:link w:val="En-tte2"/>
    <w:pPr>
      <w:widowControl w:val="0"/>
      <w:shd w:val="clear" w:color="auto" w:fill="FFFFFF"/>
      <w:spacing w:after="780" w:line="0" w:lineRule="atLeast"/>
      <w:jc w:val="both"/>
      <w:outlineLvl w:val="1"/>
    </w:pPr>
    <w:rPr>
      <w:sz w:val="30"/>
      <w:szCs w:val="30"/>
    </w:rPr>
  </w:style>
  <w:style w:type="paragraph" w:styleId="ListParagraph">
    <w:name w:val="List Paragraph"/>
    <w:basedOn w:val="Normal"/>
    <w:uiPriority w:val="34"/>
    <w:qFormat/>
    <w:pPr>
      <w:spacing w:after="0" w:line="240" w:lineRule="auto"/>
      <w:ind w:left="720"/>
    </w:pPr>
    <w:rPr>
      <w:rFonts w:ascii="Calibri" w:eastAsia="Calibri" w:hAnsi="Calibri" w:cs="Times New Roman"/>
    </w:rPr>
  </w:style>
  <w:style w:type="numbering" w:customStyle="1" w:styleId="NoList11">
    <w:name w:val="No List11"/>
    <w:next w:val="NoList"/>
    <w:uiPriority w:val="99"/>
    <w:semiHidden/>
    <w:unhideWhenUsed/>
  </w:style>
  <w:style w:type="numbering" w:customStyle="1" w:styleId="NoList111">
    <w:name w:val="No List111"/>
    <w:next w:val="NoList"/>
    <w:uiPriority w:val="99"/>
    <w:semiHidden/>
  </w:style>
  <w:style w:type="character" w:styleId="PageNumber">
    <w:name w:val="page number"/>
  </w:style>
  <w:style w:type="character" w:customStyle="1" w:styleId="ecx472343111-23052011">
    <w:name w:val="ecx472343111-23052011"/>
  </w:style>
  <w:style w:type="character" w:customStyle="1" w:styleId="apple-style-span">
    <w:name w:val="apple-style-span"/>
  </w:style>
  <w:style w:type="paragraph" w:customStyle="1" w:styleId="msolistparagraph0">
    <w:name w:val="msolistparagraph"/>
    <w:basedOn w:val="Normal"/>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pPr>
      <w:spacing w:after="0" w:line="240" w:lineRule="auto"/>
    </w:pPr>
    <w:rPr>
      <w:rFonts w:ascii="Times New Roman" w:eastAsia="Times New Roman" w:hAnsi="Times New Roman" w:cs="Times New Roman"/>
      <w:b/>
      <w:bCs/>
      <w:sz w:val="20"/>
      <w:szCs w:val="20"/>
    </w:rPr>
  </w:style>
  <w:style w:type="paragraph" w:customStyle="1" w:styleId="Text1">
    <w:name w:val="Text 1"/>
    <w:basedOn w:val="Normal"/>
    <w:link w:val="Text1Znak"/>
    <w:pPr>
      <w:spacing w:before="120" w:after="120" w:line="240" w:lineRule="auto"/>
      <w:ind w:left="850"/>
      <w:jc w:val="both"/>
    </w:pPr>
    <w:rPr>
      <w:rFonts w:ascii="Times New Roman" w:eastAsia="Times New Roman" w:hAnsi="Times New Roman" w:cs="Times New Roman"/>
      <w:sz w:val="24"/>
      <w:szCs w:val="20"/>
    </w:rPr>
  </w:style>
  <w:style w:type="paragraph" w:styleId="BodyText">
    <w:name w:val="Body Text"/>
    <w:aliases w:val="Texto independiente Car,Car1 Car,Body"/>
    <w:basedOn w:val="Normal"/>
    <w:link w:val="BodyTextChar"/>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Texto independiente Car Char,Car1 Car Char,Body Char"/>
    <w:basedOn w:val="DefaultParagraphFont"/>
    <w:link w:val="BodyText"/>
    <w:rPr>
      <w:rFonts w:ascii="Times New Roman" w:eastAsia="Times New Roman" w:hAnsi="Times New Roman" w:cs="Times New Roman"/>
      <w:sz w:val="24"/>
      <w:szCs w:val="24"/>
      <w:lang w:val="fr-FR" w:eastAsia="fr-FR"/>
    </w:rPr>
  </w:style>
  <w:style w:type="paragraph" w:customStyle="1" w:styleId="ListNumber1">
    <w:name w:val="List Number 1"/>
    <w:basedOn w:val="Text1"/>
    <w:pPr>
      <w:numPr>
        <w:numId w:val="17"/>
      </w:numPr>
      <w:tabs>
        <w:tab w:val="clear" w:pos="1560"/>
        <w:tab w:val="num" w:pos="720"/>
      </w:tabs>
      <w:ind w:left="720" w:hanging="360"/>
    </w:pPr>
    <w:rPr>
      <w:szCs w:val="24"/>
    </w:rPr>
  </w:style>
  <w:style w:type="paragraph" w:customStyle="1" w:styleId="ListNumber1Level2">
    <w:name w:val="List Number 1 (Level 2)"/>
    <w:basedOn w:val="Text1"/>
    <w:pPr>
      <w:numPr>
        <w:ilvl w:val="1"/>
        <w:numId w:val="17"/>
      </w:numPr>
      <w:tabs>
        <w:tab w:val="clear" w:pos="2268"/>
        <w:tab w:val="num" w:pos="1440"/>
      </w:tabs>
      <w:ind w:left="1440" w:hanging="360"/>
    </w:pPr>
    <w:rPr>
      <w:szCs w:val="24"/>
    </w:rPr>
  </w:style>
  <w:style w:type="paragraph" w:customStyle="1" w:styleId="ListNumber1Level3">
    <w:name w:val="List Number 1 (Level 3)"/>
    <w:basedOn w:val="Text1"/>
    <w:pPr>
      <w:numPr>
        <w:ilvl w:val="2"/>
        <w:numId w:val="17"/>
      </w:numPr>
      <w:tabs>
        <w:tab w:val="clear" w:pos="2977"/>
        <w:tab w:val="num" w:pos="2160"/>
      </w:tabs>
      <w:ind w:left="2160" w:hanging="360"/>
    </w:pPr>
    <w:rPr>
      <w:szCs w:val="24"/>
    </w:rPr>
  </w:style>
  <w:style w:type="paragraph" w:customStyle="1" w:styleId="ListNumber1Level4">
    <w:name w:val="List Number 1 (Level 4)"/>
    <w:basedOn w:val="Text1"/>
    <w:pPr>
      <w:numPr>
        <w:ilvl w:val="3"/>
        <w:numId w:val="17"/>
      </w:numPr>
      <w:tabs>
        <w:tab w:val="clear" w:pos="3686"/>
        <w:tab w:val="num" w:pos="2880"/>
      </w:tabs>
      <w:ind w:left="2880" w:hanging="360"/>
    </w:pPr>
    <w:rPr>
      <w:szCs w:val="24"/>
    </w:rPr>
  </w:style>
  <w:style w:type="paragraph" w:customStyle="1" w:styleId="Titrearticle">
    <w:name w:val="Titre article"/>
    <w:basedOn w:val="Normal"/>
    <w:next w:val="Normal"/>
    <w:link w:val="TitrearticleChar"/>
    <w:pPr>
      <w:keepNext/>
      <w:spacing w:before="360" w:after="120" w:line="240" w:lineRule="auto"/>
      <w:jc w:val="center"/>
    </w:pPr>
    <w:rPr>
      <w:rFonts w:ascii="Times New Roman" w:eastAsia="Times New Roman" w:hAnsi="Times New Roman" w:cs="Times New Roman"/>
      <w:i/>
      <w:sz w:val="24"/>
      <w:szCs w:val="24"/>
    </w:rPr>
  </w:style>
  <w:style w:type="paragraph" w:customStyle="1" w:styleId="Text2">
    <w:name w:val="Text 2"/>
    <w:basedOn w:val="Normal"/>
    <w:pPr>
      <w:numPr>
        <w:numId w:val="21"/>
      </w:numPr>
      <w:tabs>
        <w:tab w:val="clear" w:pos="360"/>
      </w:tabs>
      <w:spacing w:before="120" w:after="120" w:line="240" w:lineRule="auto"/>
      <w:ind w:left="850" w:firstLine="0"/>
      <w:jc w:val="both"/>
    </w:pPr>
    <w:rPr>
      <w:rFonts w:ascii="Times New Roman" w:eastAsia="Times New Roman" w:hAnsi="Times New Roman" w:cs="Times New Roman"/>
      <w:sz w:val="24"/>
      <w:szCs w:val="24"/>
    </w:rPr>
  </w:style>
  <w:style w:type="paragraph" w:styleId="ListNumber">
    <w:name w:val="List Number"/>
    <w:basedOn w:val="Normal"/>
    <w:pPr>
      <w:numPr>
        <w:numId w:val="18"/>
      </w:numPr>
      <w:spacing w:before="120" w:after="12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pPr>
      <w:numPr>
        <w:ilvl w:val="1"/>
        <w:numId w:val="18"/>
      </w:numPr>
      <w:spacing w:before="120" w:after="12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pPr>
      <w:numPr>
        <w:ilvl w:val="2"/>
        <w:numId w:val="18"/>
      </w:numPr>
      <w:spacing w:before="120" w:after="12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pPr>
      <w:numPr>
        <w:ilvl w:val="3"/>
        <w:numId w:val="18"/>
      </w:numPr>
      <w:spacing w:before="120" w:after="12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harCharCharCharCharCharChar">
    <w:name w:val="Char Char Char Char Char Char Char"/>
    <w:aliases w:val=" Char Char Char Char Char1"/>
    <w:basedOn w:val="Normal"/>
    <w:next w:val="Normal"/>
    <w:pPr>
      <w:spacing w:after="160" w:line="240" w:lineRule="exact"/>
    </w:pPr>
    <w:rPr>
      <w:rFonts w:ascii="Tahoma" w:eastAsia="Times New Roman" w:hAnsi="Tahoma" w:cs="Times New Roman"/>
      <w:sz w:val="24"/>
      <w:szCs w:val="20"/>
    </w:rPr>
  </w:style>
  <w:style w:type="paragraph" w:styleId="Title">
    <w:name w:val="Title"/>
    <w:basedOn w:val="Normal"/>
    <w:next w:val="Normal"/>
    <w:link w:val="TitleChar"/>
    <w:uiPriority w:val="10"/>
    <w:qFormat/>
    <w:pPr>
      <w:spacing w:before="240" w:after="60"/>
      <w:jc w:val="center"/>
      <w:outlineLvl w:val="0"/>
    </w:pPr>
    <w:rPr>
      <w:rFonts w:ascii="Times New Roman" w:eastAsia="Times New Roman" w:hAnsi="Times New Roman" w:cs="Times New Roman"/>
      <w:b/>
      <w:bCs/>
      <w:kern w:val="28"/>
      <w:sz w:val="24"/>
      <w:szCs w:val="32"/>
    </w:rPr>
  </w:style>
  <w:style w:type="character" w:customStyle="1" w:styleId="TitleChar">
    <w:name w:val="Title Char"/>
    <w:basedOn w:val="DefaultParagraphFont"/>
    <w:link w:val="Title"/>
    <w:uiPriority w:val="10"/>
    <w:rPr>
      <w:rFonts w:ascii="Times New Roman" w:eastAsia="Times New Roman" w:hAnsi="Times New Roman" w:cs="Times New Roman"/>
      <w:b/>
      <w:bCs/>
      <w:kern w:val="28"/>
      <w:sz w:val="24"/>
      <w:szCs w:val="32"/>
      <w:lang w:val="fr-FR"/>
    </w:rPr>
  </w:style>
  <w:style w:type="paragraph" w:styleId="PlainText">
    <w:name w:val="Plain Text"/>
    <w:basedOn w:val="Normal"/>
    <w:link w:val="PlainTextChar"/>
    <w:uiPriority w:val="99"/>
    <w:unhideWhenUsed/>
    <w:pPr>
      <w:spacing w:after="0" w:line="240" w:lineRule="auto"/>
    </w:pPr>
    <w:rPr>
      <w:rFonts w:ascii="Times New Roman" w:eastAsia="Calibri" w:hAnsi="Times New Roman" w:cs="Times New Roman"/>
      <w:sz w:val="24"/>
      <w:szCs w:val="24"/>
    </w:rPr>
  </w:style>
  <w:style w:type="character" w:customStyle="1" w:styleId="PlainTextChar">
    <w:name w:val="Plain Text Char"/>
    <w:basedOn w:val="DefaultParagraphFont"/>
    <w:link w:val="PlainText"/>
    <w:uiPriority w:val="99"/>
    <w:rPr>
      <w:rFonts w:ascii="Times New Roman" w:eastAsia="Calibri" w:hAnsi="Times New Roman" w:cs="Times New Roman"/>
      <w:sz w:val="24"/>
      <w:szCs w:val="24"/>
      <w:lang w:val="fr-FR"/>
    </w:rPr>
  </w:style>
  <w:style w:type="paragraph" w:customStyle="1" w:styleId="Bullet1">
    <w:name w:val="Bullet 1"/>
    <w:basedOn w:val="Normal"/>
    <w:pPr>
      <w:numPr>
        <w:numId w:val="19"/>
      </w:numPr>
      <w:spacing w:before="120" w:after="120" w:line="360" w:lineRule="auto"/>
      <w:outlineLvl w:val="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Bullet2">
    <w:name w:val="List Bullet 2"/>
    <w:basedOn w:val="Normal"/>
    <w:pPr>
      <w:numPr>
        <w:numId w:val="20"/>
      </w:numPr>
      <w:spacing w:after="0" w:line="240" w:lineRule="auto"/>
      <w:contextualSpacing/>
    </w:pPr>
    <w:rPr>
      <w:rFonts w:ascii="Times New Roman" w:eastAsia="Times New Roman" w:hAnsi="Times New Roman" w:cs="Times New Roman"/>
      <w:sz w:val="24"/>
      <w:szCs w:val="24"/>
    </w:rPr>
  </w:style>
  <w:style w:type="numbering" w:customStyle="1" w:styleId="NoList1111">
    <w:name w:val="No List1111"/>
    <w:next w:val="NoList"/>
    <w:uiPriority w:val="99"/>
    <w:semiHidden/>
    <w:unhideWhenUsed/>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character" w:customStyle="1" w:styleId="spschname">
    <w:name w:val="sp_schname"/>
  </w:style>
  <w:style w:type="character" w:customStyle="1" w:styleId="TitrearticleChar">
    <w:name w:val="Titre article Char"/>
    <w:link w:val="Titrearticle"/>
    <w:rPr>
      <w:rFonts w:ascii="Times New Roman" w:eastAsia="Times New Roman" w:hAnsi="Times New Roman" w:cs="Times New Roman"/>
      <w:i/>
      <w:sz w:val="24"/>
      <w:szCs w:val="24"/>
      <w:lang w:eastAsia="fr-FR"/>
    </w:rPr>
  </w:style>
  <w:style w:type="paragraph" w:customStyle="1" w:styleId="num">
    <w:name w:val="num"/>
    <w:basedOn w:val="Normal"/>
    <w:pPr>
      <w:spacing w:after="240" w:line="240" w:lineRule="auto"/>
      <w:ind w:left="850" w:hanging="850"/>
      <w:jc w:val="both"/>
    </w:pPr>
    <w:rPr>
      <w:rFonts w:ascii="Times New Roman" w:eastAsia="Times New Roman" w:hAnsi="Times New Roman" w:cs="Times New Roman"/>
      <w:sz w:val="24"/>
      <w:szCs w:val="20"/>
    </w:rPr>
  </w:style>
  <w:style w:type="paragraph" w:customStyle="1" w:styleId="num2">
    <w:name w:val="num2"/>
    <w:basedOn w:val="num"/>
    <w:pPr>
      <w:ind w:left="1700"/>
    </w:pPr>
  </w:style>
  <w:style w:type="paragraph" w:customStyle="1" w:styleId="footnote">
    <w:name w:val="footnote"/>
    <w:basedOn w:val="FootnoteText"/>
    <w:link w:val="footnoteChar"/>
    <w:pPr>
      <w:ind w:left="0" w:firstLine="0"/>
    </w:pPr>
    <w:rPr>
      <w:rFonts w:eastAsia="Batang"/>
      <w:sz w:val="16"/>
      <w:szCs w:val="16"/>
    </w:rPr>
  </w:style>
  <w:style w:type="character" w:customStyle="1" w:styleId="footnoteChar">
    <w:name w:val="footnote Char"/>
    <w:link w:val="footnote"/>
    <w:rPr>
      <w:rFonts w:ascii="Times New Roman" w:eastAsia="Batang" w:hAnsi="Times New Roman" w:cs="Times New Roman"/>
      <w:sz w:val="16"/>
      <w:szCs w:val="16"/>
      <w:lang w:val="fr-FR" w:eastAsia="fr-FR"/>
    </w:rPr>
  </w:style>
  <w:style w:type="paragraph" w:customStyle="1" w:styleId="para">
    <w:name w:val="para"/>
    <w:basedOn w:val="Normal"/>
    <w:pPr>
      <w:spacing w:after="240" w:line="240" w:lineRule="auto"/>
    </w:pPr>
    <w:rPr>
      <w:rFonts w:ascii="Times New Roman" w:eastAsia="Batang" w:hAnsi="Times New Roman" w:cs="Times New Roman"/>
      <w:sz w:val="24"/>
      <w:szCs w:val="20"/>
    </w:rPr>
  </w:style>
  <w:style w:type="paragraph" w:customStyle="1" w:styleId="Tiret4">
    <w:name w:val="Tiret 4"/>
    <w:basedOn w:val="Normal"/>
    <w:pPr>
      <w:tabs>
        <w:tab w:val="num" w:pos="3118"/>
      </w:tabs>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NumPar1">
    <w:name w:val="NumPar 1"/>
    <w:basedOn w:val="Normal"/>
    <w:next w:val="Normal"/>
    <w:pPr>
      <w:numPr>
        <w:numId w:val="2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Normal"/>
    <w:pPr>
      <w:numPr>
        <w:ilvl w:val="1"/>
        <w:numId w:val="2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Normal"/>
    <w:pPr>
      <w:numPr>
        <w:ilvl w:val="2"/>
        <w:numId w:val="2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Normal"/>
    <w:pPr>
      <w:numPr>
        <w:ilvl w:val="3"/>
        <w:numId w:val="22"/>
      </w:numPr>
      <w:spacing w:before="120" w:after="120" w:line="240" w:lineRule="auto"/>
      <w:jc w:val="both"/>
    </w:pPr>
    <w:rPr>
      <w:rFonts w:ascii="Times New Roman" w:eastAsia="Times New Roman" w:hAnsi="Times New Roman" w:cs="Times New Roman"/>
      <w:sz w:val="24"/>
      <w:szCs w:val="24"/>
    </w:rPr>
  </w:style>
  <w:style w:type="paragraph" w:customStyle="1" w:styleId="Point0number">
    <w:name w:val="Point 0 (number)"/>
    <w:basedOn w:val="Normal"/>
    <w:pPr>
      <w:numPr>
        <w:ilvl w:val="1"/>
        <w:numId w:val="2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3"/>
        <w:numId w:val="2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5"/>
        <w:numId w:val="2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7"/>
        <w:numId w:val="2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letter">
    <w:name w:val="Point 1 (letter)"/>
    <w:basedOn w:val="Normal"/>
    <w:pPr>
      <w:tabs>
        <w:tab w:val="num" w:pos="1417"/>
      </w:tabs>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letter">
    <w:name w:val="Point 2 (letter)"/>
    <w:basedOn w:val="Normal"/>
    <w:pPr>
      <w:tabs>
        <w:tab w:val="num" w:pos="1984"/>
      </w:tabs>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letter">
    <w:name w:val="Point 3 (letter)"/>
    <w:basedOn w:val="Normal"/>
    <w:pPr>
      <w:tabs>
        <w:tab w:val="num" w:pos="2551"/>
      </w:tabs>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letter">
    <w:name w:val="Point 4 (letter)"/>
    <w:basedOn w:val="Normal"/>
    <w:pPr>
      <w:tabs>
        <w:tab w:val="num" w:pos="3118"/>
      </w:tabs>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ZTitleChapter">
    <w:name w:val="Z_Title Chapter"/>
    <w:basedOn w:val="Normal"/>
    <w:pPr>
      <w:tabs>
        <w:tab w:val="left" w:pos="567"/>
        <w:tab w:val="left" w:pos="851"/>
        <w:tab w:val="left" w:pos="1134"/>
        <w:tab w:val="left" w:pos="1418"/>
        <w:tab w:val="left" w:pos="1701"/>
      </w:tabs>
      <w:spacing w:after="0" w:line="240" w:lineRule="auto"/>
      <w:jc w:val="center"/>
    </w:pPr>
    <w:rPr>
      <w:rFonts w:ascii="Times New Roman" w:eastAsia="Times New Roman" w:hAnsi="Times New Roman" w:cs="Times New Roman"/>
      <w:b/>
      <w:bCs/>
      <w:sz w:val="32"/>
      <w:szCs w:val="20"/>
    </w:rPr>
  </w:style>
  <w:style w:type="character" w:customStyle="1" w:styleId="Text1Znak">
    <w:name w:val="Text 1 Znak"/>
    <w:link w:val="Text1"/>
    <w:rPr>
      <w:rFonts w:ascii="Times New Roman" w:eastAsia="Times New Roman" w:hAnsi="Times New Roman" w:cs="Times New Roman"/>
      <w:sz w:val="24"/>
      <w:szCs w:val="20"/>
      <w:lang w:eastAsia="fr-FR"/>
    </w:rPr>
  </w:style>
  <w:style w:type="paragraph" w:customStyle="1" w:styleId="Point1">
    <w:name w:val="Point 1"/>
    <w:basedOn w:val="Normal"/>
    <w:link w:val="Point1Char"/>
    <w:pPr>
      <w:spacing w:before="120" w:after="120" w:line="240" w:lineRule="auto"/>
      <w:ind w:left="1417" w:hanging="567"/>
      <w:jc w:val="both"/>
    </w:pPr>
    <w:rPr>
      <w:rFonts w:ascii="Times New Roman" w:eastAsia="Times New Roman" w:hAnsi="Times New Roman" w:cs="Times New Roman"/>
      <w:sz w:val="24"/>
      <w:szCs w:val="24"/>
    </w:rPr>
  </w:style>
  <w:style w:type="character" w:customStyle="1" w:styleId="Point1Char">
    <w:name w:val="Point 1 Char"/>
    <w:link w:val="Point1"/>
    <w:rPr>
      <w:rFonts w:ascii="Times New Roman" w:eastAsia="Times New Roman" w:hAnsi="Times New Roman" w:cs="Times New Roman"/>
      <w:sz w:val="24"/>
      <w:szCs w:val="24"/>
      <w:lang w:eastAsia="fr-FR"/>
    </w:rPr>
  </w:style>
  <w:style w:type="paragraph" w:customStyle="1" w:styleId="ManualNumPar1">
    <w:name w:val="Manual NumPar 1"/>
    <w:basedOn w:val="Normal"/>
    <w:next w:val="Text1"/>
    <w:link w:val="ManualNumPar10"/>
    <w:pPr>
      <w:spacing w:before="120" w:after="120" w:line="240" w:lineRule="auto"/>
      <w:ind w:left="850" w:hanging="850"/>
      <w:jc w:val="both"/>
    </w:pPr>
    <w:rPr>
      <w:rFonts w:ascii="Times New Roman" w:eastAsia="Times New Roman" w:hAnsi="Times New Roman" w:cs="Times New Roman"/>
      <w:sz w:val="24"/>
      <w:szCs w:val="24"/>
    </w:rPr>
  </w:style>
  <w:style w:type="character" w:customStyle="1" w:styleId="ManualNumPar10">
    <w:name w:val="Manual NumPar 1 Знак"/>
    <w:link w:val="ManualNumPar1"/>
    <w:locked/>
    <w:rPr>
      <w:rFonts w:ascii="Times New Roman" w:eastAsia="Times New Roman" w:hAnsi="Times New Roman" w:cs="Times New Roman"/>
      <w:sz w:val="24"/>
      <w:szCs w:val="24"/>
      <w:lang w:eastAsia="fr-FR"/>
    </w:rPr>
  </w:style>
  <w:style w:type="table" w:customStyle="1" w:styleId="TableGrid1">
    <w:name w:val="Table Grid1"/>
    <w:basedOn w:val="TableNormal"/>
    <w:next w:val="TableGrid"/>
    <w:uiPriority w:val="59"/>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1">
    <w:name w:val="List Dash 1"/>
    <w:basedOn w:val="Normal"/>
    <w:pPr>
      <w:numPr>
        <w:numId w:val="24"/>
      </w:numPr>
      <w:spacing w:before="120" w:after="120" w:line="240" w:lineRule="auto"/>
      <w:jc w:val="both"/>
    </w:pPr>
    <w:rPr>
      <w:rFonts w:ascii="Times New Roman" w:eastAsia="Times New Roman" w:hAnsi="Times New Roman" w:cs="Times New Roman"/>
      <w:sz w:val="24"/>
      <w:szCs w:val="24"/>
    </w:rPr>
  </w:style>
  <w:style w:type="paragraph" w:styleId="TOC3">
    <w:name w:val="toc 3"/>
    <w:basedOn w:val="Normal"/>
    <w:next w:val="Normal"/>
    <w:autoRedefine/>
    <w:pPr>
      <w:keepLines/>
      <w:tabs>
        <w:tab w:val="left" w:pos="1200"/>
        <w:tab w:val="right" w:leader="dot" w:pos="9000"/>
        <w:tab w:val="right" w:leader="underscore" w:pos="9060"/>
      </w:tabs>
      <w:spacing w:after="120" w:line="240" w:lineRule="auto"/>
      <w:ind w:right="23"/>
      <w:jc w:val="both"/>
    </w:pPr>
    <w:rPr>
      <w:rFonts w:ascii="Times New Roman" w:eastAsia="Times New Roman" w:hAnsi="Times New Roman" w:cs="Times New Roman"/>
      <w:sz w:val="24"/>
      <w:szCs w:val="20"/>
    </w:rPr>
  </w:style>
  <w:style w:type="paragraph" w:customStyle="1" w:styleId="pealkiri">
    <w:name w:val="pealkiri"/>
    <w:basedOn w:val="Normal"/>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caps/>
      <w:sz w:val="24"/>
      <w:szCs w:val="24"/>
    </w:rPr>
  </w:style>
  <w:style w:type="paragraph" w:customStyle="1" w:styleId="Pealkiri2">
    <w:name w:val="Pealkiri 2"/>
    <w:basedOn w:val="Normal"/>
    <w:pPr>
      <w:numPr>
        <w:numId w:val="25"/>
      </w:numPr>
      <w:spacing w:after="0"/>
      <w:contextualSpacing/>
    </w:pPr>
    <w:rPr>
      <w:rFonts w:ascii="Times New Roman" w:eastAsia="SimSun" w:hAnsi="Times New Roman" w:cs="Times New Roman"/>
      <w:b/>
      <w:sz w:val="20"/>
      <w:szCs w:val="20"/>
    </w:rPr>
  </w:style>
  <w:style w:type="paragraph" w:customStyle="1" w:styleId="CharCharCharChar">
    <w:name w:val="Char Char Char Char"/>
    <w:basedOn w:val="Normal"/>
    <w:pPr>
      <w:tabs>
        <w:tab w:val="left" w:pos="709"/>
      </w:tabs>
      <w:spacing w:after="0" w:line="240" w:lineRule="auto"/>
    </w:pPr>
    <w:rPr>
      <w:rFonts w:ascii="Tahoma" w:eastAsia="Times New Roman" w:hAnsi="Tahoma" w:cs="Times New Roman"/>
      <w:sz w:val="24"/>
      <w:szCs w:val="24"/>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lang w:eastAsia="fr-FR"/>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Annexetitreglobale">
    <w:name w:val="Annexe titre (global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Transportable">
    <w:name w:val="Transportable"/>
    <w:basedOn w:val="Normal"/>
    <w:pPr>
      <w:spacing w:after="0" w:line="240" w:lineRule="auto"/>
    </w:pPr>
    <w:rPr>
      <w:rFonts w:ascii="Book Antiqua" w:eastAsia="Batang" w:hAnsi="Book Antiqua" w:cs="Times New Roman"/>
      <w:sz w:val="18"/>
      <w:szCs w:val="20"/>
    </w:rPr>
  </w:style>
  <w:style w:type="paragraph" w:customStyle="1" w:styleId="StyleHeading114pt">
    <w:name w:val="Style Heading 1 + 14 pt"/>
    <w:basedOn w:val="Heading1"/>
    <w:pPr>
      <w:keepNext/>
      <w:autoSpaceDE/>
      <w:autoSpaceDN/>
      <w:adjustRightInd/>
      <w:spacing w:before="360" w:after="120"/>
      <w:jc w:val="center"/>
    </w:pPr>
    <w:rPr>
      <w:rFonts w:ascii="Times New Roman" w:eastAsia="Batang" w:hAnsi="Times New Roman"/>
      <w:caps w:val="0"/>
      <w:smallCaps/>
      <w:sz w:val="28"/>
      <w:szCs w:val="32"/>
    </w:rPr>
  </w:style>
  <w:style w:type="paragraph" w:customStyle="1" w:styleId="footno">
    <w:name w:val="footno"/>
    <w:basedOn w:val="Footer"/>
    <w:pPr>
      <w:tabs>
        <w:tab w:val="clear" w:pos="4536"/>
        <w:tab w:val="clear" w:pos="9072"/>
        <w:tab w:val="center" w:pos="4320"/>
        <w:tab w:val="right" w:pos="8640"/>
      </w:tabs>
      <w:jc w:val="center"/>
    </w:pPr>
    <w:rPr>
      <w:rFonts w:ascii="Times New Roman" w:eastAsia="Times New Roman" w:hAnsi="Times New Roman" w:cstheme="majorBidi"/>
      <w:sz w:val="20"/>
      <w:szCs w:val="24"/>
    </w:rPr>
  </w:style>
  <w:style w:type="paragraph" w:customStyle="1" w:styleId="CharCharCharCharChar">
    <w:name w:val="Char Char Char Char Char"/>
    <w:basedOn w:val="Normal"/>
    <w:pPr>
      <w:spacing w:after="160" w:line="240" w:lineRule="exact"/>
    </w:pPr>
    <w:rPr>
      <w:rFonts w:ascii="Tahoma" w:eastAsia="Times New Roman" w:hAnsi="Tahoma" w:cs="Times New Roman"/>
      <w:sz w:val="20"/>
      <w:szCs w:val="20"/>
    </w:rPr>
  </w:style>
  <w:style w:type="paragraph" w:customStyle="1" w:styleId="default0">
    <w:name w:val="default"/>
    <w:basedOn w:val="Normal"/>
    <w:pPr>
      <w:autoSpaceDE w:val="0"/>
      <w:autoSpaceDN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pPr>
      <w:spacing w:after="120" w:line="480"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rPr>
      <w:rFonts w:ascii="Times New Roman" w:eastAsia="Calibri" w:hAnsi="Times New Roman" w:cs="Times New Roman"/>
      <w:sz w:val="24"/>
      <w:szCs w:val="24"/>
      <w:lang w:eastAsia="fr-FR"/>
    </w:rPr>
  </w:style>
  <w:style w:type="paragraph" w:styleId="BodyTextIndent">
    <w:name w:val="Body Text Indent"/>
    <w:basedOn w:val="Normal"/>
    <w:link w:val="BodyTextIndentChar"/>
    <w:pPr>
      <w:spacing w:after="120" w:line="240" w:lineRule="auto"/>
      <w:ind w:left="283"/>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Pr>
      <w:rFonts w:ascii="Times New Roman" w:eastAsia="Calibri" w:hAnsi="Times New Roman" w:cs="Times New Roman"/>
      <w:sz w:val="24"/>
      <w:szCs w:val="24"/>
      <w:lang w:eastAsia="fr-FR"/>
    </w:rPr>
  </w:style>
  <w:style w:type="paragraph" w:styleId="BodyTextIndent2">
    <w:name w:val="Body Text Indent 2"/>
    <w:basedOn w:val="Normal"/>
    <w:link w:val="BodyTextIndent2Char"/>
    <w:pPr>
      <w:spacing w:after="120" w:line="480" w:lineRule="auto"/>
      <w:ind w:left="283"/>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Calibri" w:hAnsi="Times New Roman" w:cs="Times New Roman"/>
      <w:sz w:val="24"/>
      <w:szCs w:val="24"/>
      <w:lang w:eastAsia="fr-FR"/>
    </w:rPr>
  </w:style>
  <w:style w:type="paragraph" w:customStyle="1" w:styleId="NormalWeb8">
    <w:name w:val="Normal (Web)8"/>
    <w:basedOn w:val="Normal"/>
    <w:pPr>
      <w:spacing w:before="75" w:after="75" w:line="240" w:lineRule="auto"/>
      <w:ind w:left="225" w:right="225"/>
    </w:pPr>
    <w:rPr>
      <w:rFonts w:ascii="Times New Roman" w:eastAsia="Times New Roman" w:hAnsi="Times New Roman" w:cs="Times New Roman"/>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0"/>
    </w:rPr>
  </w:style>
  <w:style w:type="paragraph" w:customStyle="1" w:styleId="References">
    <w:name w:val="References"/>
    <w:basedOn w:val="Normal"/>
    <w:next w:val="Normal"/>
    <w:uiPriority w:val="99"/>
    <w:pPr>
      <w:spacing w:after="240" w:line="240" w:lineRule="auto"/>
      <w:ind w:left="5103"/>
    </w:pPr>
    <w:rPr>
      <w:rFonts w:ascii="Times New Roman" w:eastAsia="Times New Roman" w:hAnsi="Times New Roman" w:cs="Times New Roman"/>
      <w:sz w:val="20"/>
      <w:szCs w:val="20"/>
    </w:rPr>
  </w:style>
  <w:style w:type="character" w:customStyle="1" w:styleId="FootnoteTextChar1">
    <w:name w:val="Footnote Text Char1"/>
    <w:semiHidden/>
    <w:locked/>
    <w:rPr>
      <w:lang w:val="fr-FR" w:eastAsia="fr-FR" w:bidi="fr-FR"/>
    </w:rPr>
  </w:style>
  <w:style w:type="character" w:customStyle="1" w:styleId="apple-converted-space">
    <w:name w:val="apple-converted-space"/>
  </w:style>
  <w:style w:type="paragraph" w:customStyle="1" w:styleId="Normal1">
    <w:name w:val="Normal 1"/>
    <w:basedOn w:val="Normal"/>
    <w:link w:val="Normal1Char"/>
    <w:pPr>
      <w:widowControl w:val="0"/>
      <w:tabs>
        <w:tab w:val="left" w:pos="567"/>
        <w:tab w:val="left" w:pos="851"/>
        <w:tab w:val="left" w:pos="1134"/>
        <w:tab w:val="left" w:pos="1418"/>
        <w:tab w:val="left" w:pos="1701"/>
      </w:tabs>
      <w:spacing w:before="60" w:after="60" w:line="240" w:lineRule="auto"/>
      <w:ind w:left="567"/>
      <w:jc w:val="both"/>
    </w:pPr>
    <w:rPr>
      <w:rFonts w:ascii="Times New Roman" w:eastAsia="Times New Roman" w:hAnsi="Times New Roman" w:cs="Times New Roman"/>
      <w:szCs w:val="20"/>
    </w:rPr>
  </w:style>
  <w:style w:type="paragraph" w:customStyle="1" w:styleId="NormalArticle">
    <w:name w:val="Normal Article"/>
    <w:basedOn w:val="Normal"/>
    <w:pPr>
      <w:tabs>
        <w:tab w:val="left" w:pos="720"/>
        <w:tab w:val="left" w:pos="1440"/>
      </w:tabs>
      <w:spacing w:after="0" w:line="240" w:lineRule="auto"/>
      <w:jc w:val="center"/>
    </w:pPr>
    <w:rPr>
      <w:rFonts w:ascii="Times New Roman" w:eastAsia="Times New Roman" w:hAnsi="Times New Roman" w:cs="Times New Roman"/>
      <w:b/>
      <w:bCs/>
      <w:sz w:val="24"/>
      <w:szCs w:val="20"/>
    </w:rPr>
  </w:style>
  <w:style w:type="character" w:customStyle="1" w:styleId="Normal1Char">
    <w:name w:val="Normal 1 Char"/>
    <w:link w:val="Normal1"/>
    <w:rPr>
      <w:rFonts w:ascii="Times New Roman" w:eastAsia="Times New Roman" w:hAnsi="Times New Roman" w:cs="Times New Roman"/>
      <w:szCs w:val="20"/>
    </w:rPr>
  </w:style>
  <w:style w:type="paragraph" w:customStyle="1" w:styleId="ZTitleSection">
    <w:name w:val="Z_Title Section"/>
    <w:basedOn w:val="Normal"/>
    <w:pPr>
      <w:spacing w:after="0" w:line="240" w:lineRule="auto"/>
      <w:jc w:val="center"/>
    </w:pPr>
    <w:rPr>
      <w:rFonts w:ascii="Times New Roman" w:eastAsia="Times New Roman" w:hAnsi="Times New Roman" w:cs="Times New Roman"/>
      <w:b/>
      <w:caps/>
      <w:sz w:val="24"/>
      <w:szCs w:val="20"/>
    </w:rPr>
  </w:style>
  <w:style w:type="paragraph" w:customStyle="1" w:styleId="NormalArticle000Indent127">
    <w:name w:val="Normal Article 000 Indent 127"/>
    <w:basedOn w:val="Normal"/>
    <w:pPr>
      <w:tabs>
        <w:tab w:val="left" w:pos="720"/>
      </w:tabs>
      <w:spacing w:after="0" w:line="240" w:lineRule="auto"/>
      <w:ind w:left="720" w:hanging="720"/>
      <w:jc w:val="both"/>
    </w:pPr>
    <w:rPr>
      <w:rFonts w:ascii="Times New Roman" w:eastAsia="Times New Roman" w:hAnsi="Times New Roman" w:cs="Times New Roman"/>
      <w:sz w:val="24"/>
      <w:szCs w:val="24"/>
    </w:rPr>
  </w:style>
  <w:style w:type="paragraph" w:customStyle="1" w:styleId="NormalArticle127Indent127">
    <w:name w:val="Normal Article 127 Indent 127"/>
    <w:basedOn w:val="Normal"/>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Normal10">
    <w:name w:val="Normal1"/>
    <w:pPr>
      <w:spacing w:after="0" w:line="240" w:lineRule="auto"/>
      <w:jc w:val="both"/>
    </w:pPr>
    <w:rPr>
      <w:rFonts w:ascii="Times New Roman" w:eastAsia="Times New Roman" w:hAnsi="Times New Roman" w:cs="Times New Roman"/>
      <w:color w:val="000000"/>
      <w:sz w:val="24"/>
      <w:szCs w:val="24"/>
    </w:rPr>
  </w:style>
  <w:style w:type="paragraph" w:customStyle="1" w:styleId="Tiret1">
    <w:name w:val="Tiret 1"/>
    <w:basedOn w:val="Normal"/>
    <w:pPr>
      <w:numPr>
        <w:numId w:val="34"/>
      </w:numPr>
      <w:spacing w:before="120" w:after="120" w:line="240" w:lineRule="auto"/>
      <w:jc w:val="both"/>
    </w:pPr>
    <w:rPr>
      <w:rFonts w:ascii="Times New Roman" w:eastAsia="Times New Roman" w:hAnsi="Times New Roman" w:cs="Times New Roman"/>
      <w:sz w:val="24"/>
      <w:szCs w:val="24"/>
      <w:u w:color="000000"/>
    </w:rPr>
  </w:style>
  <w:style w:type="paragraph" w:customStyle="1" w:styleId="Annexetitreacte">
    <w:name w:val="Annexe titre (acte)"/>
    <w:next w:val="Normal"/>
    <w:pPr>
      <w:pBdr>
        <w:top w:val="nil"/>
        <w:left w:val="nil"/>
        <w:bottom w:val="nil"/>
        <w:right w:val="nil"/>
        <w:between w:val="nil"/>
        <w:bar w:val="nil"/>
      </w:pBdr>
      <w:spacing w:before="120" w:after="120" w:line="240" w:lineRule="auto"/>
      <w:jc w:val="center"/>
    </w:pPr>
    <w:rPr>
      <w:rFonts w:ascii="Times New Roman" w:eastAsia="Arial Unicode MS" w:hAnsi="Times New Roman" w:cs="Arial Unicode MS"/>
      <w:b/>
      <w:bCs/>
      <w:color w:val="000000"/>
      <w:sz w:val="24"/>
      <w:szCs w:val="24"/>
      <w:u w:val="single" w:color="000000"/>
      <w:bdr w:val="nil"/>
    </w:rPr>
  </w:style>
  <w:style w:type="numbering" w:customStyle="1" w:styleId="ImportedStyle1">
    <w:name w:val="Imported Style 1"/>
    <w:pPr>
      <w:numPr>
        <w:numId w:val="35"/>
      </w:numPr>
    </w:pPr>
  </w:style>
  <w:style w:type="numbering" w:customStyle="1" w:styleId="ImportedStyle2">
    <w:name w:val="Imported Style 2"/>
    <w:pPr>
      <w:numPr>
        <w:numId w:val="36"/>
      </w:numPr>
    </w:pPr>
  </w:style>
  <w:style w:type="numbering" w:customStyle="1" w:styleId="ImportedStyle3">
    <w:name w:val="Imported Style 3"/>
    <w:pPr>
      <w:numPr>
        <w:numId w:val="37"/>
      </w:numPr>
    </w:pPr>
  </w:style>
  <w:style w:type="numbering" w:customStyle="1" w:styleId="ImportedStyle11">
    <w:name w:val="Imported Style 11"/>
  </w:style>
  <w:style w:type="numbering" w:customStyle="1" w:styleId="ImportedStyle21">
    <w:name w:val="Imported Style 21"/>
  </w:style>
  <w:style w:type="numbering" w:customStyle="1" w:styleId="ImportedStyle31">
    <w:name w:val="Imported Style 31"/>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3551-166C-4B45-9B56-29024F0A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95</Pages>
  <Words>19393</Words>
  <Characters>110350</Characters>
  <Application>Microsoft Office Word</Application>
  <DocSecurity>0</DocSecurity>
  <Lines>2566</Lines>
  <Paragraphs>882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JANTUNEN Johanna (EEAS)</dc:creator>
  <cp:lastModifiedBy>DIGIT/A3</cp:lastModifiedBy>
  <cp:revision>12</cp:revision>
  <dcterms:created xsi:type="dcterms:W3CDTF">2017-08-10T11:07:00Z</dcterms:created>
  <dcterms:modified xsi:type="dcterms:W3CDTF">2017-09-18T14:20:00Z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