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884E38C50C4461E8E115705D3720F3F" style="width:450.4pt;height:420.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rPr>
      </w:pPr>
      <w:bookmarkStart w:id="1" w:name="_GoBack"/>
      <w:bookmarkEnd w:id="1"/>
      <w:r>
        <w:rPr>
          <w:rFonts w:ascii="Times New Roman" w:hAnsi="Times New Roman"/>
          <w:b/>
          <w:noProof/>
          <w:sz w:val="24"/>
          <w:u w:val="single"/>
        </w:rPr>
        <w:lastRenderedPageBreak/>
        <w:t>ПРИЛОЖЕНИЕ IX</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ЗАКОНОДАТЕЛСТВО НА СТРАНИТЕ ПО СПОРАЗУМЕНИЕТО</w:t>
      </w:r>
      <w:r>
        <w:rPr>
          <w:rFonts w:ascii="Times New Roman" w:eastAsia="MS Mincho" w:hAnsi="Times New Roman" w:cs="Times New Roman"/>
          <w:noProof/>
          <w:sz w:val="24"/>
          <w:szCs w:val="24"/>
        </w:rPr>
        <w:br/>
      </w:r>
      <w:r>
        <w:rPr>
          <w:rFonts w:ascii="Times New Roman" w:hAnsi="Times New Roman"/>
          <w:noProof/>
          <w:sz w:val="24"/>
        </w:rPr>
        <w:t xml:space="preserve">И ЕЛЕМЕНТИ ЗА РЕГИСТРАЦИЯ, КОНТРОЛ И ЗАЩИТА НА </w:t>
      </w:r>
      <w:r>
        <w:rPr>
          <w:rFonts w:ascii="Times New Roman" w:hAnsi="Times New Roman"/>
          <w:noProof/>
          <w:sz w:val="24"/>
        </w:rPr>
        <w:br/>
        <w:t>ГЕОГРАФСКИТЕ ОЗНАЧЕНИЯ</w:t>
      </w: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Част А</w:t>
      </w:r>
      <w:r>
        <w:rPr>
          <w:rFonts w:ascii="Times New Roman" w:eastAsia="MS Mincho" w:hAnsi="Times New Roman" w:cs="Times New Roman"/>
          <w:noProof/>
          <w:sz w:val="24"/>
          <w:szCs w:val="24"/>
        </w:rPr>
        <w:br/>
      </w:r>
      <w:r>
        <w:rPr>
          <w:rFonts w:ascii="Times New Roman" w:hAnsi="Times New Roman"/>
          <w:noProof/>
          <w:sz w:val="24"/>
        </w:rPr>
        <w:t>Законодателство на страните по споразумението</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Законодателство на Европейския съюз</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Регламент (ЕС) № 1151/2012 на Европейския парламент и на Съвета от 21 ноември 2012 г. относно схемите за качество на селскостопанските продукти и храни, заедно с правилата за прилагането му.</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заедно с правилата за прилагането му.</w:t>
      </w:r>
    </w:p>
    <w:p>
      <w:pPr>
        <w:spacing w:after="0" w:line="360" w:lineRule="auto"/>
        <w:ind w:left="1134" w:hanging="567"/>
        <w:rPr>
          <w:rFonts w:ascii="Times New Roman" w:eastAsia="MS Mincho" w:hAnsi="Times New Roman" w:cs="Times New Roman"/>
          <w:bCs/>
          <w:noProof/>
          <w:sz w:val="24"/>
          <w:szCs w:val="24"/>
        </w:rPr>
      </w:pPr>
    </w:p>
    <w:p>
      <w:pPr>
        <w:spacing w:after="0" w:line="360" w:lineRule="auto"/>
        <w:ind w:left="1134" w:hanging="567"/>
        <w:rPr>
          <w:rFonts w:ascii="Times New Roman" w:eastAsia="MS Mincho" w:hAnsi="Times New Roman" w:cs="Times New Roman"/>
          <w:noProof/>
          <w:spacing w:val="-2"/>
          <w:sz w:val="24"/>
          <w:szCs w:val="24"/>
        </w:rPr>
      </w:pPr>
      <w:r>
        <w:rPr>
          <w:rFonts w:ascii="Times New Roman" w:hAnsi="Times New Roman"/>
          <w:noProof/>
          <w:spacing w:val="-2"/>
          <w:sz w:val="24"/>
        </w:rPr>
        <w:t>(3)</w:t>
      </w:r>
      <w:r>
        <w:rPr>
          <w:noProof/>
          <w:spacing w:val="-2"/>
        </w:rPr>
        <w:tab/>
      </w:r>
      <w:r>
        <w:rPr>
          <w:rFonts w:ascii="Times New Roman" w:hAnsi="Times New Roman"/>
          <w:noProof/>
          <w:spacing w:val="-2"/>
          <w:sz w:val="24"/>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заедно с правилата за прилагането му.</w:t>
      </w:r>
    </w:p>
    <w:p>
      <w:pPr>
        <w:spacing w:after="0" w:line="360" w:lineRule="auto"/>
        <w:ind w:left="1134"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lastRenderedPageBreak/>
        <w:t>(4)</w:t>
      </w:r>
      <w:r>
        <w:rPr>
          <w:noProof/>
        </w:rPr>
        <w:tab/>
      </w:r>
      <w:r>
        <w:rPr>
          <w:rFonts w:ascii="Times New Roman" w:hAnsi="Times New Roman"/>
          <w:noProof/>
          <w:sz w:val="24"/>
        </w:rPr>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Законодателство на Република Армения</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Закон на Република Армения относно географските означения, HO-60-N, приет на 29.4.2010 г., влязъл в сила на 1.7.2010 г. </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heme="majorBidi" w:eastAsia="MS Mincho" w:hAnsiTheme="majorBidi" w:cstheme="majorBidi"/>
          <w:noProof/>
          <w:sz w:val="24"/>
          <w:szCs w:val="24"/>
        </w:rPr>
      </w:pPr>
      <w:r>
        <w:rPr>
          <w:rFonts w:ascii="Times New Roman" w:hAnsi="Times New Roman"/>
          <w:noProof/>
          <w:sz w:val="24"/>
        </w:rPr>
        <w:t>(2)</w:t>
      </w:r>
      <w:r>
        <w:rPr>
          <w:noProof/>
        </w:rPr>
        <w:tab/>
      </w:r>
      <w:r>
        <w:rPr>
          <w:rFonts w:ascii="Times New Roman" w:hAnsi="Times New Roman"/>
          <w:noProof/>
          <w:sz w:val="24"/>
        </w:rPr>
        <w:t>Граждански кодекс на Република Армения, членове 1179—1183.</w:t>
      </w:r>
    </w:p>
    <w:p>
      <w:pPr>
        <w:spacing w:after="0" w:line="360" w:lineRule="auto"/>
        <w:ind w:left="1134" w:hanging="567"/>
        <w:rPr>
          <w:rFonts w:asciiTheme="majorBidi" w:eastAsia="MS Mincho" w:hAnsiTheme="majorBidi" w:cstheme="majorBidi"/>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Правила за попълването, подаването и обработването на заявление за географски означения, наименование за произход и гарантирани традиционни продукти. Правилата са потвърдени на 10 март 2011 г. с Решение 310 –N на правителството на Република Армения. </w:t>
      </w:r>
    </w:p>
    <w:p>
      <w:pPr>
        <w:spacing w:after="0" w:line="360" w:lineRule="auto"/>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Част Б</w:t>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Елементи за регистрация, контрол и защита на географските означения</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rFonts w:ascii="Times New Roman" w:hAnsi="Times New Roman"/>
          <w:noProof/>
          <w:sz w:val="24"/>
        </w:rPr>
        <w:t>Всяка страна по споразумението гарантира, че системата ѝ за регистрация, контрол и защита на географските означения съдържа:</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регистър на географските означения, защитени на нейната територия;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административна процедура, с която се удостоверява, че географските означения обозначават даден продукт като произхождащ от територия, регион или местност на една от страните по споразумението, когато дадено качество, репутация или друга характеристика на продукта основно се отдава на географския му произход;</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разпоредби за контрол на производството;</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прилагане на защитата на регистрираните географски означения посредством подходящи административни действия на публичните органи; </w:t>
      </w:r>
    </w:p>
    <w:p>
      <w:pPr>
        <w:spacing w:after="0" w:line="360" w:lineRule="auto"/>
        <w:ind w:left="567"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правни разпоредби, предвиждащи, че дадено регистрирано географско означение: </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pacing w:val="-2"/>
          <w:sz w:val="24"/>
          <w:szCs w:val="24"/>
        </w:rPr>
      </w:pPr>
      <w:r>
        <w:rPr>
          <w:rFonts w:ascii="Times New Roman" w:hAnsi="Times New Roman"/>
          <w:noProof/>
          <w:spacing w:val="-2"/>
          <w:sz w:val="24"/>
        </w:rPr>
        <w:t>a)</w:t>
      </w:r>
      <w:r>
        <w:rPr>
          <w:noProof/>
          <w:spacing w:val="-2"/>
        </w:rPr>
        <w:tab/>
      </w:r>
      <w:r>
        <w:rPr>
          <w:rFonts w:ascii="Times New Roman" w:hAnsi="Times New Roman"/>
          <w:noProof/>
          <w:spacing w:val="-2"/>
          <w:sz w:val="24"/>
        </w:rPr>
        <w:t>може да бъде използвано от всеки оператор, който предлага на пазара селскостопански продукти или храни, отговарящи на съответната спецификация, и;</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е защитено срещу: </w:t>
      </w:r>
    </w:p>
    <w:p>
      <w:pPr>
        <w:spacing w:after="0" w:line="360" w:lineRule="auto"/>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всяко пряко или непряко използване в търговската дейност за продукти, които не попадат в обхвата на регистрацията, доколкото тези продукти са сравними с продуктите, които са регистрирани съгласно географското означение, или доколкото използването на географското означение е свързано с възползване от известността на защитеното географско означение;</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всякаква злоупотреба, имитация или намек, дори ако е посочен истинският произход на продукта или ако защитеното означение е преведено или придружено от израз, като например „стил“, „тип“, „метод“, „като произведено в“, „имитация“, или друг подобен израз;</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всяко друго невярно или заблуждаващо означение по отношение на източника, произхода, естеството или съществените качества на продукта върху вътрешната или външната опаковка, в рекламен материал или документи, свързани с въпросния продукт, и върху опаковката на продукта, която може да създаде погрешна представа за произхода му, и;</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iv)</w:t>
      </w:r>
      <w:r>
        <w:rPr>
          <w:noProof/>
        </w:rPr>
        <w:tab/>
      </w:r>
      <w:r>
        <w:rPr>
          <w:rFonts w:ascii="Times New Roman" w:hAnsi="Times New Roman"/>
          <w:noProof/>
          <w:sz w:val="24"/>
        </w:rPr>
        <w:t>всяка друга практика, която би могла да въведе в заблуждение потребителя относно истинския произход на продукта.</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правило, че защитените наименования не могат да се превърнат в родови наименования;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разпоредби относно регистрацията, които могат да включват отказ на регистрация, на означения, които са омонимни или частично омонимни с регистрирани означения, на означения, обичайно използвани в обикновения език като обичайни наименования на стоки, и на означения, включващи наименования на сортове растения или породи животни. В тези разпоредби се вземат предвид законните интереси на всички заинтересовани лица;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правила относно връзката между географските означения и търговските марки, в които се предвижда ограничено изключение във връзка с правата, предоставени съгласно законодателството за търговските марки, като целта на това изключение е наличието на предварителна търговска марка да не може да бъде причина за регистрацията и използването на наименование като регистрирано географско означение освен в случаите, в които поради известността на търговската марка и времето, през което тя се използва, потребителите биха били подведени от регистрацията и използването на географското означение върху продукти, които не са обхванати от търговската марка;</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право на всеки производител, който е установен в географската област и подлежи на съответния контрол, да произвежда и продава продукта, етикетиран със защитеното наименование, при условие че спазва продуктовата спецификация;</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процедура за възражение, която позволява да бъдат взети предвид законните интереси на предишните ползватели на наименованията, независимо дали тези наименования са защитени като форма на интелектуална собственост.</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jc w:val="center"/>
        <w:rPr>
          <w:rFonts w:ascii="Times New Roman" w:eastAsia="MS Mincho" w:hAnsi="Times New Roman" w:cs="Times New Roman"/>
          <w:noProof/>
          <w:sz w:val="24"/>
          <w:szCs w:val="24"/>
        </w:rPr>
      </w:pPr>
      <w:r>
        <w:rPr>
          <w:rFonts w:ascii="Times New Roman" w:hAnsi="Times New Roman"/>
          <w:noProof/>
          <w:sz w:val="24"/>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AM/EU/Annex IX/bg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8884E38C50C4461E8E115705D3720F3F"/>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_x000b_"/>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8F92-AF74-44FF-BE9C-F77AF8E4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800</Words>
  <Characters>4951</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15</cp:revision>
  <dcterms:created xsi:type="dcterms:W3CDTF">2017-08-10T15:12:00Z</dcterms:created>
  <dcterms:modified xsi:type="dcterms:W3CDTF">2017-09-18T14:22:00Z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