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89E548065C4866A438A5F6A00FD36B"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Par lettre enregistrée à la Commission le 5 avril 2017, la Roumanie a demandé une prorogation de la dérogation à l’article 168 de la directive TVA afin de continuer à limiter le droit à déduction de la TVA en amont afférente aux dépenses liées aux véhicules à moteur. Conformément à l’article 395, paragraphe 2, de la directive TVA, la Commission a informé les autres États membres, par lettre datée du 28 juin 2017, de la demande introduite par la Roumanie. Par lettre datée du 29 juin 2017, la Commission a informé la Roumanie qu'elle disposait de toutes les données qu'elle jugeait nécessaires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L'article 168 de la directive TVA prévoit qu'un assujetti a le droit de déduire la TVA payée sur les achats effectués pour les besoins de ses opérations taxées. En vertu de l'article 26, paragraphe 1, point a), de la même directive, l'utilisation, pour des besoins privés, d'un bien affecté à l'entreprise de l'assujetti est assimilée à une prestation de services effectuée à titre onéreux si le bien a ouvert droit à une déduction de la TVA. Ce système permet de récupérer la TVA déduite initialement relative à l'utilisation du bien à des fins privées. </w:t>
      </w:r>
    </w:p>
    <w:p>
      <w:pPr>
        <w:rPr>
          <w:noProof/>
        </w:rPr>
      </w:pPr>
      <w:r>
        <w:rPr>
          <w:noProof/>
        </w:rPr>
        <w:t xml:space="preserve">Il est toutefois difficile d’appliquer ce système aux voitures particulières, notamment parce qu'il n'est pas aisé d'opérer la distinction entre les utilisations privée et professionnelle. La tenue d'une comptabilité en la matière impose, pour la gestion et la vérification de cette dernière, une charge supplémentaire à la fois à l'entreprise concernée et à l'administration. </w:t>
      </w:r>
    </w:p>
    <w:p>
      <w:pPr>
        <w:rPr>
          <w:noProof/>
        </w:rPr>
      </w:pPr>
      <w:r>
        <w:rPr>
          <w:noProof/>
        </w:rPr>
        <w:t>En application de la décision d’exécution 2012/232/UE du Conseil</w:t>
      </w:r>
      <w:r>
        <w:rPr>
          <w:rStyle w:val="FootnoteReference"/>
          <w:noProof/>
        </w:rPr>
        <w:footnoteReference w:id="2"/>
      </w:r>
      <w:r>
        <w:rPr>
          <w:noProof/>
        </w:rPr>
        <w:t>, la Roumanie est actuellement autorisée à limiter à 50 % le droit à déduction de la TVA sur l’achat, l’acquisition intracommunautaire, l’importation, la location ou la prise en crédit-bail de véhicules routiers à moteur et sur les dépenses relatives à ces véhicules. Certaines catégories de véhicules ont été expressément exclues de cette limitation, notamment les véhicules utilisés exclusivement pour les services d’urgence, de sécurité et de messagerie, les véhicules utilisés par les agents de vente et d'achat et les taxis, les véhicules utilisés pour la formation par les auto-écoles et les véhicules utilisés pour la location ou le crédit-bail ou comme produits à des fins commerciales. En contrepartie, les entreprises sont dispensées de déclarer la TVA relative à l'utilisation des véhicules à des fins privées. La période de validité de cette décision a été prorogée jusqu’au 31 décembre 2017 par la décision d’exécution (UE) 2015/156 du Conseil</w:t>
      </w:r>
      <w:r>
        <w:rPr>
          <w:rStyle w:val="FootnoteReference"/>
          <w:noProof/>
        </w:rPr>
        <w:footnoteReference w:id="3"/>
      </w:r>
      <w:r>
        <w:rPr>
          <w:noProof/>
        </w:rPr>
        <w:t xml:space="preserve">. </w:t>
      </w:r>
    </w:p>
    <w:p>
      <w:pPr>
        <w:rPr>
          <w:noProof/>
        </w:rPr>
      </w:pPr>
      <w:r>
        <w:rPr>
          <w:noProof/>
        </w:rPr>
        <w:t xml:space="preserve">La Roumanie a demandé de proroger l’autorisation de limiter la déduction initiale à un pourcentage fixe et, en contrepartie, de dispenser les entreprises de déclarer la TVA relative à </w:t>
      </w:r>
      <w:r>
        <w:rPr>
          <w:noProof/>
        </w:rPr>
        <w:lastRenderedPageBreak/>
        <w:t xml:space="preserve">l’utilisation des véhicules à des fins privées. La Roumanie a informé la Commission que les raisons justifiant la prorogation de la mesure sont pour l’essentiel les mêmes que celles exposées dans la demande initiale. Conformément à l’article 4, paragraphe 2, de la décision d'exécution 2012/232/UE du Conseil, la Roumanie a présenté un rapport sur la limitation de la déduction appliquée par la Roumanie. La Roumanie estime que cette mesure a rempli son rôle et que, si elle n’était pas été prorogée, l’évasion fiscale constatée dans ce domaine avant l’introduction de la mesure réapparaîtrait très probablement. Il ressort des informations fournies par la Roumanie que la limitation à 50 % correspond toujours à la réalité et devrait donc être encore considérée comme appropriée. </w:t>
      </w:r>
    </w:p>
    <w:p>
      <w:pPr>
        <w:rPr>
          <w:noProof/>
        </w:rPr>
      </w:pPr>
      <w:r>
        <w:rPr>
          <w:noProof/>
        </w:rPr>
        <w:t xml:space="preserve">La dérogation devrait être limitée dans le temps au 31 décembre 2020, afin qu’il soit possible de déterminer si la limitation de 50 % reflète toujours bien la répartition globale des utilisations privée et professionnelle. Toute demande de prorogation devrait être accompagnée d'un rapport comportant le réexamen du pourcentage appliqué et être transmise à la Commission pour le 31 mars 2020.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Des dérogations similaires relatives au droit à déduction ont été accordées à d'autres États membres. </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par conséquent un certain nombre de dispositions de statu quo qui limitent le droit à déduction de la TVA relatif aux voitures particulières.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 xml:space="preserve">Article 395 de la directive TVA.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 xml:space="preserve">Compte tenu de la disposition de la directive TVA sur laquelle se fonde la proposition, cette dernière relève de la compétence exclusive de l’Union. Le principe de subsidiarité ne s’applique donc pas. </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ne constitue pas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éviter certaines formes de fraude ou d’évasion fiscales. En particulier, compte tenu de la possibilité pour les entreprises de déclarer un montant de TVA inférieur au montant effectivement dû et de la vérification fastidieuse des données relatives au kilométrage pour les autorités fiscales, la limitation à 50 % permettrait de simplifier la perception de la TVA dans un secteur spécifique.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2006/112/CE du Conseil, une dérogation aux règles communes en matière de TVA n'est possible qu'avec l'autorisation du Conseil, statuant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présente proposition fait suite à une demande présentée par la Roumanie, et elle ne concerne que cet État membre.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Il n’a pas été nécessaire de faire appel à des experts externes.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est destinée à empêcher la fraude à la TVA et à simplifier la procédure de taxation et, par conséquent, peut avoir une incidence positive à la fois pour les entreprises et les administrations. La Roumanie a considéré que cette solution, comparable à d'autres dérogations passées et présentes, était une mesure appropriée.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elle expire automatiquement le 31 décembre 2020.</w:t>
      </w:r>
    </w:p>
    <w:p>
      <w:pPr>
        <w:pBdr>
          <w:top w:val="nil"/>
          <w:left w:val="nil"/>
          <w:bottom w:val="nil"/>
          <w:right w:val="nil"/>
          <w:between w:val="nil"/>
          <w:bar w:val="nil"/>
        </w:pBdr>
        <w:spacing w:before="0" w:after="240"/>
        <w:rPr>
          <w:rFonts w:eastAsia="Arial Unicode MS"/>
          <w:noProof/>
        </w:rPr>
      </w:pPr>
      <w:r>
        <w:rPr>
          <w:noProof/>
        </w:rPr>
        <w:t>Dans le cas où la Roumanie envisagerait de proroger la mesure dérogatoire au-delà de 2020, un rapport comportant le réexamen du pourcentage maximal devrait être transmis à la Commission en même temps que la demande de prorogation, au plus tard le 31 mars 2020.</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2017/0233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2012/232/UE autorisant la Roumanie à appliquer des mesures dérogeant à l'article 26, paragraphe 1, point a), et à l'article 168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4"/>
      </w:r>
      <w:r>
        <w:rPr>
          <w:noProof/>
        </w:rPr>
        <w:t>, et notamment son article 395,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168 de la directive 2006/112/CE établit le droit d'un assujetti de déduire la taxe sur la valeur ajoutée (TVA) payée sur les livraisons de biens et prestations de services dont il a bénéficié aux fins de ses opérations taxées. L’article 26, paragraphe 1, point a), de ladite directive contient l'exigence de déclarer la TVA lorsqu'un bien affecté à l'entreprise est utilisé à des fins privées de l'assujetti ou de son personnel ou, plus généralement, à des fins étrangères à son activité professionnelle.</w:t>
      </w:r>
    </w:p>
    <w:p>
      <w:pPr>
        <w:pStyle w:val="ManualConsidrant"/>
        <w:rPr>
          <w:noProof/>
        </w:rPr>
      </w:pPr>
      <w:r>
        <w:t>(2)</w:t>
      </w:r>
      <w:r>
        <w:tab/>
      </w:r>
      <w:r>
        <w:rPr>
          <w:noProof/>
        </w:rPr>
        <w:t>La décision d’exécution 2012/232/UE du Conseil</w:t>
      </w:r>
      <w:r>
        <w:rPr>
          <w:rStyle w:val="FootnoteReference"/>
          <w:noProof/>
        </w:rPr>
        <w:footnoteReference w:id="5"/>
      </w:r>
      <w:r>
        <w:rPr>
          <w:noProof/>
        </w:rPr>
        <w:t xml:space="preserve"> a autorisé la Roumanie à appliquer, jusqu’au 31 décembre 2014, des mesures dérogatoires en vertu de l’article 395, paragraphe 1, de la directive 2006/112/CE afin de mettre en œuvre une mesure visant à limiter à 50 % le droit à déduction de la TVA en amont en ce qui concerne l’achat, l’acquisition intracommunautaire, l’importation, la location ou la prise en crédit-bail de véhicules à moteur, et de la TVA due sur les dépenses relatives à ces véhicules, y compris le carburant, lorsque ces véhicules ne sont pas utilisés exclusivement à des fins professionnelles. La période de validité de la décision d’exécution 2012/232/UE du Conseil a été prorogée jusqu’au 31 décembre 2017 par la décision d’exécution (UE) 2015/156 du Conseil</w:t>
      </w:r>
      <w:r>
        <w:rPr>
          <w:rStyle w:val="FootnoteReference"/>
          <w:noProof/>
        </w:rPr>
        <w:footnoteReference w:id="6"/>
      </w:r>
      <w:r>
        <w:rPr>
          <w:noProof/>
        </w:rPr>
        <w:t xml:space="preserve">. </w:t>
      </w:r>
    </w:p>
    <w:p>
      <w:pPr>
        <w:pStyle w:val="ManualConsidrant"/>
        <w:rPr>
          <w:noProof/>
        </w:rPr>
      </w:pPr>
      <w:r>
        <w:t>(3)</w:t>
      </w:r>
      <w:r>
        <w:tab/>
      </w:r>
      <w:r>
        <w:rPr>
          <w:noProof/>
        </w:rPr>
        <w:t xml:space="preserve">Par lettre enregistrée à la Commission le 5 avril 2017, la Roumanie a demandé l'autorisation de proroger l'application d'une mesure dérogeant à l'article 26, paragraphe 1, point a), et à l'article 168 de la directive 2006/112/CE, afin de continuer à limiter le droit à déduction en ce qui concerne les dépenses liées à certains véhicules routiers à moteur dont l'utilisation n'est pas réservée exclusivement à des fins professionnelles. </w:t>
      </w:r>
    </w:p>
    <w:p>
      <w:pPr>
        <w:pStyle w:val="ManualConsidrant"/>
        <w:rPr>
          <w:noProof/>
        </w:rPr>
      </w:pPr>
      <w:r>
        <w:t>(4)</w:t>
      </w:r>
      <w:r>
        <w:tab/>
      </w:r>
      <w:r>
        <w:rPr>
          <w:noProof/>
        </w:rPr>
        <w:t>Conformément à l'article 395, paragraphe 2, deuxième alinéa, de la directive 2006/112/CE, la Commission a informé les autres États membres par lettre du 28 juin 2017 de la demande introduite par la Roumanie. Par lettre datée du 29 juin 2017, la Commission a informé la Roumanie qu'elle disposait de toutes les données qu'elle jugeait nécessaires pour apprécier la demande.</w:t>
      </w:r>
    </w:p>
    <w:p>
      <w:pPr>
        <w:pStyle w:val="ManualConsidrant"/>
        <w:rPr>
          <w:noProof/>
        </w:rPr>
      </w:pPr>
      <w:r>
        <w:t>(5)</w:t>
      </w:r>
      <w:r>
        <w:tab/>
      </w:r>
      <w:r>
        <w:rPr>
          <w:noProof/>
        </w:rPr>
        <w:t xml:space="preserve">Conformément à l’article 4, paragraphe 2, de la décision d’exécution 2012/232/UE du Conseil, la Roumanie a présenté à la Commission, en même temps que la demande de prorogation, un rapport sur l’application de cette décision d’exécution du Conseil. Sur la base des informations actuellement disponibles, la Roumanie considère que la limitation de 50 % reste justifiée et appropriée. </w:t>
      </w:r>
    </w:p>
    <w:p>
      <w:pPr>
        <w:pStyle w:val="ManualConsidrant"/>
        <w:rPr>
          <w:noProof/>
        </w:rPr>
      </w:pPr>
      <w:r>
        <w:t>(6)</w:t>
      </w:r>
      <w:r>
        <w:tab/>
      </w:r>
      <w:r>
        <w:rPr>
          <w:noProof/>
        </w:rPr>
        <w:t>Il est opportun de limiter dans le temps la prorogation de ces mesures dérogatoires afin de pouvoir évaluer leur efficacité et le pourcentage adéquat. Il convient donc que la Roumanie soit autorisée à continuer à appliquer ces mesures pour une période limitée, s'achevant le 31 décembre 2020.</w:t>
      </w:r>
    </w:p>
    <w:p>
      <w:pPr>
        <w:pStyle w:val="ManualConsidrant"/>
        <w:rPr>
          <w:noProof/>
        </w:rPr>
      </w:pPr>
      <w:r>
        <w:t>(7)</w:t>
      </w:r>
      <w:r>
        <w:tab/>
      </w:r>
      <w:r>
        <w:rPr>
          <w:noProof/>
        </w:rPr>
        <w:t>Si la Roumanie estime qu'il est nécessaire de proroger l'autorisation au-delà de 2020, elle devra présenter à la Commission, au plus tard le 31 mars 2020, une demande de prorogation accompagnée d'un rapport comportant le réexamen du pourcentage maximal appliqué.</w:t>
      </w:r>
    </w:p>
    <w:p>
      <w:pPr>
        <w:pStyle w:val="ManualConsidrant"/>
        <w:rPr>
          <w:noProof/>
        </w:rPr>
      </w:pPr>
      <w:r>
        <w:t>(8)</w:t>
      </w:r>
      <w:r>
        <w:tab/>
      </w:r>
      <w:r>
        <w:rPr>
          <w:noProof/>
        </w:rPr>
        <w:t>La dérogation n’aura qu’un effet négligeable sur le montant total des recettes fiscales perçues au stade de la consommation finale et n’aura aucune incidence négative sur les ressources propres de l’Union provenant de la TVA.</w:t>
      </w:r>
    </w:p>
    <w:p>
      <w:pPr>
        <w:pStyle w:val="ManualConsidrant"/>
        <w:rPr>
          <w:noProof/>
        </w:rPr>
      </w:pPr>
      <w:r>
        <w:t>(9)</w:t>
      </w:r>
      <w:r>
        <w:tab/>
      </w:r>
      <w:r>
        <w:rPr>
          <w:noProof/>
        </w:rPr>
        <w:t>Il convient dès lors de modifier la décision d’exécution 2012/232/UE du Conseil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4 de la décision d'exécution 2012/232/UE du Conseil est remplacé par le texte suivant:</w:t>
      </w:r>
    </w:p>
    <w:p>
      <w:pPr>
        <w:pStyle w:val="Titrearticle"/>
        <w:rPr>
          <w:noProof/>
        </w:rPr>
      </w:pPr>
      <w:r>
        <w:rPr>
          <w:noProof/>
        </w:rPr>
        <w:t>«Article 4</w:t>
      </w:r>
    </w:p>
    <w:p>
      <w:pPr>
        <w:pStyle w:val="ManualNumPar1"/>
        <w:rPr>
          <w:noProof/>
        </w:rPr>
      </w:pPr>
      <w:r>
        <w:t>1.</w:t>
      </w:r>
      <w:r>
        <w:tab/>
      </w:r>
      <w:r>
        <w:rPr>
          <w:noProof/>
        </w:rPr>
        <w:t>La présente décision expire à la date d’entrée en vigueur des règles de l’Union déterminant les dépenses liées aux véhicules routiers à moteur qui n’ouvrent pas droit à une déduction intégrale de la TVA ou le 31 décembre 2020 au plus tard.</w:t>
      </w:r>
    </w:p>
    <w:p>
      <w:pPr>
        <w:pStyle w:val="ManualNumPar1"/>
        <w:rPr>
          <w:noProof/>
        </w:rPr>
      </w:pPr>
      <w:r>
        <w:t>2.</w:t>
      </w:r>
      <w:r>
        <w:tab/>
      </w:r>
      <w:r>
        <w:rPr>
          <w:noProof/>
        </w:rPr>
        <w:t xml:space="preserve">Toute demande de prorogation des mesures prévues à la présente décision est soumise à la Commission le 31 mars 2020 au plus tard. </w:t>
      </w:r>
    </w:p>
    <w:p>
      <w:pPr>
        <w:ind w:left="840"/>
        <w:rPr>
          <w:noProof/>
        </w:rPr>
      </w:pPr>
      <w:r>
        <w:rPr>
          <w:noProof/>
        </w:rPr>
        <w:t>Cette demande est accompagnée d'un rapport qui comprend un réexamen de la limitation du pourcentage appliquée au droit à déduction de la TVA sur la base de la présente décision.»</w:t>
      </w:r>
    </w:p>
    <w:p>
      <w:pPr>
        <w:pStyle w:val="Titrearticle"/>
        <w:rPr>
          <w:noProof/>
        </w:rPr>
      </w:pPr>
      <w:r>
        <w:rPr>
          <w:noProof/>
        </w:rPr>
        <w:t>Article 2</w:t>
      </w:r>
    </w:p>
    <w:p>
      <w:pPr>
        <w:rPr>
          <w:noProof/>
        </w:rPr>
      </w:pPr>
      <w:r>
        <w:rPr>
          <w:noProof/>
        </w:rPr>
        <w:t>La présente décision est applicable à partir du 1</w:t>
      </w:r>
      <w:r>
        <w:rPr>
          <w:noProof/>
          <w:vertAlign w:val="superscript"/>
        </w:rPr>
        <w:t>er</w:t>
      </w:r>
      <w:r>
        <w:rPr>
          <w:noProof/>
        </w:rPr>
        <w:t xml:space="preserve"> janvier 2018. </w:t>
      </w:r>
    </w:p>
    <w:p>
      <w:pPr>
        <w:pStyle w:val="Titrearticle"/>
        <w:rPr>
          <w:noProof/>
        </w:rPr>
      </w:pPr>
      <w:r>
        <w:rPr>
          <w:noProof/>
        </w:rPr>
        <w:t>Article 3</w:t>
      </w:r>
    </w:p>
    <w:p>
      <w:pPr>
        <w:rPr>
          <w:noProof/>
        </w:rPr>
      </w:pPr>
      <w:r>
        <w:rPr>
          <w:noProof/>
        </w:rPr>
        <w:t>La Roumanie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t xml:space="preserve">Décision d'exécution 2012/232/UE du Conseil du 26 avril 2012 autorisant la Roumanie à appliquer des mesures dérogeant à l'article 26, paragraphe 1, point a), et à l'article 168 de la directive 2006/112/CE relative au système commun de taxe sur la valeur ajoutée (JO L 117 du 1.5.2012, p. 7).   </w:t>
      </w:r>
    </w:p>
  </w:footnote>
  <w:footnote w:id="3">
    <w:p>
      <w:pPr>
        <w:pStyle w:val="FootnoteText"/>
        <w:rPr>
          <w:lang w:val="fr-BE"/>
        </w:rPr>
      </w:pPr>
      <w:r>
        <w:rPr>
          <w:rStyle w:val="FootnoteReference"/>
        </w:rPr>
        <w:footnoteRef/>
      </w:r>
      <w:r>
        <w:rPr>
          <w:lang w:val="fr-BE"/>
        </w:rPr>
        <w:tab/>
        <w:t>Décision d'exécution (UE) 2015/156 du Conseil du 27 janvier 2015 prorogeant la décision d'exécution 2012/232/UE autorisant la Roumanie à appliquer des mesures dérogeant à l'article 26, paragraphe 1, point a), et à l'article 168 de la directive 2006/112/CE relative au système commun de taxe sur la valeur ajoutée (JO L 26 du 31.1.2015, p. 27).</w:t>
      </w:r>
    </w:p>
  </w:footnote>
  <w:footnote w:id="4">
    <w:p>
      <w:pPr>
        <w:pStyle w:val="FootnoteText"/>
        <w:rPr>
          <w:lang w:val="fr-BE"/>
        </w:rPr>
      </w:pPr>
      <w:r>
        <w:rPr>
          <w:rStyle w:val="FootnoteReference"/>
        </w:rPr>
        <w:footnoteRef/>
      </w:r>
      <w:r>
        <w:rPr>
          <w:lang w:val="fr-BE"/>
        </w:rPr>
        <w:tab/>
        <w:t xml:space="preserve">JO L 347 du 11.12.2006, p. 1. </w:t>
      </w:r>
    </w:p>
  </w:footnote>
  <w:footnote w:id="5">
    <w:p>
      <w:pPr>
        <w:pStyle w:val="FootnoteText"/>
        <w:rPr>
          <w:lang w:val="fr-BE"/>
        </w:rPr>
      </w:pPr>
      <w:r>
        <w:rPr>
          <w:rStyle w:val="FootnoteReference"/>
        </w:rPr>
        <w:footnoteRef/>
      </w:r>
      <w:r>
        <w:rPr>
          <w:lang w:val="fr-BE"/>
        </w:rPr>
        <w:tab/>
        <w:t xml:space="preserve">Décision d'exécution 2012/232/UE du Conseil du 26 avril 2012 autorisant la Roumanie à appliquer des mesures dérogeant à l'article 26, paragraphe 1, point a), et à l'article 168 de la directive 2006/112/CE relative au système commun de taxe sur la valeur ajoutée (JO L 117 du 1.5.2012, p. 7). </w:t>
      </w:r>
    </w:p>
  </w:footnote>
  <w:footnote w:id="6">
    <w:p>
      <w:pPr>
        <w:pStyle w:val="FootnoteText"/>
        <w:rPr>
          <w:lang w:val="fr-BE"/>
        </w:rPr>
      </w:pPr>
      <w:r>
        <w:rPr>
          <w:rStyle w:val="FootnoteReference"/>
        </w:rPr>
        <w:footnoteRef/>
      </w:r>
      <w:r>
        <w:rPr>
          <w:lang w:val="fr-BE"/>
        </w:rPr>
        <w:tab/>
        <w:t>Décision d'exécution (UE) 2015/156 du Conseil du 27 janvier 2015 prorogeant la décision d'exécution 2012/232/UE autorisant la Roumanie à appliquer des mesures dérogeant à l'article 26, paragraphe 1, point a), et à l'article 168 de la directive 2006/112/CE relative au système commun de taxe sur la valeur ajoutée (JO L 26 du 31.1.2015, p. 27).</w:t>
      </w:r>
    </w:p>
    <w:p>
      <w:pPr>
        <w:pStyle w:val="FootnoteText"/>
        <w:ind w:left="0" w:firstLine="0"/>
        <w:rPr>
          <w:lang w:val="fr-B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469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6A32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8A8E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BE1D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0A9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E05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E1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083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08:2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789E548065C4866A438A5F6A00FD36B"/>
    <w:docVar w:name="LW_CROSSREFERENCE" w:val="&lt;UNUSED&gt;"/>
    <w:docVar w:name="LW_DocType" w:val="COM"/>
    <w:docVar w:name="LW_EMISSION" w:val="25.9.2017"/>
    <w:docVar w:name="LW_EMISSION_ISODATE" w:val="2017-09-25"/>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33"/>
    <w:docVar w:name="LW_REF.II.NEW.CP_YEAR" w:val="2017"/>
    <w:docVar w:name="LW_REF.INST.NEW" w:val="COM"/>
    <w:docVar w:name="LW_REF.INST.NEW_ADOPTED" w:val="final"/>
    <w:docVar w:name="LW_REF.INST.NEW_TEXT" w:val="(2017) 543"/>
    <w:docVar w:name="LW_REF.INTERNE" w:val="&lt;UNUSED&gt;"/>
    <w:docVar w:name="LW_SOUS.TITRE.OBJ.CP" w:val="&lt;UNUSED&gt;"/>
    <w:docVar w:name="LW_STATUT.CP" w:val="Proposition de"/>
    <w:docVar w:name="LW_SUPERTITRE" w:val="&lt;UNUSED&gt;"/>
    <w:docVar w:name="LW_TITRE.OBJ.CP" w:val="modifiant la décision d'exécution 2012/232/UE autorisant la Roumanie à appliquer des mesures dérogeant à l'article 26, paragraphe 1, point a), et à l'article 168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309C-F968-41B4-8DCC-A4F2A9D0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2004</Words>
  <Characters>10747</Characters>
  <Application>Microsoft Office Word</Application>
  <DocSecurity>0</DocSecurity>
  <Lines>185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2017-08-02T13:36:00Z</cp:lastPrinted>
  <dcterms:created xsi:type="dcterms:W3CDTF">2017-08-25T07:17:00Z</dcterms:created>
  <dcterms:modified xsi:type="dcterms:W3CDTF">2017-09-25T06:24:00Z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