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6C09F6CC1DA463FB27B5EEF9148DD1D"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по-долу за краткост „Директивата за ДДС“) Съветът, действащ с единодушие по предложение на Комисията, може да упълномощи дадена държава членка да въведе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отклонение от данъчно облагане или избягване на данъци.</w:t>
      </w:r>
    </w:p>
    <w:p>
      <w:pPr>
        <w:rPr>
          <w:noProof/>
        </w:rPr>
      </w:pPr>
      <w:r>
        <w:rPr>
          <w:noProof/>
        </w:rPr>
        <w:t>С писмо, заведено в Комисията на 5 април 2017 г., Румъния поиска удължаване на срока на действие на дерогацията от член 168 от Директивата за ДДС, за да продължи да прилага ограничение на правото да се приспада начисляваният ДДС по отношение на разходите, свързани с пътните моторни превозни средства. В съответствие с член 395, параграф 2 от Директивата за ДДС Комисията информира с писмо от 28 юни 2017 г. останалите държави членки за отправеното от Румъния искане. С писмо от 29 юни 2017 г. Комисията уведоми Румъния, че разполага с цялата информация, която счита за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Съгласно член 168 от Директивата за ДДС данъчно задълженото лице има правото да приспадне ДДС, начислен при покупки, извършени за целите на облагаеми сделки. Член 26, параграф 1, буква а) от същата директива съдържа изискването употребата за лични нужди на стоки, които са част от стопанските активи, да се третира като възмездна доставка на услуги, когато дължимият за тези стоки ДДС подлежи на приспадане. Тази система позволява възстановяването на първоначално приспаднатия ДДС във връзка с употребата за лични нужди. </w:t>
      </w:r>
    </w:p>
    <w:p>
      <w:pPr>
        <w:rPr>
          <w:noProof/>
        </w:rPr>
      </w:pPr>
      <w:r>
        <w:rPr>
          <w:noProof/>
        </w:rPr>
        <w:t xml:space="preserve">По отношение на леките пътнически автомобили тя се прилага трудно — най-вече поради факта, че е трудно да се определи границата между употребата за лични нужди и употребата за целите на стопанската дейност. Когато се води специална документация, нейното поддържане и проверка представляват допълнителна тежест за стопанските субекти и за администрацията. </w:t>
      </w:r>
    </w:p>
    <w:p>
      <w:pPr>
        <w:rPr>
          <w:noProof/>
        </w:rPr>
      </w:pPr>
      <w:r>
        <w:rPr>
          <w:noProof/>
        </w:rPr>
        <w:t>С Решение за изпълнение 2012/232/ЕС на Съвета</w:t>
      </w:r>
      <w:r>
        <w:rPr>
          <w:rStyle w:val="FootnoteReference"/>
          <w:noProof/>
        </w:rPr>
        <w:footnoteReference w:id="2"/>
      </w:r>
      <w:r>
        <w:rPr>
          <w:noProof/>
        </w:rPr>
        <w:t xml:space="preserve"> понастоящем на Румъния е предоставено разрешение да ограничи до 50 % правото на приспадане на ДДС, начисляван при закупуване, вътреобщностно придобиване, внос, наемане или лизинг на пътни моторни превозни средства, както и върху свързаните с тези превозни средства разходи. Някои категории превозни средства бяха изрично изключени от посоченото ограничение, като например превозните средства, използвани изключително от службите за спешна помощ, за сигурност или за куриерски услуги, превозните средства, използвани от търговски представители и представители по продажбите или за таксиметрови услуги, превозните средства, използвани за обучение в школи за кормуване, превозните средства, използвани за отдаване под наем или на лизинг, и превозните средства, използвани като стоки за търговски цели. Същевременно </w:t>
      </w:r>
      <w:r>
        <w:rPr>
          <w:noProof/>
        </w:rPr>
        <w:lastRenderedPageBreak/>
        <w:t>предприятията са освободени от начисляването на ДДС при употребата за лични нужди. С Решение за изпълнение (ЕС) 2015/156 на Съвета</w:t>
      </w:r>
      <w:r>
        <w:rPr>
          <w:rStyle w:val="FootnoteReference"/>
          <w:noProof/>
        </w:rPr>
        <w:footnoteReference w:id="3"/>
      </w:r>
      <w:r>
        <w:rPr>
          <w:noProof/>
        </w:rPr>
        <w:t xml:space="preserve"> срокът на действие на горепосоченото решение беше удължен до 31 декември 2017 г. </w:t>
      </w:r>
    </w:p>
    <w:p>
      <w:pPr>
        <w:rPr>
          <w:noProof/>
        </w:rPr>
      </w:pPr>
      <w:r>
        <w:rPr>
          <w:noProof/>
        </w:rPr>
        <w:t xml:space="preserve">Румъния поиска да се удължи срокът на разрешението да ограничи правото на първоначалното приспадане до определен процент, като за сметка на това да освободи стопанските субекти от изискванията за начисляване на данъка върху употребата за лични нужди. Румъния уведоми Комисията, че основанията за искането срокът на действие на мярката да бъде удължен, до голяма степен съвпадат с изложените при първоначалното искане. В съответствие с член 4, параграф 2 от Решение за изпълнение 2012/232/ЕС на Съвета Румъния представи доклад относно прилаганото от нея ограничение на приспадането. Румъния посочва, че мярката е изпълнила предназначението си и ако срокът ѝ на действие не бъде удължен, отклонението от данъчно облагане, отбелязано в тази област преди въвеждането на мярката, най-вероятно ще се появи отново. От предоставената от Румъния информация също така се вижда, че ограничението от 50 % продължава да съответства на действителната ситуация и поради това следва да продължи да се счита за подходящо. </w:t>
      </w:r>
    </w:p>
    <w:p>
      <w:pPr>
        <w:rPr>
          <w:noProof/>
        </w:rPr>
      </w:pPr>
      <w:r>
        <w:rPr>
          <w:noProof/>
        </w:rPr>
        <w:t xml:space="preserve">Срокът на дерогацията следва да бъде ограничен до 31 декември 2020 г., за да може да се прецени дали ограничението от 50 % продължава да отразява правилно дела на използване на пътните моторни превозни средства за целите на стопанската дейност и за лични нужди. Всяко искане за удължаване на срока следва да се придружава от доклад, който включва преглед на прилаганото процентно ограничение, и следва да бъде изпратено на Комисията до 31 март 2020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Подобни дерогации във връзка с правото на приспадане са били предоставяни на други държави членки. </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Дотогава той разрешава на държавите членки да продължат да прилагат изключенията, които са били в сила на 1 януари 1979 г. Следователно има известен брой клаузи за изчакване, които ограничават правото на приспадане на ДДС във връзка с леките пътнически автомобили.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 xml:space="preserve">Член 395 от Директивата за ДДС.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 xml:space="preserve">Като се има предвид разпоредбата от Директивата за ДДС, на която се основава предложението, то попада в обхвата на изключителната компетентност на Съюза. Следователно принципът на субсидиарност не се прилага. </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 предотвратяване на някои форми на отклонение от данъчно облагане и избягване на данъци. По-специално, като се вземат предвид вероятността предприятията да не декларират изцяло задълженията си, както и административната тежест, която представлява за данъчните органи проверката на изминатите километри, ограничението от 50 % ще опрости събирането на ДДС в конкретен сектор.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Предлаган инструмент: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основава на искане, отправено от Румъния, и се отнася само до тази държава членка.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Външни експертни становища не бяха необходими.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има за цел да предотврати отклонението от облагане с ДДС и да опрости процедурата по данъчно облагане, поради което може да има положително въздействие както за стопанските субекти, така и за администрацията. Румъния прецени решението като подходяща мярка, сравнима с други минали и прилагани понастоящем дерогации.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като срокът на действие на дерогацията изтича автоматично на 31 декември 2020 г.</w:t>
      </w:r>
    </w:p>
    <w:p>
      <w:pPr>
        <w:pBdr>
          <w:top w:val="nil"/>
          <w:left w:val="nil"/>
          <w:bottom w:val="nil"/>
          <w:right w:val="nil"/>
          <w:between w:val="nil"/>
          <w:bar w:val="nil"/>
        </w:pBdr>
        <w:spacing w:before="0" w:after="240"/>
        <w:rPr>
          <w:rFonts w:eastAsia="Arial Unicode MS"/>
          <w:noProof/>
        </w:rPr>
      </w:pPr>
      <w:r>
        <w:rPr>
          <w:noProof/>
        </w:rPr>
        <w:t>В случай че Румъния възнамерява срокът на действие на дерогационната мярка да бъде удължен и след 2020 г., тя следва най-късно до 31 март 2020 г. да представи на Комисията искане за удължаване, придружавано от доклад, който включва преглед на процентното ограничение.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2017/0233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2012/232/ЕС на Съвета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4"/>
      </w:r>
      <w:r>
        <w:rPr>
          <w:noProof/>
        </w:rPr>
        <w:t>, и по-специално член 395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168 от Директива 2006/112/ЕО данъчно задълженото лице има правото да приспада данък добавена стойност (ДДС), начисляван върху получените от него доставки на стоки и услуги за целите на неговите облагаеми сделки. Член 26, параграф 1, буква а) от същата директива съдържа изискването да се начислява ДДС, когато даден стопански актив се използва за лични нужди на данъчно задълженото лице или неговия персонал, или по-общо за цели, различни от стопанската му дейност.</w:t>
      </w:r>
    </w:p>
    <w:p>
      <w:pPr>
        <w:pStyle w:val="ManualConsidrant"/>
        <w:rPr>
          <w:noProof/>
        </w:rPr>
      </w:pPr>
      <w:r>
        <w:t>(2)</w:t>
      </w:r>
      <w:r>
        <w:tab/>
      </w:r>
      <w:r>
        <w:rPr>
          <w:noProof/>
        </w:rPr>
        <w:t>С Решение за изпълнение 2012/232/ЕС на Съвета</w:t>
      </w:r>
      <w:r>
        <w:rPr>
          <w:rStyle w:val="FootnoteReference"/>
          <w:noProof/>
        </w:rPr>
        <w:footnoteReference w:id="5"/>
      </w:r>
      <w:r>
        <w:rPr>
          <w:noProof/>
        </w:rPr>
        <w:t xml:space="preserve"> на Румъния бе предоставено разрешение да прилага до 31 декември 2014 г. мерки за дерогация в съответствие с член 395, параграф 1 от Директива 2006/112/ЕО с цел да въведе мярка за ограничаване на правото на приспадане на платения върху получени доставки ДДС до 50 % по отношение на закупуването, вътреобщностното придобиване, вноса, наемането и лизинга на пътни моторни превозни средства, както и на ДДС върху разходите, свързани с тези превозни средства, включително за закупуването на гориво, когато превозните средства не се използват изключително за целите на стопанската дейност. С Решение за изпълнение (ЕС) 2015/156 на Съвета</w:t>
      </w:r>
      <w:r>
        <w:rPr>
          <w:rStyle w:val="FootnoteReference"/>
          <w:noProof/>
        </w:rPr>
        <w:footnoteReference w:id="6"/>
      </w:r>
      <w:r>
        <w:rPr>
          <w:noProof/>
        </w:rPr>
        <w:t xml:space="preserve"> срокът на действие на Решение за изпълнение 2012/232/ЕС на Съвета беше удължен до 31 декември 2017 г. </w:t>
      </w:r>
    </w:p>
    <w:p>
      <w:pPr>
        <w:pStyle w:val="ManualConsidrant"/>
        <w:rPr>
          <w:noProof/>
        </w:rPr>
      </w:pPr>
      <w:r>
        <w:t>(3)</w:t>
      </w:r>
      <w:r>
        <w:tab/>
      </w:r>
      <w:r>
        <w:rPr>
          <w:noProof/>
        </w:rPr>
        <w:t xml:space="preserve">С писмо, заведено в Комисията на 5 април 2017 г., Румъния поиска разрешение да продължи да прилага мярка за дерогация от член 26, параграф 1), буква а) и член 168 от Директива 2006/112/ЕО, за да ограничи правото на приспадане по отношение на разходите, свързани с някои пътни моторни превозни средства, които не се използват изцяло за целите на стопанската дейност. </w:t>
      </w:r>
    </w:p>
    <w:p>
      <w:pPr>
        <w:pStyle w:val="ManualConsidrant"/>
        <w:rPr>
          <w:noProof/>
        </w:rPr>
      </w:pPr>
      <w:r>
        <w:t>(4)</w:t>
      </w:r>
      <w:r>
        <w:tab/>
      </w:r>
      <w:r>
        <w:rPr>
          <w:noProof/>
        </w:rPr>
        <w:t>В съответствие с член 395, параграф 2, втора алинея от Директива 2006/112/ЕО Комисията информира с писмо от 28 юни 2017 г. останалите държави членки за отправеното от Румъния искане. С писмо от 29 юни 2017 г. Комисията уведоми Румъния, че разполага с цялата информация, която счита за необходима за разглеждане на искането.</w:t>
      </w:r>
    </w:p>
    <w:p>
      <w:pPr>
        <w:pStyle w:val="ManualConsidrant"/>
        <w:rPr>
          <w:noProof/>
        </w:rPr>
      </w:pPr>
      <w:r>
        <w:t>(5)</w:t>
      </w:r>
      <w:r>
        <w:tab/>
      </w:r>
      <w:r>
        <w:rPr>
          <w:noProof/>
        </w:rPr>
        <w:t xml:space="preserve">В съответствие с член 4, параграф 2 от Решение за изпълнение 2012/232/ЕС на Съвета, заедно с искането за удължаване Румъния представи на Комисията доклад за прилагането на посоченото решение за изпълнение на Съвета. Въз основа на наличната в момента информация Румъния е на мнение, че прилагането на ограничение от 50 % все още е оправдано и целесъобразно. </w:t>
      </w:r>
    </w:p>
    <w:p>
      <w:pPr>
        <w:pStyle w:val="ManualConsidrant"/>
        <w:rPr>
          <w:noProof/>
        </w:rPr>
      </w:pPr>
      <w:r>
        <w:t>(6)</w:t>
      </w:r>
      <w:r>
        <w:tab/>
      </w:r>
      <w:r>
        <w:rPr>
          <w:noProof/>
        </w:rPr>
        <w:t>Удължаването на срока на прилагане на тези мерки за дерогация следва да се ограничи във времето, за да може да се направи оценка на ефективността им и на подходящото процентно ограничение. Поради това на Румъния следва да се разреши да продължи да прилага мерките за ограничен срок — до 31 декември 2020 г.</w:t>
      </w:r>
    </w:p>
    <w:p>
      <w:pPr>
        <w:pStyle w:val="ManualConsidrant"/>
        <w:rPr>
          <w:noProof/>
        </w:rPr>
      </w:pPr>
      <w:r>
        <w:t>(7)</w:t>
      </w:r>
      <w:r>
        <w:tab/>
      </w:r>
      <w:r>
        <w:rPr>
          <w:noProof/>
        </w:rPr>
        <w:t>Ако Румъния прецени, че е необходимо удължаване на срока на разрешението след 2020 г., тя следва най-късно до 31 март 2020 г. да представи на Комисията искане за удължаване, придружавано от доклад, който включва преглед на процентното ограничение.</w:t>
      </w:r>
    </w:p>
    <w:p>
      <w:pPr>
        <w:pStyle w:val="ManualConsidrant"/>
        <w:rPr>
          <w:noProof/>
        </w:rPr>
      </w:pPr>
      <w:r>
        <w:t>(8)</w:t>
      </w:r>
      <w:r>
        <w:tab/>
      </w:r>
      <w:r>
        <w:rPr>
          <w:noProof/>
        </w:rPr>
        <w:t>Дерогацията ще има незначително отражение върху общия размер на данъчните приходи, събирани на етапа на крайно потребление, и няма да има отрицателно въздействие върху собствените ресурси на Съюза, формирани от данъка върху добавената стойност.</w:t>
      </w:r>
    </w:p>
    <w:p>
      <w:pPr>
        <w:pStyle w:val="ManualConsidrant"/>
        <w:rPr>
          <w:noProof/>
        </w:rPr>
      </w:pPr>
      <w:r>
        <w:t>(9)</w:t>
      </w:r>
      <w:r>
        <w:tab/>
      </w:r>
      <w:r>
        <w:rPr>
          <w:noProof/>
        </w:rPr>
        <w:t>Поради това Решение за изпълнение 2012/232/EС на Съвета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 4 от Решение за изпълнение 2012/232/ЕС на Съвета се заменя със следното:</w:t>
      </w:r>
    </w:p>
    <w:p>
      <w:pPr>
        <w:pStyle w:val="Titrearticle"/>
        <w:rPr>
          <w:noProof/>
        </w:rPr>
      </w:pPr>
      <w:r>
        <w:rPr>
          <w:noProof/>
        </w:rPr>
        <w:t>„Член 4</w:t>
      </w:r>
    </w:p>
    <w:p>
      <w:pPr>
        <w:pStyle w:val="ManualNumPar1"/>
        <w:rPr>
          <w:noProof/>
        </w:rPr>
      </w:pPr>
      <w:r>
        <w:t>1.</w:t>
      </w:r>
      <w:r>
        <w:tab/>
      </w:r>
      <w:r>
        <w:rPr>
          <w:noProof/>
        </w:rPr>
        <w:t>1. Срокът на действие на настоящото решение изтича на по-ранната от следните две дати — датата на влизане в сила на разпоредби на Съюза, определящи разходите за пътни моторни превозни средства, които разходи не отговарят на условията за пълно приспадане на ДДС, или 31 декември 2020 г.</w:t>
      </w:r>
    </w:p>
    <w:p>
      <w:pPr>
        <w:pStyle w:val="ManualNumPar1"/>
        <w:rPr>
          <w:noProof/>
        </w:rPr>
      </w:pPr>
      <w:r>
        <w:t>2.</w:t>
      </w:r>
      <w:r>
        <w:tab/>
      </w:r>
      <w:r>
        <w:rPr>
          <w:noProof/>
        </w:rPr>
        <w:t xml:space="preserve">2. Всяко искане за удължаване на срока на действие на мерките, предвидени в настоящото решение, се представя на Комисията до 31 март 2020 г. </w:t>
      </w:r>
    </w:p>
    <w:p>
      <w:pPr>
        <w:ind w:left="840"/>
        <w:rPr>
          <w:noProof/>
        </w:rPr>
      </w:pPr>
      <w:r>
        <w:rPr>
          <w:noProof/>
        </w:rPr>
        <w:t>Такова искане се придружава от доклад, който включва преглед на процентното ограничение, прилагано по отношение на правото на приспадане на ДДС на основата на настоящото решение.“</w:t>
      </w:r>
    </w:p>
    <w:p>
      <w:pPr>
        <w:pStyle w:val="Titrearticle"/>
        <w:rPr>
          <w:noProof/>
        </w:rPr>
      </w:pPr>
      <w:r>
        <w:rPr>
          <w:noProof/>
        </w:rPr>
        <w:t>Член 2</w:t>
      </w:r>
    </w:p>
    <w:p>
      <w:pPr>
        <w:rPr>
          <w:noProof/>
        </w:rPr>
      </w:pPr>
      <w:r>
        <w:rPr>
          <w:noProof/>
        </w:rPr>
        <w:t xml:space="preserve">Настоящото решение се прилага от 1 януари 2018 г. </w:t>
      </w:r>
    </w:p>
    <w:p>
      <w:pPr>
        <w:pStyle w:val="Titrearticle"/>
        <w:rPr>
          <w:noProof/>
        </w:rPr>
      </w:pPr>
      <w:r>
        <w:rPr>
          <w:noProof/>
        </w:rPr>
        <w:t>Член 3</w:t>
      </w:r>
    </w:p>
    <w:p>
      <w:pPr>
        <w:rPr>
          <w:noProof/>
        </w:rPr>
      </w:pPr>
      <w:r>
        <w:rPr>
          <w:noProof/>
        </w:rPr>
        <w:t>Адресат на настоящото решение е Румъния.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 xml:space="preserve">Решение за изпълнение 2012/232/ЕС на Съвета от 26 април 2012 г.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(ОВ L 117, 1.5. 2012 г., стр. 7).  </w:t>
      </w:r>
    </w:p>
  </w:footnote>
  <w:footnote w:id="3">
    <w:p>
      <w:pPr>
        <w:pStyle w:val="FootnoteText"/>
      </w:pPr>
      <w:r>
        <w:rPr>
          <w:rStyle w:val="FootnoteReference"/>
        </w:rPr>
        <w:footnoteRef/>
      </w:r>
      <w:r>
        <w:tab/>
        <w:t>Решение за изпълнение (EС) 2015/156 на Съвета от 27 януари 2015 г. за удължаване на срока на действие на Решение за изпълнение 2012/232/ЕС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(OВ L 26, 31.1.2015 г., стр. 27).</w:t>
      </w:r>
    </w:p>
  </w:footnote>
  <w:footnote w:id="4">
    <w:p>
      <w:pPr>
        <w:pStyle w:val="FootnoteText"/>
      </w:pPr>
      <w:r>
        <w:rPr>
          <w:rStyle w:val="FootnoteReference"/>
        </w:rPr>
        <w:footnoteRef/>
      </w:r>
      <w:r>
        <w:tab/>
        <w:t xml:space="preserve">ОВ L 347, 11.12.2006 г., стр. 1. </w:t>
      </w:r>
    </w:p>
  </w:footnote>
  <w:footnote w:id="5">
    <w:p>
      <w:pPr>
        <w:pStyle w:val="FootnoteText"/>
      </w:pPr>
      <w:r>
        <w:rPr>
          <w:rStyle w:val="FootnoteReference"/>
        </w:rPr>
        <w:footnoteRef/>
      </w:r>
      <w:r>
        <w:tab/>
        <w:t xml:space="preserve">Решение за изпълнение 2012/232/ЕС на Съвета от 26 април 2012 г.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(ОВ L 117, 1.5. 2012 г., стр. 7). </w:t>
      </w:r>
    </w:p>
  </w:footnote>
  <w:footnote w:id="6">
    <w:p>
      <w:pPr>
        <w:pStyle w:val="FootnoteText"/>
      </w:pPr>
      <w:r>
        <w:rPr>
          <w:rStyle w:val="FootnoteReference"/>
        </w:rPr>
        <w:footnoteRef/>
      </w:r>
      <w:r>
        <w:tab/>
        <w:t>Решение за изпълнение (EС) 2015/156 на Съвета от 27 януари 2015 г. за удължаване на срока на действие на Решение за изпълнение 2012/232/ЕС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(OВ L 26, 31.1.2015 г., стр. 27).</w:t>
      </w:r>
    </w:p>
    <w:p>
      <w:pPr>
        <w:pStyle w:val="FootnoteText"/>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4469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6A32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8A8E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BE1D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0A9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7E05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E18D2"/>
    <w:lvl w:ilvl="0">
      <w:start w:val="1"/>
      <w:numFmt w:val="decimal"/>
      <w:pStyle w:val="ListNumber"/>
      <w:lvlText w:val="%1."/>
      <w:lvlJc w:val="left"/>
      <w:pPr>
        <w:tabs>
          <w:tab w:val="num" w:pos="360"/>
        </w:tabs>
        <w:ind w:left="360" w:hanging="360"/>
      </w:pPr>
    </w:lvl>
  </w:abstractNum>
  <w:abstractNum w:abstractNumId="7">
    <w:nsid w:val="FFFFFF89"/>
    <w:multiLevelType w:val="singleLevel"/>
    <w:tmpl w:val="BA083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08:25: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6C09F6CC1DA463FB27B5EEF9148DD1D"/>
    <w:docVar w:name="LW_CROSSREFERENCE" w:val="&lt;UNUSED&gt;"/>
    <w:docVar w:name="LW_DocType" w:val="COM"/>
    <w:docVar w:name="LW_EMISSION" w:val="25.9.2017"/>
    <w:docVar w:name="LW_EMISSION_ISODATE" w:val="2017-09-25"/>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3"/>
    <w:docVar w:name="LW_REF.II.NEW.CP_YEAR" w:val="2017"/>
    <w:docVar w:name="LW_REF.INST.NEW" w:val="COM"/>
    <w:docVar w:name="LW_REF.INST.NEW_ADOPTED" w:val="final"/>
    <w:docVar w:name="LW_REF.INST.NEW_TEXT" w:val="(2017) 543"/>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2/232/\u1045?\u1057? \u1085?\u1072? \u1057?\u1098?\u1074?\u1077?\u1090?\u1072? \u1079?\u1072? \u1076?\u1072?\u1074?\u1072?\u1085?\u1077? \u1085?\u1072? \u1088?\u1072?\u1079?\u1088?\u1077?\u1096?\u1077?\u1085?\u1080?\u1077? \u1085?\u1072? \u1056?\u1091?\u1084?\u1098?\u1085?\u1080?\u1103? \u1076?\u1072? \u1087?\u1088?\u1080?\u1083?\u1072?\u1075?\u1072? \u1084?\u1077?\u1088?\u1082?\u1080? \u1079?\u1072? \u1076?\u1077?\u1088?\u1086?\u1075?\u1072?\u1094?\u1080?\u1103? \u1086?\u1090? \u1095?\u1083?\u1077?\u1085? 26, \u1087?\u1072?\u1088?\u1072?\u1075?\u1088?\u1072?\u1092? 1, \u1073?\u1091?\u1082?\u1074?\u1072? \u1072?) \u1080? \u1095?\u1083?\u1077?\u1085? 168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712C-5E5E-416D-8A23-1182D1CE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1902</Words>
  <Characters>10676</Characters>
  <Application>Microsoft Office Word</Application>
  <DocSecurity>0</DocSecurity>
  <Lines>201</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2017-08-02T13:36:00Z</cp:lastPrinted>
  <dcterms:created xsi:type="dcterms:W3CDTF">2017-08-29T08:31:00Z</dcterms:created>
  <dcterms:modified xsi:type="dcterms:W3CDTF">2017-09-25T06:25:00Z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