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D51EA451029F4BCBBA7D839A7273DF93" style="width:450.8pt;height:365.6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  <w:szCs w:val="24"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b/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  <w:szCs w:val="24"/>
        </w:rPr>
      </w:pPr>
      <w:r>
        <w:rPr>
          <w:noProof/>
        </w:rPr>
        <w:t>Настоящото предложение беше изготвено с оглед на предвиденото подписване, временно прилагане и сключване на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(наричано по-нататък „Споразумението“). Неговото предназначение е да позволи на Съвета да одобри сключването на това Споразумение от Комисията от името на Европейската общност за атомна енергия (Евратом).</w:t>
      </w:r>
    </w:p>
    <w:p>
      <w:pPr>
        <w:rPr>
          <w:noProof/>
          <w:szCs w:val="24"/>
        </w:rPr>
      </w:pPr>
      <w:r>
        <w:rPr>
          <w:noProof/>
        </w:rPr>
        <w:t>Тъй като Евратом също е страна по Споразумението за всеобхватно и засилено партньорство между Европейския съюз и неговите държави членки, от една страна, и Армения, от друга страна, Комисията изготвя отделна препоръка за одобрение от страна на Съвета на сключването от Комисията на частите от Споразумението, които попадат в приложното поле на Договора за създаване на Евратом.</w:t>
      </w:r>
    </w:p>
    <w:p>
      <w:pPr>
        <w:rPr>
          <w:noProof/>
          <w:szCs w:val="24"/>
        </w:rPr>
      </w:pPr>
      <w:r>
        <w:rPr>
          <w:noProof/>
        </w:rPr>
        <w:t>Процедурата за подписване и сключване на международни споразумения от Евратом се различава от процедурата, която се прилага за ЕС. По-конкретно, в член 101 от Договора за Евратом се предвижда, че такива споразумения трябва да бъдат сключвани от Комисията с одобрението на Съвета. Ето защо е необходимо Съветът да приеме две отделни решения за подписването и сключването на Споразумението, като едното се прилага за ЕС, а другото — за Евратом.</w:t>
      </w:r>
    </w:p>
    <w:p>
      <w:pPr>
        <w:rPr>
          <w:noProof/>
          <w:szCs w:val="24"/>
        </w:rPr>
      </w:pPr>
      <w:r>
        <w:rPr>
          <w:noProof/>
        </w:rPr>
        <w:t>Ще се отнася до сключването на Споразумението от името на Евратом, Комисията препоръчва Съветът да даде своето одобрение в съответствие с член 101, втора алинея от Договора за създаване на Евратом.</w:t>
      </w:r>
    </w:p>
    <w:p>
      <w:pPr>
        <w:rPr>
          <w:noProof/>
          <w:szCs w:val="24"/>
        </w:rPr>
      </w:pPr>
      <w:r>
        <w:rPr>
          <w:noProof/>
        </w:rPr>
        <w:t>След като Съветът даде своето одобрение и Комисията приеме съответното решение, последната ще може да подпише и да сключи Споразумението от името на Евратом.</w:t>
      </w:r>
    </w:p>
    <w:p>
      <w:pPr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ПРАВНИ ЕЛЕМЕНТИ НА ПРЕДЛОЖЕНИЕТО</w:t>
      </w:r>
    </w:p>
    <w:p>
      <w:pPr>
        <w:rPr>
          <w:noProof/>
          <w:szCs w:val="24"/>
        </w:rPr>
      </w:pPr>
      <w:r>
        <w:rPr>
          <w:noProof/>
        </w:rPr>
        <w:t>Комисията препоръчва на Съвета да одобри, в съответствие с член 101, втора алинея от Договора за създаване на Евратом, сключването на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Армения, от друга страна, що се отнася до въпросите, попадащи в сферата на компетентност на Евратом.</w:t>
      </w:r>
    </w:p>
    <w:p>
      <w:pPr>
        <w:rPr>
          <w:noProof/>
          <w:szCs w:val="24"/>
        </w:rPr>
      </w:pPr>
      <w:r>
        <w:rPr>
          <w:noProof/>
        </w:rPr>
        <w:t>Приложеното предложение представлява, заедно с решението на Комисията относно сключването, правният инструмент за сключване на Споразумението за всеобхватно и засилено партньорство от името на Евратом.</w:t>
      </w:r>
    </w:p>
    <w:p>
      <w:pPr>
        <w:rPr>
          <w:noProof/>
          <w:szCs w:val="24"/>
        </w:rPr>
      </w:pPr>
      <w:r>
        <w:rPr>
          <w:noProof/>
        </w:rPr>
        <w:t>В член 102 от Договора за Евратом се предвижда, че дадено споразумение може да влезе в сила за Евратом само след като Комисията е била уведомена от държавите членки, че споразумението е станало приложимо в съответствие с разпоредбите на тяхното национално законодателство.</w:t>
      </w:r>
    </w:p>
    <w:p>
      <w:pPr>
        <w:rPr>
          <w:b/>
          <w:noProof/>
          <w:szCs w:val="24"/>
        </w:rPr>
      </w:pPr>
    </w:p>
    <w:p>
      <w:pPr>
        <w:rPr>
          <w:noProof/>
          <w:szCs w:val="24"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одобряване на сключването от Комисията, от името на Европейската общност за атомна енергия, на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Армения, от друга страна</w:t>
      </w:r>
    </w:p>
    <w:p>
      <w:pPr>
        <w:pStyle w:val="Institutionquiagit"/>
        <w:rPr>
          <w:noProof/>
          <w:szCs w:val="24"/>
        </w:rPr>
      </w:pPr>
      <w:r>
        <w:rPr>
          <w:noProof/>
        </w:rPr>
        <w:t>СЪВЕТЪТ НА ЕВРОПЕЙСКИЯ СЪЮЗ,</w:t>
      </w:r>
    </w:p>
    <w:p>
      <w:pPr>
        <w:rPr>
          <w:noProof/>
          <w:szCs w:val="24"/>
        </w:rPr>
      </w:pPr>
      <w:r>
        <w:rPr>
          <w:noProof/>
        </w:rPr>
        <w:t>като взе предвид Договора за създаване на Европейската общност за атомна енергия, и по-специално член 101, втора алинея от него,</w:t>
      </w:r>
    </w:p>
    <w:p>
      <w:pPr>
        <w:rPr>
          <w:noProof/>
          <w:szCs w:val="24"/>
        </w:rPr>
      </w:pPr>
      <w:r>
        <w:rPr>
          <w:noProof/>
        </w:rPr>
        <w:t>като взе предвид препоръката на Комисията,</w:t>
      </w:r>
    </w:p>
    <w:p>
      <w:pPr>
        <w:rPr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(1)</w:t>
      </w:r>
      <w:r>
        <w:rPr>
          <w:noProof/>
        </w:rPr>
        <w:tab/>
        <w:t>На 29 септември 2015 г. Съветът прие решения за упълномощаване на Европейската комисия и на върховния представител на Съюза по въпросите на външните работи и политиката на сигурност да договорят рамково споразумение между Европейския съюз и Армения.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(2)</w:t>
      </w:r>
      <w:r>
        <w:rPr>
          <w:noProof/>
        </w:rPr>
        <w:tab/>
        <w:t>Преговорите по Споразумението започнаха на 7 декември 2015 г. и Европейският съюз и Армения парафираха Споразумението на 21 март 2017 г.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(3)</w:t>
      </w:r>
      <w:r>
        <w:rPr>
          <w:noProof/>
        </w:rPr>
        <w:tab/>
        <w:t>Комисията предлага на Съвета Споразумението да бъде подписано от името на Съюза и да се прилага временно съгласно член 385 от Споразумението до сключването му на по-късна дата.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(4)</w:t>
      </w:r>
      <w:r>
        <w:rPr>
          <w:noProof/>
        </w:rPr>
        <w:tab/>
        <w:t>Споразумението, и по-конкретно членове 42—44, обхваща също така въпроси, попадащи в сферата на компетентност на Евратом.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(5)</w:t>
      </w:r>
      <w:r>
        <w:rPr>
          <w:noProof/>
        </w:rPr>
        <w:tab/>
        <w:t>Подписването и сключването на Споразумението са предмет на отделна процедура, що се отнася до въпросите, попадащи в приложното поле на Договора за Европейския съюз и на Договора за функционирането на Европейския съюз.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(6)</w:t>
      </w:r>
      <w:r>
        <w:rPr>
          <w:noProof/>
        </w:rPr>
        <w:tab/>
        <w:t>Ето защо Споразумението следва да бъде сключено и от името на Европейската общност за атомна енергия, що се отнася до въпросите, попадащи в приложното поле на Договора за Евратом.</w:t>
      </w:r>
    </w:p>
    <w:p>
      <w:pPr>
        <w:pStyle w:val="ManualConsidrant"/>
        <w:rPr>
          <w:noProof/>
          <w:color w:val="000000"/>
          <w:szCs w:val="24"/>
        </w:rPr>
      </w:pPr>
      <w:r>
        <w:rPr>
          <w:noProof/>
        </w:rPr>
        <w:t>(7)</w:t>
      </w:r>
      <w:r>
        <w:rPr>
          <w:noProof/>
        </w:rPr>
        <w:tab/>
        <w:t>В член 102 от Договора за Евратом се предвижда, че Споразумението може да влезе в сила за Европейската общност за атомна енергия само след като Европейската комисия е била уведомена от държавите членки, че това споразумение е станало приложимо в съответствие с разпоредбите на тяхното национално законодателство.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(8)</w:t>
      </w:r>
      <w:r>
        <w:rPr>
          <w:noProof/>
        </w:rPr>
        <w:tab/>
        <w:t>Следва да се одобри сключването на Споразумението от Европейската комисия, действаща от името на Европейската общност за атомна енергия,</w:t>
      </w:r>
    </w:p>
    <w:p>
      <w:pPr>
        <w:pStyle w:val="Formuledadoption"/>
        <w:rPr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 1</w:t>
      </w:r>
    </w:p>
    <w:p>
      <w:pPr>
        <w:rPr>
          <w:noProof/>
          <w:szCs w:val="24"/>
        </w:rPr>
      </w:pPr>
      <w:r>
        <w:rPr>
          <w:noProof/>
        </w:rPr>
        <w:t>С настоящото се одобрява сключването от Европейската комисия, от името на Европейската общност за атомна енергия, на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Армения, от друга страна, включително временното прилагане на това споразумение.</w:t>
      </w:r>
    </w:p>
    <w:p>
      <w:pPr>
        <w:pStyle w:val="Titrearticle"/>
        <w:rPr>
          <w:noProof/>
          <w:szCs w:val="24"/>
        </w:rPr>
      </w:pPr>
      <w:r>
        <w:rPr>
          <w:noProof/>
        </w:rPr>
        <w:t>Член 2</w:t>
      </w:r>
    </w:p>
    <w:p>
      <w:pPr>
        <w:rPr>
          <w:noProof/>
          <w:szCs w:val="24"/>
        </w:rPr>
      </w:pPr>
      <w:r>
        <w:rPr>
          <w:noProof/>
        </w:rPr>
        <w:t>Настоящото решение влиза в сила в деня след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  <w:szCs w:val="24"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  <w:szCs w:val="24"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5EEF0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DF26F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0B07C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D0E8B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BA05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5C0BC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6F257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0323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9-18 16:34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51EA451029F4BCBBA7D839A7273DF93"/>
    <w:docVar w:name="LW_CROSSREFERENCE" w:val="&lt;UNUSED&gt;"/>
    <w:docVar w:name="LW_DocType" w:val="COM"/>
    <w:docVar w:name="LW_EMISSION" w:val="25.9.2017"/>
    <w:docVar w:name="LW_EMISSION_ISODATE" w:val="2017-09-25"/>
    <w:docVar w:name="LW_EMISSION_LOCATION" w:val="BRX"/>
    <w:docVar w:name="LW_EMISSION_PREFIX" w:val="Брюксел, "/>
    <w:docVar w:name="LW_EMISSION_SUFFIX" w:val=" \u1075?."/>
    <w:docVar w:name="LW_ID_DOCMODEL" w:val="SG-001"/>
    <w:docVar w:name="LW_ID_DOCSIGNATURE" w:val="SG-001"/>
    <w:docVar w:name="LW_ID_DOCSTRUCTURE" w:val="COM/PL/ORG"/>
    <w:docVar w:name="LW_ID_DOCTYPE" w:val="SG-001"/>
    <w:docVar w:name="LW_ID_STATUT" w:val="SG-001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549"/>
    <w:docVar w:name="LW_REF.INTERNE" w:val="&lt;UNUSED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79?\u1072? \u1086?\u1076?\u1086?\u1073?\u1088?\u1103?\u1074?\u1072?\u1085?\u1077? \u1085?\u1072? \u1089?\u1082?\u1083?\u1102?\u1095?\u1074?\u1072?\u1085?\u1077?\u1090?\u1086? \u1086?\u1090? \u1050?\u1086?\u1084?\u1080?\u1089?\u1080?\u1103?\u1090?\u1072?, \u1086?\u1090? \u1080?\u1084?\u1077?\u1090?\u1086? \u1085?\u1072? \u1045?\u1074?\u1088?\u1086?\u1087?\u1077?\u1081?\u1089?\u1082?\u1072?\u1090?\u1072? \u1086?\u1073?\u1097?\u1085?\u1086?\u1089?\u1090? \u1079?\u1072? \u1072?\u1090?\u1086?\u1084?\u1085?\u1072? \u1077?\u1085?\u1077?\u1088?\u1075?\u1080?\u1103?, \u1085?\u1072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0?\u1088?\u1084?\u1077?\u1085?\u1080?\u1103?, \u1086?\u1090? \u1076?\u1088?\u1091?\u1075?\u1072? \u1089?\u1090?\u1088?\u1072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911C-EE11-44C7-8661-11F18A1F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</Pages>
  <Words>784</Words>
  <Characters>4495</Characters>
  <Application>Microsoft Office Word</Application>
  <DocSecurity>0</DocSecurity>
  <Lines>91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dcterms:created xsi:type="dcterms:W3CDTF">2017-09-14T12:07:00Z</dcterms:created>
  <dcterms:modified xsi:type="dcterms:W3CDTF">2017-09-18T14:34:00Z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