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5B65EE2B3A5F435CAE985B4D27A0865C" style="width:450.6pt;height:434.25pt">
            <v:imagedata r:id="rId9" o:title=""/>
          </v:shape>
        </w:pict>
      </w:r>
    </w:p>
    <w:bookmarkEnd w:id="0"/>
    <w:p>
      <w:pPr>
        <w:rPr>
          <w:rFonts w:ascii="Times New Roman" w:hAnsi="Times New Roman" w:cs="Times New Roman"/>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spacing w:after="0" w:line="360" w:lineRule="auto"/>
        <w:jc w:val="center"/>
        <w:rPr>
          <w:rFonts w:ascii="Times New Roman" w:hAnsi="Times New Roman" w:cs="Times New Roman"/>
          <w:noProof/>
          <w:sz w:val="24"/>
          <w:szCs w:val="24"/>
          <w:lang w:val="bg-BG"/>
        </w:rPr>
      </w:pPr>
      <w:bookmarkStart w:id="1" w:name="_GoBack"/>
      <w:bookmarkEnd w:id="1"/>
      <w:r>
        <w:rPr>
          <w:rFonts w:ascii="Times New Roman" w:hAnsi="Times New Roman" w:cs="Times New Roman"/>
          <w:noProof/>
          <w:sz w:val="24"/>
          <w:szCs w:val="24"/>
          <w:lang w:val="bg-BG"/>
        </w:rPr>
        <w:lastRenderedPageBreak/>
        <w:t xml:space="preserve">ПРИЛОЖЕНИЯ И ПРОТОКОЛИ </w:t>
      </w:r>
      <w:r>
        <w:rPr>
          <w:rFonts w:ascii="Times New Roman" w:hAnsi="Times New Roman" w:cs="Times New Roman"/>
          <w:noProof/>
          <w:sz w:val="24"/>
          <w:szCs w:val="24"/>
          <w:lang w:val="bg-BG"/>
        </w:rPr>
        <w:br/>
        <w:t>КЪМ СПОРАЗУМЕНИЕТО ЗА ВСЕОБХВАТНО И ЗАСИЛЕНО ПАРТНЬОРСТВО</w:t>
      </w:r>
      <w:r>
        <w:rPr>
          <w:rFonts w:ascii="Times New Roman" w:hAnsi="Times New Roman" w:cs="Times New Roman"/>
          <w:noProof/>
          <w:sz w:val="24"/>
          <w:szCs w:val="24"/>
        </w:rPr>
        <w:br/>
      </w:r>
      <w:r>
        <w:rPr>
          <w:rFonts w:ascii="Times New Roman" w:hAnsi="Times New Roman" w:cs="Times New Roman"/>
          <w:noProof/>
          <w:sz w:val="24"/>
          <w:szCs w:val="24"/>
          <w:lang w:val="bg-BG"/>
        </w:rPr>
        <w:t xml:space="preserve">МЕЖДУ ЕС И АРМЕНИЯ </w:t>
      </w:r>
    </w:p>
    <w:p>
      <w:pPr>
        <w:spacing w:after="0" w:line="360" w:lineRule="auto"/>
        <w:jc w:val="center"/>
        <w:rPr>
          <w:rFonts w:ascii="Times New Roman" w:hAnsi="Times New Roman" w:cs="Times New Roman"/>
          <w:noProof/>
          <w:sz w:val="24"/>
          <w:szCs w:val="24"/>
          <w:lang w:val="bg-BG"/>
        </w:rPr>
        <w:sectPr>
          <w:headerReference w:type="even" r:id="rId16"/>
          <w:headerReference w:type="default" r:id="rId17"/>
          <w:footerReference w:type="even" r:id="rId18"/>
          <w:footerReference w:type="default" r:id="rId19"/>
          <w:headerReference w:type="first" r:id="rId20"/>
          <w:footerReference w:type="first" r:id="rId21"/>
          <w:pgSz w:w="11909" w:h="16834" w:code="9"/>
          <w:pgMar w:top="1134" w:right="1134" w:bottom="1134" w:left="1134" w:header="1134" w:footer="1134" w:gutter="0"/>
          <w:cols w:space="720"/>
          <w:vAlign w:val="center"/>
          <w:noEndnote/>
          <w:docGrid w:linePitch="360"/>
        </w:sectPr>
      </w:pPr>
    </w:p>
    <w:p>
      <w:pPr>
        <w:spacing w:after="0" w:line="360" w:lineRule="auto"/>
        <w:jc w:val="right"/>
        <w:rPr>
          <w:rFonts w:ascii="Times New Roman" w:hAnsi="Times New Roman" w:cs="Times New Roman"/>
          <w:b/>
          <w:bCs/>
          <w:noProof/>
          <w:sz w:val="24"/>
          <w:szCs w:val="24"/>
          <w:u w:val="single"/>
          <w:lang w:val="bg-BG"/>
        </w:rPr>
      </w:pPr>
      <w:r>
        <w:rPr>
          <w:rFonts w:ascii="Times New Roman" w:hAnsi="Times New Roman" w:cs="Times New Roman"/>
          <w:b/>
          <w:noProof/>
          <w:sz w:val="24"/>
          <w:szCs w:val="24"/>
          <w:u w:val="single"/>
          <w:lang w:val="bg-BG"/>
        </w:rPr>
        <w:t xml:space="preserve">ПРИЛОЖЕНИЕ </w:t>
      </w:r>
      <w:r>
        <w:rPr>
          <w:rFonts w:ascii="Times New Roman" w:hAnsi="Times New Roman" w:cs="Times New Roman"/>
          <w:b/>
          <w:noProof/>
          <w:sz w:val="24"/>
          <w:szCs w:val="24"/>
          <w:u w:val="single"/>
        </w:rPr>
        <w:t>I</w:t>
      </w:r>
    </w:p>
    <w:p>
      <w:pPr>
        <w:spacing w:after="0" w:line="360" w:lineRule="auto"/>
        <w:jc w:val="center"/>
        <w:rPr>
          <w:rFonts w:ascii="Times New Roman" w:hAnsi="Times New Roman" w:cs="Times New Roman"/>
          <w:noProof/>
          <w:sz w:val="24"/>
          <w:szCs w:val="24"/>
          <w:highlight w:val="red"/>
          <w:lang w:val="bg-BG"/>
        </w:rPr>
      </w:pPr>
    </w:p>
    <w:p>
      <w:pPr>
        <w:spacing w:after="0" w:line="360" w:lineRule="auto"/>
        <w:jc w:val="center"/>
        <w:rPr>
          <w:rFonts w:ascii="Times New Roman" w:hAnsi="Times New Roman" w:cs="Times New Roman"/>
          <w:noProof/>
          <w:sz w:val="24"/>
          <w:szCs w:val="24"/>
          <w:highlight w:val="red"/>
          <w:lang w:val="bg-BG"/>
        </w:rPr>
      </w:pPr>
    </w:p>
    <w:p>
      <w:pPr>
        <w:spacing w:after="0" w:line="360" w:lineRule="auto"/>
        <w:jc w:val="center"/>
        <w:rPr>
          <w:rFonts w:ascii="Times New Roman" w:hAnsi="Times New Roman" w:cs="Times New Roman"/>
          <w:noProof/>
          <w:sz w:val="24"/>
          <w:szCs w:val="24"/>
          <w:lang w:val="bg-BG"/>
        </w:rPr>
      </w:pPr>
      <w:r>
        <w:rPr>
          <w:rFonts w:ascii="Times New Roman" w:hAnsi="Times New Roman" w:cs="Times New Roman"/>
          <w:noProof/>
          <w:sz w:val="24"/>
          <w:szCs w:val="24"/>
          <w:lang w:val="bg-BG"/>
        </w:rPr>
        <w:t xml:space="preserve">към ГЛАВА 1: ТРАНСПОРТ на ДЯЛ </w:t>
      </w:r>
      <w:r>
        <w:rPr>
          <w:rFonts w:ascii="Times New Roman" w:hAnsi="Times New Roman" w:cs="Times New Roman"/>
          <w:noProof/>
          <w:sz w:val="24"/>
          <w:szCs w:val="24"/>
        </w:rPr>
        <w:t>V</w:t>
      </w:r>
      <w:r>
        <w:rPr>
          <w:rFonts w:ascii="Times New Roman" w:hAnsi="Times New Roman" w:cs="Times New Roman"/>
          <w:noProof/>
          <w:sz w:val="24"/>
          <w:szCs w:val="24"/>
          <w:lang w:val="bg-BG"/>
        </w:rPr>
        <w:t>: ДРУГИ ПОЛИТИКИ ЗА СЪТРУДНИЧЕСТВО</w:t>
      </w:r>
    </w:p>
    <w:p>
      <w:pPr>
        <w:spacing w:after="0" w:line="360" w:lineRule="auto"/>
        <w:rPr>
          <w:rFonts w:ascii="Times New Roman" w:hAnsi="Times New Roman" w:cs="Times New Roman"/>
          <w:noProof/>
          <w:sz w:val="24"/>
          <w:szCs w:val="24"/>
          <w:lang w:val="bg-BG"/>
        </w:rPr>
      </w:pPr>
    </w:p>
    <w:p>
      <w:pP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Република Армения поема ангажимент за постепенно сближаване на своето законодателство със законодателството на Европейския съюз и международните инструменти, изброени по-долу, в посочените срокове.</w:t>
      </w:r>
    </w:p>
    <w:p>
      <w:pPr>
        <w:spacing w:after="0" w:line="360" w:lineRule="auto"/>
        <w:rPr>
          <w:rFonts w:ascii="Times New Roman" w:hAnsi="Times New Roman" w:cs="Times New Roman"/>
          <w:noProof/>
          <w:sz w:val="24"/>
          <w:szCs w:val="24"/>
        </w:rPr>
      </w:pPr>
    </w:p>
    <w:p>
      <w:pP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Автомобилен транспорт</w:t>
      </w:r>
    </w:p>
    <w:p>
      <w:pPr>
        <w:spacing w:after="0" w:line="360" w:lineRule="auto"/>
        <w:rPr>
          <w:rFonts w:ascii="Times New Roman" w:hAnsi="Times New Roman" w:cs="Times New Roman"/>
          <w:noProof/>
          <w:sz w:val="24"/>
          <w:szCs w:val="24"/>
        </w:rPr>
      </w:pPr>
    </w:p>
    <w:p>
      <w:pP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Технически условия</w:t>
      </w:r>
    </w:p>
    <w:p>
      <w:pPr>
        <w:spacing w:after="0" w:line="360" w:lineRule="auto"/>
        <w:rPr>
          <w:rFonts w:ascii="Times New Roman" w:hAnsi="Times New Roman" w:cs="Times New Roman"/>
          <w:noProof/>
          <w:sz w:val="24"/>
          <w:szCs w:val="24"/>
        </w:rPr>
      </w:pPr>
    </w:p>
    <w:p>
      <w:pP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Директива 92/6/ЕИО на Съвета от 10 февруари 1992 г. относно монтирането и използването на устройства за ограничаване на скоростта за някои категории моторни превозни средства в Общността</w:t>
      </w:r>
    </w:p>
    <w:p>
      <w:pPr>
        <w:spacing w:after="0" w:line="360" w:lineRule="auto"/>
        <w:rPr>
          <w:rFonts w:ascii="Times New Roman" w:hAnsi="Times New Roman" w:cs="Times New Roman"/>
          <w:noProof/>
          <w:sz w:val="24"/>
          <w:szCs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Срокове: разпоредбите на Директива 92/6/ЕИО започват да се прилагат в срок от 5 години след влизане в сила на настоящото споразумение.</w:t>
      </w:r>
    </w:p>
    <w:p>
      <w:pPr>
        <w:spacing w:after="0" w:line="360" w:lineRule="auto"/>
        <w:rPr>
          <w:rFonts w:ascii="Times New Roman" w:hAnsi="Times New Roman" w:cs="Times New Roman"/>
          <w:noProof/>
          <w:sz w:val="24"/>
          <w:szCs w:val="24"/>
        </w:rPr>
      </w:pPr>
    </w:p>
    <w:p>
      <w:pP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Директива 96/53/ЕО на Съвета от 25 юли 1996 г. относно максимално допустимите размери в националния и международен трафик на някои пътни превозни средства, които се движат на територията на Общността, както и максимално допустимите маси в международния трафик, изменена</w:t>
      </w:r>
    </w:p>
    <w:p>
      <w:pPr>
        <w:spacing w:after="0" w:line="360" w:lineRule="auto"/>
        <w:rPr>
          <w:rFonts w:ascii="Times New Roman" w:hAnsi="Times New Roman" w:cs="Times New Roman"/>
          <w:noProof/>
          <w:sz w:val="24"/>
          <w:szCs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Срокове: разпоредбите на Директива 96/53/ЕО започват да се прилагат в срок от 2 години след влизане в сила на настоящото споразумение.</w:t>
      </w:r>
    </w:p>
    <w:p>
      <w:pPr>
        <w:spacing w:after="0" w:line="360" w:lineRule="auto"/>
        <w:rPr>
          <w:rFonts w:ascii="Times New Roman" w:hAnsi="Times New Roman" w:cs="Times New Roman"/>
          <w:noProof/>
          <w:sz w:val="24"/>
          <w:szCs w:val="24"/>
        </w:rPr>
      </w:pPr>
    </w:p>
    <w:p>
      <w:pP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Директива 2015/719/ЕО на Европейския парламент и на Съвета от 29 април 2015 г. за изменение на Директива 96/53/ЕО на Съвета относно максимално допустимите размери в националния и международен трафик на някои пътни превозни средства, които се движат на територията на Общността, както и максимално допустимите маси в международния трафик</w:t>
      </w:r>
    </w:p>
    <w:p>
      <w:pPr>
        <w:rPr>
          <w:rFonts w:ascii="Times New Roman" w:hAnsi="Times New Roman" w:cs="Times New Roman"/>
          <w:noProof/>
          <w:sz w:val="24"/>
          <w:szCs w:val="24"/>
        </w:rPr>
      </w:pPr>
      <w:r>
        <w:rPr>
          <w:rFonts w:ascii="Times New Roman" w:hAnsi="Times New Roman" w:cs="Times New Roman"/>
          <w:noProof/>
          <w:sz w:val="24"/>
          <w:szCs w:val="24"/>
        </w:rPr>
        <w:br w:type="page"/>
      </w:r>
    </w:p>
    <w:p>
      <w:pP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 xml:space="preserve">Измененията, въведени с Директива (ЕС) 2015/719, се прилагат от 7 май 2017 г. </w:t>
      </w:r>
    </w:p>
    <w:p>
      <w:pPr>
        <w:spacing w:after="0" w:line="360" w:lineRule="auto"/>
        <w:rPr>
          <w:rFonts w:ascii="Times New Roman" w:hAnsi="Times New Roman" w:cs="Times New Roman"/>
          <w:noProof/>
          <w:sz w:val="24"/>
          <w:szCs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Срокове: разпоредбите на Директива (ЕС) 2015/719 започват да се прилагат в срок от 3 години след влизане в сила на споразумението.</w:t>
      </w:r>
    </w:p>
    <w:p>
      <w:pPr>
        <w:spacing w:after="0" w:line="360" w:lineRule="auto"/>
        <w:rPr>
          <w:rFonts w:ascii="Times New Roman" w:hAnsi="Times New Roman" w:cs="Times New Roman"/>
          <w:noProof/>
          <w:sz w:val="24"/>
          <w:szCs w:val="24"/>
        </w:rPr>
      </w:pPr>
    </w:p>
    <w:p>
      <w:pP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Директива 2014/47/ЕС на Европейския парламент и на Съвета относно крайпътната техническа проверка на изправността на търговски превозни средства, които се движат на територията на Съюза, и за отмяна на Директива 2000/30/ЕО</w:t>
      </w:r>
    </w:p>
    <w:p>
      <w:pPr>
        <w:spacing w:after="0" w:line="360" w:lineRule="auto"/>
        <w:rPr>
          <w:rFonts w:ascii="Times New Roman" w:hAnsi="Times New Roman" w:cs="Times New Roman"/>
          <w:noProof/>
          <w:sz w:val="24"/>
          <w:szCs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Срокове: разпоредбите на Директива 2014/47/ЕС започват да се прилагат в срок от 4 години след влизане в сила на настоящото споразумение.</w:t>
      </w:r>
    </w:p>
    <w:p>
      <w:pPr>
        <w:spacing w:after="0" w:line="360" w:lineRule="auto"/>
        <w:rPr>
          <w:rFonts w:ascii="Times New Roman" w:hAnsi="Times New Roman" w:cs="Times New Roman"/>
          <w:noProof/>
          <w:sz w:val="24"/>
          <w:szCs w:val="24"/>
        </w:rPr>
      </w:pPr>
    </w:p>
    <w:p>
      <w:pP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Директива 2009/40/ЕО на Европейския парламент и на Съвета от 6 май 2009 г. относно прегледите за проверка на техническата изправност на моторните превозни средства и техните ремаркета, изменена, която се прилага до 19 май 2018 г.</w:t>
      </w:r>
    </w:p>
    <w:p>
      <w:pPr>
        <w:spacing w:after="0" w:line="360" w:lineRule="auto"/>
        <w:rPr>
          <w:rFonts w:ascii="Times New Roman" w:hAnsi="Times New Roman" w:cs="Times New Roman"/>
          <w:noProof/>
          <w:sz w:val="24"/>
          <w:szCs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Срокове: разпоредбите на Директива 2009/40/ЕО започват да се прилагат в срок от 4 години след влизане в сила на настоящото споразумение.</w:t>
      </w:r>
    </w:p>
    <w:p>
      <w:pPr>
        <w:spacing w:after="0" w:line="360" w:lineRule="auto"/>
        <w:rPr>
          <w:rFonts w:ascii="Times New Roman" w:hAnsi="Times New Roman" w:cs="Times New Roman"/>
          <w:noProof/>
          <w:sz w:val="24"/>
          <w:szCs w:val="24"/>
        </w:rPr>
      </w:pPr>
    </w:p>
    <w:p>
      <w:pP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Директива 2014/45/ЕС на Европейския парламент и на Съвета от 3 април 2014 г. относно периодичните прегледи за проверка на техническата изправност на моторните превозни средства и техните ремаркета и за отмяна на Директива 2009/40/ЕО, която се прилага от 20 май 2018 г.</w:t>
      </w:r>
    </w:p>
    <w:p>
      <w:pPr>
        <w:spacing w:after="0" w:line="360" w:lineRule="auto"/>
        <w:rPr>
          <w:rFonts w:ascii="Times New Roman" w:hAnsi="Times New Roman" w:cs="Times New Roman"/>
          <w:noProof/>
          <w:sz w:val="24"/>
          <w:szCs w:val="24"/>
        </w:rPr>
      </w:pPr>
    </w:p>
    <w:p>
      <w:pPr>
        <w:rPr>
          <w:rFonts w:ascii="Times New Roman" w:hAnsi="Times New Roman" w:cs="Times New Roman"/>
          <w:noProof/>
          <w:sz w:val="24"/>
          <w:szCs w:val="24"/>
        </w:rPr>
      </w:pPr>
      <w:r>
        <w:rPr>
          <w:rFonts w:ascii="Times New Roman" w:hAnsi="Times New Roman" w:cs="Times New Roman"/>
          <w:noProof/>
          <w:sz w:val="24"/>
          <w:szCs w:val="24"/>
        </w:rPr>
        <w:br w:type="page"/>
      </w: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Срокове: разпоредбите на Директива 2014/45/ЕС започват да се прилагат в срок от 4 години след влизане в сила на настоящото споразумение.</w:t>
      </w:r>
    </w:p>
    <w:p>
      <w:pPr>
        <w:spacing w:after="0" w:line="360" w:lineRule="auto"/>
        <w:rPr>
          <w:rFonts w:ascii="Times New Roman" w:hAnsi="Times New Roman" w:cs="Times New Roman"/>
          <w:noProof/>
          <w:sz w:val="24"/>
          <w:szCs w:val="24"/>
        </w:rPr>
      </w:pPr>
    </w:p>
    <w:p>
      <w:pP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Директива 2000/30/ЕС на Европейския парламент и на Съвета относно крайпътните технически проверки на движещите се на територията на Общността търговски превозни средства, изменена, която се прилага до 19 май 2018 г.</w:t>
      </w:r>
    </w:p>
    <w:p>
      <w:pPr>
        <w:spacing w:after="0" w:line="360" w:lineRule="auto"/>
        <w:rPr>
          <w:rFonts w:ascii="Times New Roman" w:hAnsi="Times New Roman" w:cs="Times New Roman"/>
          <w:noProof/>
          <w:sz w:val="24"/>
          <w:szCs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Срокове: разпоредбите на Директива 2000/30/ЕО започват да се прилагат в срок от 2 години след влизане в сила на настоящото споразумение.</w:t>
      </w:r>
    </w:p>
    <w:p>
      <w:pPr>
        <w:spacing w:after="0" w:line="360" w:lineRule="auto"/>
        <w:rPr>
          <w:rFonts w:ascii="Times New Roman" w:hAnsi="Times New Roman" w:cs="Times New Roman"/>
          <w:noProof/>
          <w:sz w:val="24"/>
          <w:szCs w:val="24"/>
        </w:rPr>
      </w:pPr>
    </w:p>
    <w:p>
      <w:pP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Условия за безопасност</w:t>
      </w:r>
    </w:p>
    <w:p>
      <w:pPr>
        <w:spacing w:after="0" w:line="360" w:lineRule="auto"/>
        <w:rPr>
          <w:rFonts w:ascii="Times New Roman" w:hAnsi="Times New Roman" w:cs="Times New Roman"/>
          <w:noProof/>
          <w:sz w:val="24"/>
          <w:szCs w:val="24"/>
        </w:rPr>
      </w:pPr>
    </w:p>
    <w:p>
      <w:pP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Директива 2006/126/ЕО на Европейския парламент и на Съвета от 20 декември 2006 г. относно свидетелства за управление на превозни средства От тази директива се прилагат посочените по-долу разпоредби:</w:t>
      </w:r>
    </w:p>
    <w:p>
      <w:pPr>
        <w:spacing w:after="0" w:line="360" w:lineRule="auto"/>
        <w:rPr>
          <w:rFonts w:ascii="Times New Roman" w:hAnsi="Times New Roman" w:cs="Times New Roman"/>
          <w:noProof/>
          <w:sz w:val="24"/>
          <w:szCs w:val="24"/>
        </w:rPr>
      </w:pPr>
    </w:p>
    <w:p>
      <w:pPr>
        <w:spacing w:after="0" w:line="360" w:lineRule="auto"/>
        <w:ind w:left="567" w:hanging="567"/>
        <w:rPr>
          <w:rFonts w:ascii="Times New Roman" w:hAnsi="Times New Roman" w:cs="Times New Roman"/>
          <w:noProof/>
          <w:sz w:val="24"/>
          <w:szCs w:val="24"/>
        </w:rPr>
      </w:pPr>
      <w:bookmarkStart w:id="2" w:name="bookmark9"/>
      <w:r>
        <w:rPr>
          <w:rFonts w:ascii="Times New Roman" w:hAnsi="Times New Roman" w:cs="Times New Roman"/>
          <w:noProof/>
          <w:sz w:val="24"/>
          <w:szCs w:val="24"/>
        </w:rPr>
        <w:t>–</w:t>
      </w:r>
      <w:r>
        <w:rPr>
          <w:rFonts w:ascii="Times New Roman" w:hAnsi="Times New Roman" w:cs="Times New Roman"/>
          <w:noProof/>
          <w:sz w:val="24"/>
          <w:szCs w:val="24"/>
        </w:rPr>
        <w:tab/>
        <w:t>въвеждане на категории за свидетелство за управление на превозни средства (член 4)</w:t>
      </w:r>
      <w:bookmarkEnd w:id="2"/>
    </w:p>
    <w:p>
      <w:pPr>
        <w:spacing w:after="0" w:line="360" w:lineRule="auto"/>
        <w:ind w:left="567" w:hanging="567"/>
        <w:rPr>
          <w:rFonts w:ascii="Times New Roman" w:hAnsi="Times New Roman" w:cs="Times New Roman"/>
          <w:noProof/>
          <w:sz w:val="24"/>
          <w:szCs w:val="24"/>
        </w:rPr>
      </w:pPr>
    </w:p>
    <w:p>
      <w:pPr>
        <w:spacing w:after="0" w:line="360" w:lineRule="auto"/>
        <w:ind w:left="567" w:hanging="567"/>
        <w:rPr>
          <w:rFonts w:ascii="Times New Roman" w:hAnsi="Times New Roman" w:cs="Times New Roman"/>
          <w:noProof/>
          <w:sz w:val="24"/>
          <w:szCs w:val="24"/>
        </w:rPr>
      </w:pPr>
      <w:r>
        <w:rPr>
          <w:rFonts w:ascii="Times New Roman" w:hAnsi="Times New Roman" w:cs="Times New Roman"/>
          <w:noProof/>
          <w:sz w:val="24"/>
          <w:szCs w:val="24"/>
        </w:rPr>
        <w:t>–</w:t>
      </w:r>
      <w:r>
        <w:rPr>
          <w:rFonts w:ascii="Times New Roman" w:hAnsi="Times New Roman" w:cs="Times New Roman"/>
          <w:noProof/>
          <w:sz w:val="24"/>
          <w:szCs w:val="24"/>
        </w:rPr>
        <w:tab/>
        <w:t>условия за издаване на свидетелство за управление на превозно средство (членове 4, 5, 6 и 7 и приложение III)</w:t>
      </w:r>
    </w:p>
    <w:p>
      <w:pPr>
        <w:spacing w:after="0" w:line="360" w:lineRule="auto"/>
        <w:ind w:left="567" w:hanging="567"/>
        <w:rPr>
          <w:rFonts w:ascii="Times New Roman" w:hAnsi="Times New Roman" w:cs="Times New Roman"/>
          <w:noProof/>
          <w:sz w:val="24"/>
          <w:szCs w:val="24"/>
        </w:rPr>
      </w:pPr>
    </w:p>
    <w:p>
      <w:pPr>
        <w:spacing w:after="0" w:line="360" w:lineRule="auto"/>
        <w:ind w:left="567" w:hanging="567"/>
        <w:rPr>
          <w:rFonts w:ascii="Times New Roman" w:hAnsi="Times New Roman" w:cs="Times New Roman"/>
          <w:noProof/>
          <w:sz w:val="24"/>
          <w:szCs w:val="24"/>
        </w:rPr>
      </w:pPr>
      <w:r>
        <w:rPr>
          <w:rFonts w:ascii="Times New Roman" w:hAnsi="Times New Roman" w:cs="Times New Roman"/>
          <w:noProof/>
          <w:sz w:val="24"/>
          <w:szCs w:val="24"/>
        </w:rPr>
        <w:t>–</w:t>
      </w:r>
      <w:r>
        <w:rPr>
          <w:rFonts w:ascii="Times New Roman" w:hAnsi="Times New Roman" w:cs="Times New Roman"/>
          <w:noProof/>
          <w:sz w:val="24"/>
          <w:szCs w:val="24"/>
        </w:rPr>
        <w:tab/>
        <w:t>изисквания за изпитите за придобиване на правоспособност за МПС (приложение II)</w:t>
      </w:r>
    </w:p>
    <w:p>
      <w:pPr>
        <w:spacing w:after="0" w:line="360" w:lineRule="auto"/>
        <w:rPr>
          <w:rFonts w:ascii="Times New Roman" w:hAnsi="Times New Roman" w:cs="Times New Roman"/>
          <w:noProof/>
          <w:sz w:val="24"/>
          <w:szCs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Срокове: тези разпоредби на Директива 2006/126/ЕО започват да се прилагат в срок от 1 година след влизане в сила на настоящото споразумение.</w:t>
      </w:r>
    </w:p>
    <w:p>
      <w:pPr>
        <w:spacing w:after="0" w:line="360" w:lineRule="auto"/>
        <w:rPr>
          <w:rFonts w:ascii="Times New Roman" w:hAnsi="Times New Roman" w:cs="Times New Roman"/>
          <w:noProof/>
          <w:sz w:val="24"/>
          <w:szCs w:val="24"/>
        </w:rPr>
      </w:pPr>
    </w:p>
    <w:p>
      <w:pPr>
        <w:rPr>
          <w:rFonts w:ascii="Times New Roman" w:hAnsi="Times New Roman" w:cs="Times New Roman"/>
          <w:noProof/>
          <w:sz w:val="24"/>
          <w:szCs w:val="24"/>
        </w:rPr>
      </w:pPr>
      <w:r>
        <w:rPr>
          <w:rFonts w:ascii="Times New Roman" w:hAnsi="Times New Roman" w:cs="Times New Roman"/>
          <w:noProof/>
          <w:sz w:val="24"/>
          <w:szCs w:val="24"/>
        </w:rPr>
        <w:br w:type="page"/>
      </w:r>
    </w:p>
    <w:p>
      <w:pP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Директива 95/50/ЕО на Съвета от 6 октомври 1995 г. относно единните процедури за проверка на автомобилния превоз на опасни товари</w:t>
      </w:r>
    </w:p>
    <w:p>
      <w:pPr>
        <w:spacing w:after="0" w:line="360" w:lineRule="auto"/>
        <w:rPr>
          <w:rFonts w:ascii="Times New Roman" w:hAnsi="Times New Roman" w:cs="Times New Roman"/>
          <w:noProof/>
          <w:sz w:val="24"/>
          <w:szCs w:val="24"/>
        </w:rPr>
      </w:pPr>
    </w:p>
    <w:p>
      <w:pP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Директива 2008/68/ЕО на Европейския парламент и на Съвета от 24 септември 2008 г. относно вътрешния превоз на опасни товари</w:t>
      </w:r>
    </w:p>
    <w:p>
      <w:pPr>
        <w:spacing w:after="0" w:line="360" w:lineRule="auto"/>
        <w:rPr>
          <w:rFonts w:ascii="Times New Roman" w:hAnsi="Times New Roman" w:cs="Times New Roman"/>
          <w:noProof/>
          <w:sz w:val="24"/>
          <w:szCs w:val="24"/>
        </w:rPr>
      </w:pPr>
    </w:p>
    <w:p>
      <w:pP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Директива 2010/35/ЕС на Европейския парламент и на Съвета от 16 юни 2010 г. относно транспортируемото оборудване под налягане и за отмяна на директиви 76/767/ЕИО,84/525/ЕИО, 84/526/ЕИО, 84/527/ЕИО и 1999/36/ЕО на Съвета</w:t>
      </w:r>
    </w:p>
    <w:p>
      <w:pPr>
        <w:spacing w:after="0" w:line="360" w:lineRule="auto"/>
        <w:rPr>
          <w:rFonts w:ascii="Times New Roman" w:hAnsi="Times New Roman" w:cs="Times New Roman"/>
          <w:noProof/>
          <w:sz w:val="24"/>
          <w:szCs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Срокове: разпоредбите на директиви 2008/68/ЕО, 95/50/ЕО и 2010/35/ЕС започват да се прилагат в срок от 4 години след влизане в сила на настоящото споразумение (8 години за железопътния транспорт).</w:t>
      </w:r>
    </w:p>
    <w:p>
      <w:pPr>
        <w:spacing w:after="0" w:line="360" w:lineRule="auto"/>
        <w:rPr>
          <w:rFonts w:ascii="Times New Roman" w:hAnsi="Times New Roman" w:cs="Times New Roman"/>
          <w:noProof/>
          <w:sz w:val="24"/>
          <w:szCs w:val="24"/>
        </w:rPr>
      </w:pPr>
    </w:p>
    <w:p>
      <w:pP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Социални условия</w:t>
      </w:r>
    </w:p>
    <w:p>
      <w:pPr>
        <w:spacing w:after="0" w:line="360" w:lineRule="auto"/>
        <w:rPr>
          <w:rFonts w:ascii="Times New Roman" w:hAnsi="Times New Roman" w:cs="Times New Roman"/>
          <w:noProof/>
          <w:sz w:val="24"/>
          <w:szCs w:val="24"/>
        </w:rPr>
      </w:pPr>
    </w:p>
    <w:p>
      <w:pP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 xml:space="preserve">Регламент (ЕИО) № 3821/85 на Съвета от 20 декември 1985 г. относно контролните уреди за регистриране на данните за движението при автомобилен транспорт, изменен, който се прилага, докато започне да се прилага член 46 от Регламент (ЕС) № 165/2014 на Съвета от 4 февруари 2014 г. относно тахографите в автомобилния транспорт </w:t>
      </w:r>
    </w:p>
    <w:p>
      <w:pPr>
        <w:spacing w:after="0" w:line="360" w:lineRule="auto"/>
        <w:rPr>
          <w:rFonts w:ascii="Times New Roman" w:hAnsi="Times New Roman" w:cs="Times New Roman"/>
          <w:noProof/>
          <w:sz w:val="24"/>
          <w:szCs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Срокове: разпоредбите на Регламент (ЕИО) № 3821/85 ще се отнасят само до международния транспорт и започват да се прилагат в срок от 2 години след влизане в сила на настоящото споразумение.</w:t>
      </w:r>
    </w:p>
    <w:p>
      <w:pPr>
        <w:spacing w:after="0" w:line="360" w:lineRule="auto"/>
        <w:rPr>
          <w:rFonts w:ascii="Times New Roman" w:hAnsi="Times New Roman" w:cs="Times New Roman"/>
          <w:noProof/>
          <w:sz w:val="24"/>
          <w:szCs w:val="24"/>
        </w:rPr>
      </w:pPr>
    </w:p>
    <w:p>
      <w:pPr>
        <w:rPr>
          <w:rFonts w:ascii="Times New Roman" w:hAnsi="Times New Roman" w:cs="Times New Roman"/>
          <w:noProof/>
          <w:sz w:val="24"/>
          <w:szCs w:val="24"/>
        </w:rPr>
      </w:pPr>
      <w:r>
        <w:rPr>
          <w:rFonts w:ascii="Times New Roman" w:hAnsi="Times New Roman" w:cs="Times New Roman"/>
          <w:noProof/>
          <w:sz w:val="24"/>
          <w:szCs w:val="24"/>
        </w:rPr>
        <w:br w:type="page"/>
      </w:r>
    </w:p>
    <w:p>
      <w:pP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Регламент (ЕО) № 561/2006 на Европейския парламент и на Съвета от 15 март 2006 г. за хармонизиране на някои разпоредби от социалното законодателство, свързани с автомобилния транспорт, за изменение на Регламенти (ЕИО) № 3821/85 и (ЕО) № 2135/98 на Съвета и за отмяна на Регламент (ЕИО) № 3820/85 на Съвета, изменен</w:t>
      </w:r>
    </w:p>
    <w:p>
      <w:pPr>
        <w:spacing w:after="0" w:line="360" w:lineRule="auto"/>
        <w:rPr>
          <w:rFonts w:ascii="Times New Roman" w:hAnsi="Times New Roman" w:cs="Times New Roman"/>
          <w:noProof/>
          <w:sz w:val="24"/>
          <w:szCs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Срокове: разпоредбите на Регламент (ЕО) № 561/2006 започват да се прилагат в срок от 2 години след влизане в сила на настоящото споразумение.</w:t>
      </w:r>
    </w:p>
    <w:p>
      <w:pPr>
        <w:spacing w:after="0" w:line="360" w:lineRule="auto"/>
        <w:rPr>
          <w:rFonts w:ascii="Times New Roman" w:hAnsi="Times New Roman" w:cs="Times New Roman"/>
          <w:noProof/>
          <w:sz w:val="24"/>
          <w:szCs w:val="24"/>
        </w:rPr>
      </w:pPr>
    </w:p>
    <w:p>
      <w:pP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Регламент (ЕС) № 165/2014 на Европейския парламент и на Съвета от 4 февруари 2014 г. относно тахографите в автомобилния транспорт, за отмяна на Регламент (ЕИО) № 3821/85 на Съвета относно контролните уреди за регистриране на данните за движението при автомобилен транспорт и за изменение на Регламент (ЕО) № 561/2006 на Европейския парламент и на Съвета за хармонизиране на някои разпоредби от социалното законодателство, свързани с автомобилния транспорт, който, що се отнася до Регламент (ЕИО) № 3821/85 от 20 декември 1985 г., се прилага от датата, на която започнат да се прилагат актовете за изпълнение, посочени в член 46 от Регламент (ЕС) № 165/2016</w:t>
      </w:r>
    </w:p>
    <w:p>
      <w:pPr>
        <w:spacing w:after="0" w:line="360" w:lineRule="auto"/>
        <w:rPr>
          <w:rFonts w:ascii="Times New Roman" w:hAnsi="Times New Roman" w:cs="Times New Roman"/>
          <w:noProof/>
          <w:sz w:val="24"/>
          <w:szCs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Срокове: разпоредбите на Регламент (ЕС) № 165/2014 относно международния транспорт започват да се прилагат в срок от 3 години след влизане в сила на настоящото споразумение.</w:t>
      </w:r>
    </w:p>
    <w:p>
      <w:pPr>
        <w:spacing w:after="0" w:line="360" w:lineRule="auto"/>
        <w:rPr>
          <w:rFonts w:ascii="Times New Roman" w:hAnsi="Times New Roman" w:cs="Times New Roman"/>
          <w:noProof/>
          <w:sz w:val="24"/>
          <w:szCs w:val="24"/>
        </w:rPr>
      </w:pPr>
    </w:p>
    <w:p>
      <w:pP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Директива 2006/22/ЕО на Европейския парламент и на Съвета от 15 март 2006 г. относно минималните условия за изпълнение на Регламенти (ЕИО) № 3820/85 и (ЕИО) № 3821/85 на Съвета относно социалното законодателство, свързано с дейностите по автомобилния транспорт, и за отмяна на Директива 88/559/ЕИО на Съвета</w:t>
      </w:r>
    </w:p>
    <w:p>
      <w:pPr>
        <w:spacing w:after="0" w:line="360" w:lineRule="auto"/>
        <w:rPr>
          <w:rFonts w:ascii="Times New Roman" w:hAnsi="Times New Roman" w:cs="Times New Roman"/>
          <w:noProof/>
          <w:sz w:val="24"/>
          <w:szCs w:val="24"/>
        </w:rPr>
      </w:pPr>
    </w:p>
    <w:p>
      <w:pPr>
        <w:rPr>
          <w:rFonts w:ascii="Times New Roman" w:hAnsi="Times New Roman" w:cs="Times New Roman"/>
          <w:noProof/>
          <w:sz w:val="24"/>
          <w:szCs w:val="24"/>
          <w:highlight w:val="yellow"/>
        </w:rPr>
      </w:pPr>
      <w:r>
        <w:rPr>
          <w:rFonts w:ascii="Times New Roman" w:hAnsi="Times New Roman" w:cs="Times New Roman"/>
          <w:noProof/>
          <w:sz w:val="24"/>
          <w:szCs w:val="24"/>
        </w:rPr>
        <w:br w:type="page"/>
      </w: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Срокове: разпоредбите на Директива 2006/22/ЕО започват да се прилагат в срок от 2 години след влизане в сила на настоящото споразумение, що се отнася до международния транспорт.</w:t>
      </w:r>
    </w:p>
    <w:p>
      <w:pPr>
        <w:spacing w:after="0" w:line="360" w:lineRule="auto"/>
        <w:rPr>
          <w:rFonts w:ascii="Times New Roman" w:hAnsi="Times New Roman" w:cs="Times New Roman"/>
          <w:noProof/>
          <w:sz w:val="24"/>
          <w:szCs w:val="24"/>
        </w:rPr>
      </w:pPr>
    </w:p>
    <w:p>
      <w:pP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Регламент (ЕО) № 1071/2009 на Европейския парламент и на Съвета от 21 октомври 2009 г. за установяване на общи правила относно условията, които трябва да бъдат спазени за упражняване на професията автомобилен превозвач и за отмяна на Директива 96/26/ЕО на Съвета, изменен</w:t>
      </w:r>
    </w:p>
    <w:p>
      <w:pPr>
        <w:spacing w:after="0" w:line="360" w:lineRule="auto"/>
        <w:rPr>
          <w:rFonts w:ascii="Times New Roman" w:hAnsi="Times New Roman" w:cs="Times New Roman"/>
          <w:noProof/>
          <w:sz w:val="24"/>
          <w:szCs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Срокове: разпоредбите на Регламент (ЕО) № 1071/2009 — членове 3, 4, 5, 6, 7 (без парична стойност на финансовото състояние), 8, 10, 11, 12, 13, 14, 15 и приложение I към този регламент започват да се прилагат в срок от 8 години след влизане в сила на настоящото споразумение.</w:t>
      </w:r>
    </w:p>
    <w:p>
      <w:pPr>
        <w:spacing w:after="0" w:line="360" w:lineRule="auto"/>
        <w:rPr>
          <w:rFonts w:ascii="Times New Roman" w:hAnsi="Times New Roman" w:cs="Times New Roman"/>
          <w:noProof/>
          <w:sz w:val="24"/>
          <w:szCs w:val="24"/>
        </w:rPr>
      </w:pPr>
    </w:p>
    <w:p>
      <w:pP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Директива 2002/15/EО на Европейския парламент и на Съвета от 11 март 2002 г. за организацията на работното време на лицата, извършващи транспортни дейности в автомобилния транспорт</w:t>
      </w:r>
    </w:p>
    <w:p>
      <w:pPr>
        <w:spacing w:after="0" w:line="360" w:lineRule="auto"/>
        <w:rPr>
          <w:rFonts w:ascii="Times New Roman" w:hAnsi="Times New Roman" w:cs="Times New Roman"/>
          <w:noProof/>
          <w:sz w:val="24"/>
          <w:szCs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Срокове: разпоредбите на Директива 2002/15/ЕО започват да се прилагат в срок от 2 години след влизане в сила на настоящото споразумение.</w:t>
      </w:r>
    </w:p>
    <w:p>
      <w:pPr>
        <w:spacing w:after="0" w:line="360" w:lineRule="auto"/>
        <w:rPr>
          <w:rFonts w:ascii="Times New Roman" w:hAnsi="Times New Roman" w:cs="Times New Roman"/>
          <w:noProof/>
          <w:sz w:val="24"/>
          <w:szCs w:val="24"/>
        </w:rPr>
      </w:pPr>
    </w:p>
    <w:p>
      <w:pP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Директива 2003/59/ЕО на Европейския парламент и на Съвета от 15 юли 2003 г. относно начална квалификация и продължаващо обучение на водачи на някои пътни превозни средства за превоз на товари или пътници, за изменение на Регламент (ЕИО) № 3820/85 на Съвета и Директива 91/439/ЕИО на Съвета и за отмяна на Директива 76/914/ЕИО на Съвета</w:t>
      </w:r>
    </w:p>
    <w:p>
      <w:pPr>
        <w:spacing w:after="0" w:line="360" w:lineRule="auto"/>
        <w:rPr>
          <w:rFonts w:ascii="Times New Roman" w:hAnsi="Times New Roman" w:cs="Times New Roman"/>
          <w:noProof/>
          <w:sz w:val="24"/>
          <w:szCs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Срокове: разпоредбите на Директива 2003/59/ЕО започват да се прилагат в срок от 2 години след влизане в сила на настоящото споразумение.</w:t>
      </w:r>
    </w:p>
    <w:p>
      <w:pPr>
        <w:spacing w:after="0" w:line="360" w:lineRule="auto"/>
        <w:rPr>
          <w:rFonts w:ascii="Times New Roman" w:hAnsi="Times New Roman" w:cs="Times New Roman"/>
          <w:noProof/>
          <w:sz w:val="24"/>
          <w:szCs w:val="24"/>
        </w:rPr>
      </w:pPr>
    </w:p>
    <w:p>
      <w:pPr>
        <w:rPr>
          <w:rFonts w:ascii="Times New Roman" w:hAnsi="Times New Roman" w:cs="Times New Roman"/>
          <w:noProof/>
          <w:sz w:val="24"/>
          <w:szCs w:val="24"/>
        </w:rPr>
      </w:pPr>
      <w:r>
        <w:rPr>
          <w:rFonts w:ascii="Times New Roman" w:hAnsi="Times New Roman" w:cs="Times New Roman"/>
          <w:noProof/>
          <w:sz w:val="24"/>
          <w:szCs w:val="24"/>
        </w:rPr>
        <w:br w:type="page"/>
      </w:r>
    </w:p>
    <w:p>
      <w:pP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Фискални условия</w:t>
      </w:r>
    </w:p>
    <w:p>
      <w:pPr>
        <w:spacing w:after="0" w:line="360" w:lineRule="auto"/>
        <w:rPr>
          <w:rFonts w:ascii="Times New Roman" w:hAnsi="Times New Roman" w:cs="Times New Roman"/>
          <w:noProof/>
          <w:sz w:val="24"/>
          <w:szCs w:val="24"/>
        </w:rPr>
      </w:pPr>
    </w:p>
    <w:p>
      <w:pPr>
        <w:spacing w:after="0" w:line="360" w:lineRule="auto"/>
        <w:rPr>
          <w:rFonts w:ascii="Times New Roman" w:hAnsi="Times New Roman" w:cs="Times New Roman"/>
          <w:noProof/>
          <w:sz w:val="24"/>
          <w:szCs w:val="24"/>
        </w:rPr>
      </w:pPr>
      <w:bookmarkStart w:id="3" w:name="bookmark10"/>
      <w:r>
        <w:rPr>
          <w:rFonts w:ascii="Times New Roman" w:hAnsi="Times New Roman" w:cs="Times New Roman"/>
          <w:noProof/>
          <w:sz w:val="24"/>
          <w:szCs w:val="24"/>
        </w:rPr>
        <w:t>Директива 1999/62/ЕО на Европейския парламент и на Съвета от 17 юни 1999 г. относно заплащането на такси от тежкотоварни автомобили за използване на определени инфраструктури</w:t>
      </w:r>
      <w:bookmarkEnd w:id="3"/>
    </w:p>
    <w:p>
      <w:pPr>
        <w:spacing w:after="0" w:line="360" w:lineRule="auto"/>
        <w:rPr>
          <w:rFonts w:ascii="Times New Roman" w:hAnsi="Times New Roman" w:cs="Times New Roman"/>
          <w:noProof/>
          <w:sz w:val="24"/>
          <w:szCs w:val="24"/>
        </w:rPr>
      </w:pPr>
    </w:p>
    <w:p>
      <w:pP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Директива 2004/52/ЕО на Европейския парламент и на Съвета от 29 април 2004 г. за оперативната съвместимост на електронни системи за пътно таксуване в Общността</w:t>
      </w:r>
    </w:p>
    <w:p>
      <w:pPr>
        <w:spacing w:after="0" w:line="360" w:lineRule="auto"/>
        <w:rPr>
          <w:rFonts w:ascii="Times New Roman" w:hAnsi="Times New Roman" w:cs="Times New Roman"/>
          <w:noProof/>
          <w:sz w:val="24"/>
          <w:szCs w:val="24"/>
        </w:rPr>
      </w:pPr>
    </w:p>
    <w:p>
      <w:pP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Директива 2004/54/ЕО на Европейския парламент и на Съвета от 29 април 2004 г. относно минималните изисквания за безопасност за тунелите на трансевропейската пътна мрежа</w:t>
      </w:r>
    </w:p>
    <w:p>
      <w:pPr>
        <w:spacing w:after="0" w:line="360" w:lineRule="auto"/>
        <w:rPr>
          <w:rFonts w:ascii="Times New Roman" w:hAnsi="Times New Roman" w:cs="Times New Roman"/>
          <w:noProof/>
          <w:sz w:val="24"/>
          <w:szCs w:val="24"/>
        </w:rPr>
      </w:pPr>
    </w:p>
    <w:p>
      <w:pP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Директива 2008/96/ЕО на Европейския парламент и на Съвета от 19 ноември 2008 г. относно управлението на безопасността на пътните инфраструктури</w:t>
      </w:r>
    </w:p>
    <w:p>
      <w:pPr>
        <w:spacing w:after="0" w:line="360" w:lineRule="auto"/>
        <w:rPr>
          <w:rFonts w:ascii="Times New Roman" w:hAnsi="Times New Roman" w:cs="Times New Roman"/>
          <w:noProof/>
          <w:sz w:val="24"/>
          <w:szCs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Срокове: разпоредбите на директиви 1999/62/ЕО, 2004/52/ЕО, 2004/54/ЕО и 2008/96/ЕО започват да се прилагат в срок от 2 години след влизане в сила на настоящото споразумение.</w:t>
      </w:r>
    </w:p>
    <w:p>
      <w:pPr>
        <w:spacing w:after="0" w:line="360" w:lineRule="auto"/>
        <w:rPr>
          <w:rFonts w:ascii="Times New Roman" w:hAnsi="Times New Roman" w:cs="Times New Roman"/>
          <w:noProof/>
          <w:sz w:val="24"/>
          <w:szCs w:val="24"/>
        </w:rPr>
      </w:pPr>
    </w:p>
    <w:p>
      <w:pP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Железопътен транспорт</w:t>
      </w:r>
    </w:p>
    <w:p>
      <w:pPr>
        <w:spacing w:after="0" w:line="360" w:lineRule="auto"/>
        <w:rPr>
          <w:rFonts w:ascii="Times New Roman" w:hAnsi="Times New Roman" w:cs="Times New Roman"/>
          <w:noProof/>
          <w:sz w:val="24"/>
          <w:szCs w:val="24"/>
        </w:rPr>
      </w:pPr>
    </w:p>
    <w:p>
      <w:pP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Достъп до пазара и до инфраструктура</w:t>
      </w:r>
    </w:p>
    <w:p>
      <w:pPr>
        <w:spacing w:after="0" w:line="360" w:lineRule="auto"/>
        <w:rPr>
          <w:rFonts w:ascii="Times New Roman" w:hAnsi="Times New Roman" w:cs="Times New Roman"/>
          <w:noProof/>
          <w:sz w:val="24"/>
          <w:szCs w:val="24"/>
        </w:rPr>
      </w:pPr>
    </w:p>
    <w:p>
      <w:pPr>
        <w:spacing w:after="0" w:line="360" w:lineRule="auto"/>
        <w:rPr>
          <w:rFonts w:ascii="Times New Roman" w:hAnsi="Times New Roman" w:cs="Times New Roman"/>
          <w:noProof/>
          <w:sz w:val="24"/>
          <w:szCs w:val="24"/>
        </w:rPr>
      </w:pPr>
      <w:bookmarkStart w:id="4" w:name="bookmark11"/>
      <w:r>
        <w:rPr>
          <w:rFonts w:ascii="Times New Roman" w:hAnsi="Times New Roman" w:cs="Times New Roman"/>
          <w:noProof/>
          <w:sz w:val="24"/>
          <w:szCs w:val="24"/>
        </w:rPr>
        <w:t>Директива 2012/34/ЕО на Европейския парламент и на Съвета от 21 ноември 2012 г. за създаване на единно европейско железопътно пространство</w:t>
      </w:r>
      <w:bookmarkEnd w:id="4"/>
    </w:p>
    <w:p>
      <w:pPr>
        <w:spacing w:after="0" w:line="360" w:lineRule="auto"/>
        <w:rPr>
          <w:rFonts w:ascii="Times New Roman" w:hAnsi="Times New Roman" w:cs="Times New Roman"/>
          <w:noProof/>
          <w:sz w:val="24"/>
          <w:szCs w:val="24"/>
        </w:rPr>
      </w:pPr>
    </w:p>
    <w:p>
      <w:pPr>
        <w:rPr>
          <w:rFonts w:ascii="Times New Roman" w:hAnsi="Times New Roman" w:cs="Times New Roman"/>
          <w:noProof/>
          <w:sz w:val="24"/>
          <w:szCs w:val="24"/>
        </w:rPr>
      </w:pPr>
      <w:r>
        <w:rPr>
          <w:rFonts w:ascii="Times New Roman" w:hAnsi="Times New Roman" w:cs="Times New Roman"/>
          <w:noProof/>
          <w:sz w:val="24"/>
          <w:szCs w:val="24"/>
        </w:rPr>
        <w:br w:type="page"/>
      </w:r>
    </w:p>
    <w:p>
      <w:pP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От тази директива се прилагат посочените по-долу разпоредби:</w:t>
      </w:r>
    </w:p>
    <w:p>
      <w:pPr>
        <w:spacing w:after="0" w:line="360" w:lineRule="auto"/>
        <w:rPr>
          <w:rFonts w:ascii="Times New Roman" w:hAnsi="Times New Roman" w:cs="Times New Roman"/>
          <w:noProof/>
          <w:sz w:val="24"/>
          <w:szCs w:val="24"/>
        </w:rPr>
      </w:pPr>
    </w:p>
    <w:p>
      <w:pPr>
        <w:spacing w:after="0" w:line="360" w:lineRule="auto"/>
        <w:ind w:left="567" w:hanging="567"/>
        <w:rPr>
          <w:rFonts w:ascii="Times New Roman" w:hAnsi="Times New Roman" w:cs="Times New Roman"/>
          <w:noProof/>
          <w:sz w:val="24"/>
          <w:szCs w:val="24"/>
        </w:rPr>
      </w:pPr>
      <w:r>
        <w:rPr>
          <w:rFonts w:ascii="Times New Roman" w:hAnsi="Times New Roman" w:cs="Times New Roman"/>
          <w:noProof/>
          <w:sz w:val="24"/>
          <w:szCs w:val="24"/>
        </w:rPr>
        <w:t>–</w:t>
      </w:r>
      <w:r>
        <w:rPr>
          <w:rFonts w:ascii="Times New Roman" w:hAnsi="Times New Roman" w:cs="Times New Roman"/>
          <w:noProof/>
          <w:sz w:val="24"/>
          <w:szCs w:val="24"/>
        </w:rPr>
        <w:tab/>
        <w:t>осигуряване на независимост на управлението и подобряване на финансовото състояние</w:t>
      </w:r>
    </w:p>
    <w:p>
      <w:pPr>
        <w:spacing w:after="0" w:line="360" w:lineRule="auto"/>
        <w:ind w:left="567" w:hanging="567"/>
        <w:rPr>
          <w:rFonts w:ascii="Times New Roman" w:hAnsi="Times New Roman" w:cs="Times New Roman"/>
          <w:noProof/>
          <w:sz w:val="24"/>
          <w:szCs w:val="24"/>
        </w:rPr>
      </w:pPr>
    </w:p>
    <w:p>
      <w:pPr>
        <w:spacing w:after="0" w:line="360" w:lineRule="auto"/>
        <w:ind w:left="567" w:hanging="567"/>
        <w:rPr>
          <w:rFonts w:ascii="Times New Roman" w:hAnsi="Times New Roman" w:cs="Times New Roman"/>
          <w:noProof/>
          <w:sz w:val="24"/>
          <w:szCs w:val="24"/>
        </w:rPr>
      </w:pPr>
      <w:bookmarkStart w:id="5" w:name="bookmark12"/>
      <w:r>
        <w:rPr>
          <w:rFonts w:ascii="Times New Roman" w:hAnsi="Times New Roman" w:cs="Times New Roman"/>
          <w:noProof/>
          <w:sz w:val="24"/>
          <w:szCs w:val="24"/>
        </w:rPr>
        <w:t>–</w:t>
      </w:r>
      <w:r>
        <w:rPr>
          <w:rFonts w:ascii="Times New Roman" w:hAnsi="Times New Roman" w:cs="Times New Roman"/>
          <w:noProof/>
          <w:sz w:val="24"/>
          <w:szCs w:val="24"/>
        </w:rPr>
        <w:tab/>
        <w:t>разделяне между управлението на инфраструктурата и на транспортната дейност</w:t>
      </w:r>
    </w:p>
    <w:p>
      <w:pPr>
        <w:spacing w:after="0" w:line="360" w:lineRule="auto"/>
        <w:ind w:left="567" w:hanging="567"/>
        <w:rPr>
          <w:rFonts w:ascii="Times New Roman" w:hAnsi="Times New Roman" w:cs="Times New Roman"/>
          <w:noProof/>
          <w:sz w:val="24"/>
          <w:szCs w:val="24"/>
        </w:rPr>
      </w:pPr>
    </w:p>
    <w:p>
      <w:pPr>
        <w:spacing w:after="0" w:line="360" w:lineRule="auto"/>
        <w:ind w:left="567" w:hanging="567"/>
        <w:rPr>
          <w:rFonts w:ascii="Times New Roman" w:hAnsi="Times New Roman" w:cs="Times New Roman"/>
          <w:noProof/>
          <w:sz w:val="24"/>
          <w:szCs w:val="24"/>
        </w:rPr>
      </w:pPr>
      <w:r>
        <w:rPr>
          <w:rFonts w:ascii="Times New Roman" w:hAnsi="Times New Roman" w:cs="Times New Roman"/>
          <w:noProof/>
          <w:sz w:val="24"/>
          <w:szCs w:val="24"/>
        </w:rPr>
        <w:t>–</w:t>
      </w:r>
      <w:r>
        <w:rPr>
          <w:rFonts w:ascii="Times New Roman" w:hAnsi="Times New Roman" w:cs="Times New Roman"/>
          <w:noProof/>
          <w:sz w:val="24"/>
          <w:szCs w:val="24"/>
        </w:rPr>
        <w:tab/>
        <w:t>въвеждане на лицензи</w:t>
      </w:r>
      <w:bookmarkEnd w:id="5"/>
    </w:p>
    <w:p>
      <w:pPr>
        <w:spacing w:after="0" w:line="360" w:lineRule="auto"/>
        <w:rPr>
          <w:rFonts w:ascii="Times New Roman" w:hAnsi="Times New Roman" w:cs="Times New Roman"/>
          <w:noProof/>
          <w:sz w:val="24"/>
          <w:szCs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Срокове: тези разпоредби на Директива 2012/34/ЕС започват да се прилагат в срок от 3 години след влизане в сила на настоящото споразумение.</w:t>
      </w:r>
    </w:p>
    <w:p>
      <w:pPr>
        <w:spacing w:after="0" w:line="360" w:lineRule="auto"/>
        <w:rPr>
          <w:rFonts w:ascii="Times New Roman" w:hAnsi="Times New Roman" w:cs="Times New Roman"/>
          <w:noProof/>
          <w:sz w:val="24"/>
          <w:szCs w:val="24"/>
        </w:rPr>
      </w:pPr>
    </w:p>
    <w:p>
      <w:pP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Регламент (ЕC) № 913/2010 на Европейския парламент и на Съвета от 22 септември 2010 г. относно европейска железопътна мрежа за конкурентоспособен товарен превоз, изменен</w:t>
      </w:r>
    </w:p>
    <w:p>
      <w:pPr>
        <w:spacing w:after="0" w:line="360" w:lineRule="auto"/>
        <w:rPr>
          <w:rFonts w:ascii="Times New Roman" w:hAnsi="Times New Roman" w:cs="Times New Roman"/>
          <w:noProof/>
          <w:sz w:val="24"/>
          <w:szCs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Срокове: Съветът по партньорство ще вземе решение относно сроковете за прилагане на разпоредбите на Регламент (ЕC) № 913/2010 в срок от 2 години след влизане в сила на настоящото споразумение.</w:t>
      </w:r>
    </w:p>
    <w:p>
      <w:pPr>
        <w:spacing w:after="0" w:line="360" w:lineRule="auto"/>
        <w:rPr>
          <w:rFonts w:ascii="Times New Roman" w:hAnsi="Times New Roman" w:cs="Times New Roman"/>
          <w:noProof/>
          <w:sz w:val="24"/>
          <w:szCs w:val="24"/>
        </w:rPr>
      </w:pPr>
    </w:p>
    <w:p>
      <w:pP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Технически условия и условия за безопасност, оперативна съвместимост</w:t>
      </w:r>
    </w:p>
    <w:p>
      <w:pPr>
        <w:spacing w:after="0" w:line="360" w:lineRule="auto"/>
        <w:rPr>
          <w:rFonts w:ascii="Times New Roman" w:hAnsi="Times New Roman" w:cs="Times New Roman"/>
          <w:noProof/>
          <w:sz w:val="24"/>
          <w:szCs w:val="24"/>
        </w:rPr>
      </w:pPr>
    </w:p>
    <w:p>
      <w:pP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Директива 2004/49/ЕО на Европейския парламент и на Съвета от 29 април 2004 г. относно безопасността на железопътния транспорт в Общността и за изменение на Директива 95/18/ЕО на Съвета относно лицензирането на железопътните предприятия и Директива 2001/14/ЕО относно разпределяне на капацитета на железопътната инфраструктура и събиране на такси за ползване на железопътната инфраструктура и за сертифициране за безопасност (Директива относно безопасността на железопътния транспорт)</w:t>
      </w:r>
    </w:p>
    <w:p>
      <w:pPr>
        <w:spacing w:after="0" w:line="360" w:lineRule="auto"/>
        <w:rPr>
          <w:rFonts w:ascii="Times New Roman" w:hAnsi="Times New Roman" w:cs="Times New Roman"/>
          <w:noProof/>
          <w:sz w:val="24"/>
          <w:szCs w:val="24"/>
        </w:rPr>
      </w:pPr>
    </w:p>
    <w:p>
      <w:pPr>
        <w:rPr>
          <w:rFonts w:ascii="Times New Roman" w:hAnsi="Times New Roman" w:cs="Times New Roman"/>
          <w:noProof/>
          <w:sz w:val="24"/>
          <w:szCs w:val="24"/>
          <w:highlight w:val="yellow"/>
        </w:rPr>
      </w:pPr>
      <w:r>
        <w:rPr>
          <w:rFonts w:ascii="Times New Roman" w:hAnsi="Times New Roman" w:cs="Times New Roman"/>
          <w:noProof/>
          <w:sz w:val="24"/>
          <w:szCs w:val="24"/>
        </w:rPr>
        <w:br w:type="page"/>
      </w: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Срокове: разпоредбите на Директива 2004/49/ЕО започват да се прилагат в срок от 5 години след влизане в сила на настоящото споразумение.</w:t>
      </w:r>
    </w:p>
    <w:p>
      <w:pPr>
        <w:spacing w:after="0" w:line="360" w:lineRule="auto"/>
        <w:rPr>
          <w:rFonts w:ascii="Times New Roman" w:hAnsi="Times New Roman" w:cs="Times New Roman"/>
          <w:noProof/>
          <w:sz w:val="24"/>
          <w:szCs w:val="24"/>
        </w:rPr>
      </w:pPr>
    </w:p>
    <w:p>
      <w:pP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Директива 2007/59/ЕО на Европейския парламент и на Съвета от 23 октомври 2007 г. за сертифициране на машинисти, управляващи локомотиви и влакове в рамките на железопътната система на Общността</w:t>
      </w:r>
    </w:p>
    <w:p>
      <w:pPr>
        <w:spacing w:after="0" w:line="360" w:lineRule="auto"/>
        <w:rPr>
          <w:rFonts w:ascii="Times New Roman" w:hAnsi="Times New Roman" w:cs="Times New Roman"/>
          <w:noProof/>
          <w:sz w:val="24"/>
          <w:szCs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Срокове: разпоредбите на Директива 2007/59/ЕО започват да се прилагат в срок от 3 години след влизане в сила на настоящото споразумение.</w:t>
      </w:r>
    </w:p>
    <w:p>
      <w:pPr>
        <w:spacing w:after="0" w:line="360" w:lineRule="auto"/>
        <w:rPr>
          <w:rFonts w:ascii="Times New Roman" w:hAnsi="Times New Roman" w:cs="Times New Roman"/>
          <w:noProof/>
          <w:sz w:val="24"/>
          <w:szCs w:val="24"/>
        </w:rPr>
      </w:pPr>
    </w:p>
    <w:p>
      <w:pP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Директива 2008/57/ЕО на Европейския парламент и на Съвета от 17 юни 2008 г. относно оперативната съвместимост на железопътната система в рамките на Общността</w:t>
      </w:r>
    </w:p>
    <w:p>
      <w:pPr>
        <w:spacing w:after="0" w:line="360" w:lineRule="auto"/>
        <w:rPr>
          <w:rFonts w:ascii="Times New Roman" w:hAnsi="Times New Roman" w:cs="Times New Roman"/>
          <w:noProof/>
          <w:sz w:val="24"/>
          <w:szCs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Срокове: разпоредбите на Директива 2008/57/ЕО започват да се прилагат в срок от 6 години след влизане в сила на настоящото споразумение.</w:t>
      </w:r>
    </w:p>
    <w:p>
      <w:pPr>
        <w:spacing w:after="0" w:line="360" w:lineRule="auto"/>
        <w:rPr>
          <w:rFonts w:ascii="Times New Roman" w:hAnsi="Times New Roman" w:cs="Times New Roman"/>
          <w:noProof/>
          <w:sz w:val="24"/>
          <w:szCs w:val="24"/>
        </w:rPr>
      </w:pPr>
    </w:p>
    <w:p>
      <w:pP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Регламент (ЕО) № 1370/2007 на Европейския парламент и на Съвета от 23 октомври 2007 г. относно обществените услуги за пътнически превоз с железопътен и автомобилен транспорт и за отмяна на регламенти (ЕИО) № 1191/69 и (ЕИО) № 1107/70 на Съвета</w:t>
      </w:r>
    </w:p>
    <w:p>
      <w:pPr>
        <w:spacing w:after="0" w:line="360" w:lineRule="auto"/>
        <w:rPr>
          <w:rFonts w:ascii="Times New Roman" w:hAnsi="Times New Roman" w:cs="Times New Roman"/>
          <w:noProof/>
          <w:sz w:val="24"/>
          <w:szCs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Срокове: разпоредбите на Регламент (ЕО) № 1370/2007 започват да се прилагат в срок от 2 години след влизане в сила на настоящото споразумение.</w:t>
      </w:r>
    </w:p>
    <w:p>
      <w:pPr>
        <w:spacing w:after="0" w:line="360" w:lineRule="auto"/>
        <w:rPr>
          <w:rFonts w:ascii="Times New Roman" w:hAnsi="Times New Roman" w:cs="Times New Roman"/>
          <w:noProof/>
          <w:sz w:val="24"/>
          <w:szCs w:val="24"/>
        </w:rPr>
      </w:pPr>
    </w:p>
    <w:p>
      <w:pP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Регламент (ЕО) № 1371/2007 на Европейския парламент и на Съвета от 23 октомври 2007 г. относно правата и задълженията на пътниците, използващи железопътен транспорт</w:t>
      </w:r>
    </w:p>
    <w:p>
      <w:pPr>
        <w:spacing w:after="0" w:line="360" w:lineRule="auto"/>
        <w:rPr>
          <w:rFonts w:ascii="Times New Roman" w:hAnsi="Times New Roman" w:cs="Times New Roman"/>
          <w:noProof/>
          <w:sz w:val="24"/>
          <w:szCs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Срокове: разпоредбите на Регламент (ЕО) № 1371/2007 започват да се прилагат в срок от 2 години след влизане в сила на настоящото споразумение.</w:t>
      </w:r>
    </w:p>
    <w:p>
      <w:pPr>
        <w:spacing w:after="0" w:line="360" w:lineRule="auto"/>
        <w:rPr>
          <w:rFonts w:ascii="Times New Roman" w:hAnsi="Times New Roman" w:cs="Times New Roman"/>
          <w:noProof/>
          <w:sz w:val="24"/>
          <w:szCs w:val="24"/>
          <w:highlight w:val="yellow"/>
        </w:rPr>
      </w:pPr>
    </w:p>
    <w:p>
      <w:pP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Комбиниран транспорт</w:t>
      </w:r>
    </w:p>
    <w:p>
      <w:pPr>
        <w:spacing w:after="0" w:line="360" w:lineRule="auto"/>
        <w:rPr>
          <w:rFonts w:ascii="Times New Roman" w:hAnsi="Times New Roman" w:cs="Times New Roman"/>
          <w:noProof/>
          <w:sz w:val="24"/>
          <w:szCs w:val="24"/>
        </w:rPr>
      </w:pPr>
    </w:p>
    <w:p>
      <w:pP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Директива 92/106/ЕИО на Съвета от 7 декември 1992 г. относно създаването на общи правила за някои видове комбиниран транспорт на товари между държавите членки</w:t>
      </w:r>
    </w:p>
    <w:p>
      <w:pPr>
        <w:spacing w:after="0" w:line="360" w:lineRule="auto"/>
        <w:rPr>
          <w:rFonts w:ascii="Times New Roman" w:hAnsi="Times New Roman" w:cs="Times New Roman"/>
          <w:noProof/>
          <w:sz w:val="24"/>
          <w:szCs w:val="24"/>
        </w:rPr>
      </w:pPr>
    </w:p>
    <w:p>
      <w:pP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Срокове: разпоредбите на Директива 92/106/ЕС започват да се прилагат в срок от 3 години след влизане в сила на настоящото споразумение.</w:t>
      </w:r>
    </w:p>
    <w:p>
      <w:pPr>
        <w:spacing w:after="0" w:line="360" w:lineRule="auto"/>
        <w:rPr>
          <w:rFonts w:ascii="Times New Roman" w:hAnsi="Times New Roman" w:cs="Times New Roman"/>
          <w:noProof/>
          <w:sz w:val="24"/>
          <w:szCs w:val="24"/>
        </w:rPr>
      </w:pPr>
    </w:p>
    <w:p>
      <w:pP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Въздушен транспорт</w:t>
      </w:r>
    </w:p>
    <w:p>
      <w:pPr>
        <w:spacing w:after="0" w:line="360" w:lineRule="auto"/>
        <w:rPr>
          <w:rFonts w:ascii="Times New Roman" w:hAnsi="Times New Roman" w:cs="Times New Roman"/>
          <w:noProof/>
          <w:sz w:val="24"/>
          <w:szCs w:val="24"/>
        </w:rPr>
      </w:pPr>
    </w:p>
    <w:p>
      <w:pPr>
        <w:spacing w:after="0" w:line="360" w:lineRule="auto"/>
        <w:ind w:left="567" w:hanging="567"/>
        <w:rPr>
          <w:rFonts w:ascii="Times New Roman" w:hAnsi="Times New Roman" w:cs="Times New Roman"/>
          <w:noProof/>
          <w:sz w:val="24"/>
          <w:szCs w:val="24"/>
        </w:rPr>
      </w:pPr>
      <w:r>
        <w:rPr>
          <w:rFonts w:ascii="Times New Roman" w:hAnsi="Times New Roman" w:cs="Times New Roman"/>
          <w:noProof/>
          <w:sz w:val="24"/>
          <w:szCs w:val="24"/>
        </w:rPr>
        <w:t>–</w:t>
      </w:r>
      <w:r>
        <w:rPr>
          <w:rFonts w:ascii="Times New Roman" w:hAnsi="Times New Roman" w:cs="Times New Roman"/>
          <w:noProof/>
          <w:sz w:val="24"/>
          <w:szCs w:val="24"/>
        </w:rPr>
        <w:tab/>
        <w:t>сключване и прилагане на всеобхватно споразумение за общо авиационно пространство;</w:t>
      </w:r>
    </w:p>
    <w:p>
      <w:pPr>
        <w:spacing w:after="0" w:line="360" w:lineRule="auto"/>
        <w:ind w:left="567" w:hanging="567"/>
        <w:rPr>
          <w:rFonts w:ascii="Times New Roman" w:hAnsi="Times New Roman" w:cs="Times New Roman"/>
          <w:noProof/>
          <w:sz w:val="24"/>
          <w:szCs w:val="24"/>
        </w:rPr>
      </w:pPr>
    </w:p>
    <w:p>
      <w:pPr>
        <w:spacing w:after="0" w:line="360" w:lineRule="auto"/>
        <w:ind w:left="567" w:hanging="567"/>
        <w:rPr>
          <w:rFonts w:ascii="Times New Roman" w:hAnsi="Times New Roman" w:cs="Times New Roman"/>
          <w:noProof/>
          <w:sz w:val="24"/>
          <w:szCs w:val="24"/>
        </w:rPr>
      </w:pPr>
      <w:r>
        <w:rPr>
          <w:rFonts w:ascii="Times New Roman" w:hAnsi="Times New Roman" w:cs="Times New Roman"/>
          <w:noProof/>
          <w:sz w:val="24"/>
          <w:szCs w:val="24"/>
        </w:rPr>
        <w:t>–</w:t>
      </w:r>
      <w:r>
        <w:rPr>
          <w:rFonts w:ascii="Times New Roman" w:hAnsi="Times New Roman" w:cs="Times New Roman"/>
          <w:noProof/>
          <w:sz w:val="24"/>
          <w:szCs w:val="24"/>
        </w:rPr>
        <w:tab/>
        <w:t>без да се засяга сключването на споразумение за общо авиационно пространство, се гарантира прилагането и координираното разработване на двустранните споразумения за въздухоплавателни услуги между Армения и държавите — членки на ЕС, изменени с „хоризонталното споразумение“.</w:t>
      </w:r>
    </w:p>
    <w:p>
      <w:pPr>
        <w:spacing w:after="0" w:line="360" w:lineRule="auto"/>
        <w:rPr>
          <w:rFonts w:ascii="Times New Roman" w:hAnsi="Times New Roman" w:cs="Times New Roman"/>
          <w:noProof/>
          <w:sz w:val="24"/>
          <w:szCs w:val="24"/>
        </w:rPr>
      </w:pPr>
    </w:p>
    <w:p>
      <w:pPr>
        <w:rPr>
          <w:rFonts w:ascii="Times New Roman" w:hAnsi="Times New Roman" w:cs="Times New Roman"/>
          <w:noProof/>
          <w:sz w:val="24"/>
          <w:szCs w:val="24"/>
        </w:rPr>
      </w:pPr>
      <w:r>
        <w:rPr>
          <w:rFonts w:ascii="Times New Roman" w:hAnsi="Times New Roman" w:cs="Times New Roman"/>
          <w:noProof/>
          <w:sz w:val="24"/>
          <w:szCs w:val="24"/>
        </w:rPr>
        <w:t>Морски транспорт</w:t>
      </w:r>
    </w:p>
    <w:p>
      <w:pPr>
        <w:spacing w:after="0" w:line="360" w:lineRule="auto"/>
        <w:rPr>
          <w:rFonts w:ascii="Times New Roman" w:hAnsi="Times New Roman" w:cs="Times New Roman"/>
          <w:noProof/>
          <w:sz w:val="24"/>
          <w:szCs w:val="24"/>
        </w:rPr>
      </w:pPr>
    </w:p>
    <w:p>
      <w:pP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Морска безопасност — Държава на флага/класификационни организации</w:t>
      </w:r>
    </w:p>
    <w:p>
      <w:pPr>
        <w:spacing w:after="0" w:line="360" w:lineRule="auto"/>
        <w:rPr>
          <w:rFonts w:ascii="Times New Roman" w:hAnsi="Times New Roman" w:cs="Times New Roman"/>
          <w:noProof/>
          <w:sz w:val="24"/>
          <w:szCs w:val="24"/>
        </w:rPr>
      </w:pPr>
    </w:p>
    <w:p>
      <w:pPr>
        <w:spacing w:after="0" w:line="360" w:lineRule="auto"/>
        <w:rPr>
          <w:rFonts w:ascii="Times New Roman" w:hAnsi="Times New Roman" w:cs="Times New Roman"/>
          <w:noProof/>
          <w:sz w:val="24"/>
          <w:szCs w:val="24"/>
        </w:rPr>
      </w:pPr>
      <w:bookmarkStart w:id="6" w:name="bookmark18"/>
      <w:r>
        <w:rPr>
          <w:rFonts w:ascii="Times New Roman" w:hAnsi="Times New Roman" w:cs="Times New Roman"/>
          <w:noProof/>
          <w:sz w:val="24"/>
          <w:szCs w:val="24"/>
        </w:rPr>
        <w:t>Директива 2009/15/ЕО на Европейския парламент и на Съвета от 23 април 2009 г. относно общите правила и стандарти за организациите за проверка и преглед на кораби и за съответните дейности на морските администрации</w:t>
      </w:r>
      <w:bookmarkEnd w:id="6"/>
      <w:r>
        <w:rPr>
          <w:rFonts w:ascii="Times New Roman" w:hAnsi="Times New Roman" w:cs="Times New Roman"/>
          <w:noProof/>
          <w:sz w:val="24"/>
          <w:szCs w:val="24"/>
        </w:rPr>
        <w:t>, изменена</w:t>
      </w:r>
    </w:p>
    <w:p>
      <w:pPr>
        <w:spacing w:after="0" w:line="360" w:lineRule="auto"/>
        <w:rPr>
          <w:rFonts w:ascii="Times New Roman" w:hAnsi="Times New Roman" w:cs="Times New Roman"/>
          <w:noProof/>
          <w:sz w:val="24"/>
          <w:szCs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noProof/>
          <w:sz w:val="24"/>
          <w:szCs w:val="24"/>
        </w:rPr>
      </w:pPr>
      <w:bookmarkStart w:id="7" w:name="bookmark19"/>
      <w:r>
        <w:rPr>
          <w:rFonts w:ascii="Times New Roman" w:hAnsi="Times New Roman" w:cs="Times New Roman"/>
          <w:noProof/>
          <w:sz w:val="24"/>
          <w:szCs w:val="24"/>
        </w:rPr>
        <w:t>Срокове: разпоредбите на Директива 2009/15/ЕО започват да се прилагат в срок от 5 години след влизане в сила на настоящото споразумение</w:t>
      </w:r>
      <w:bookmarkEnd w:id="7"/>
      <w:r>
        <w:rPr>
          <w:rFonts w:ascii="Times New Roman" w:hAnsi="Times New Roman" w:cs="Times New Roman"/>
          <w:noProof/>
          <w:sz w:val="24"/>
          <w:szCs w:val="24"/>
        </w:rPr>
        <w:t>.</w:t>
      </w:r>
    </w:p>
    <w:p>
      <w:pPr>
        <w:spacing w:after="0" w:line="360" w:lineRule="auto"/>
        <w:rPr>
          <w:rFonts w:ascii="Times New Roman" w:hAnsi="Times New Roman" w:cs="Times New Roman"/>
          <w:noProof/>
          <w:sz w:val="24"/>
          <w:szCs w:val="24"/>
        </w:rPr>
      </w:pPr>
    </w:p>
    <w:p>
      <w:pP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Регламент (ЕО) № 391/2009 на Европейския парламент и на Съвета от 23 април 2009 г. относно общи правила и стандарти за организациите за проверка и преглед на кораби, изменен</w:t>
      </w:r>
    </w:p>
    <w:p>
      <w:pPr>
        <w:spacing w:after="0" w:line="240" w:lineRule="auto"/>
        <w:rPr>
          <w:rFonts w:ascii="Times New Roman" w:hAnsi="Times New Roman" w:cs="Times New Roman"/>
          <w:noProof/>
          <w:sz w:val="24"/>
          <w:szCs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Срокове: разпоредбите на Регламент (ЕО) № 391/2009 започват да се прилагат в срок от 5 години след влизане в сила на настоящото споразумение.</w:t>
      </w:r>
    </w:p>
    <w:p>
      <w:pPr>
        <w:spacing w:after="0" w:line="360" w:lineRule="auto"/>
        <w:rPr>
          <w:rFonts w:ascii="Times New Roman" w:hAnsi="Times New Roman" w:cs="Times New Roman"/>
          <w:noProof/>
          <w:sz w:val="24"/>
          <w:szCs w:val="24"/>
        </w:rPr>
      </w:pPr>
    </w:p>
    <w:p>
      <w:pP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Директива 2013/54/ЕС на Европейския парламент и на Съвета от 20 ноември 2013 г. относно определени отговорности на държавата на знамето за спазване и прилагане на Морската трудова конвенция от 2006 г.</w:t>
      </w:r>
    </w:p>
    <w:p>
      <w:pPr>
        <w:spacing w:after="0" w:line="360" w:lineRule="auto"/>
        <w:rPr>
          <w:rFonts w:ascii="Times New Roman" w:hAnsi="Times New Roman" w:cs="Times New Roman"/>
          <w:noProof/>
          <w:sz w:val="24"/>
          <w:szCs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Срокове: разпоредбите на Директива 2013/54/ЕС започват да се прилагат в срок от 5 години след влизане в сила на настоящото споразумение.</w:t>
      </w:r>
    </w:p>
    <w:p>
      <w:pPr>
        <w:spacing w:after="0" w:line="360" w:lineRule="auto"/>
        <w:rPr>
          <w:rFonts w:ascii="Times New Roman" w:hAnsi="Times New Roman" w:cs="Times New Roman"/>
          <w:noProof/>
          <w:sz w:val="24"/>
          <w:szCs w:val="24"/>
        </w:rPr>
      </w:pPr>
    </w:p>
    <w:p>
      <w:pP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Регламент (ЕС) № 788/2014 на Комисията от 18 юли 2014 г. за определяне на подробни правила за налагането на глоби и периодични имуществени санкции и оттеглянето на признаването на организациите за проверка и преглед на кораби в съответствие с членове 6 и 7 от Регламент (ЕО) № 391/2009 на Европейския парламент и на Съвета</w:t>
      </w:r>
    </w:p>
    <w:p>
      <w:pPr>
        <w:spacing w:after="0" w:line="360" w:lineRule="auto"/>
        <w:rPr>
          <w:rFonts w:ascii="Times New Roman" w:hAnsi="Times New Roman" w:cs="Times New Roman"/>
          <w:noProof/>
          <w:sz w:val="24"/>
          <w:szCs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Срокове: разпоредбите на Регламент (ЕС) № 788/2014 започват да се прилагат в срок от 5 години след влизане в сила на настоящото споразумение.</w:t>
      </w:r>
    </w:p>
    <w:p>
      <w:pPr>
        <w:spacing w:after="0" w:line="360" w:lineRule="auto"/>
        <w:rPr>
          <w:rFonts w:ascii="Times New Roman" w:hAnsi="Times New Roman" w:cs="Times New Roman"/>
          <w:noProof/>
          <w:sz w:val="24"/>
          <w:szCs w:val="24"/>
        </w:rPr>
      </w:pPr>
    </w:p>
    <w:p>
      <w:pP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Регламент (ЕО) № 789/2004 на Европейския парламент и на Съвета от 21 април 2004 г. относно прехвърлянето на товарните и пътническите кораби от един регистър в друг в рамките на Общността и за отмяна на Регламент (ЕИО) № 613/91 на Съвета, изменен</w:t>
      </w:r>
    </w:p>
    <w:p>
      <w:pPr>
        <w:spacing w:after="0" w:line="360" w:lineRule="auto"/>
        <w:rPr>
          <w:rFonts w:ascii="Times New Roman" w:hAnsi="Times New Roman" w:cs="Times New Roman"/>
          <w:noProof/>
          <w:sz w:val="24"/>
          <w:szCs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Срокове: разпоредбите на Регламент (ЕО) № 789/2004 започват да се прилагат в срок от 5 години след влизане в сила на настоящото споразумение.</w:t>
      </w:r>
    </w:p>
    <w:p>
      <w:pPr>
        <w:spacing w:after="0" w:line="360" w:lineRule="auto"/>
        <w:rPr>
          <w:rFonts w:ascii="Times New Roman" w:hAnsi="Times New Roman" w:cs="Times New Roman"/>
          <w:noProof/>
          <w:sz w:val="24"/>
          <w:szCs w:val="24"/>
        </w:rPr>
      </w:pPr>
    </w:p>
    <w:p>
      <w:pP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Държава на знамето</w:t>
      </w:r>
    </w:p>
    <w:p>
      <w:pPr>
        <w:spacing w:after="0" w:line="360" w:lineRule="auto"/>
        <w:rPr>
          <w:rFonts w:ascii="Times New Roman" w:hAnsi="Times New Roman" w:cs="Times New Roman"/>
          <w:noProof/>
          <w:sz w:val="24"/>
          <w:szCs w:val="24"/>
        </w:rPr>
      </w:pPr>
    </w:p>
    <w:p>
      <w:pP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Директива 2009/21/ЕО на Европейския парламент и на Съвета от 23 април 2009 г. относно спазването на изискванията за държавата на знамето</w:t>
      </w:r>
    </w:p>
    <w:p>
      <w:pPr>
        <w:spacing w:after="0" w:line="360" w:lineRule="auto"/>
        <w:rPr>
          <w:rFonts w:ascii="Times New Roman" w:hAnsi="Times New Roman" w:cs="Times New Roman"/>
          <w:noProof/>
          <w:sz w:val="24"/>
          <w:szCs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Срокове: разпоредбите на Директива 2009/21/ЕО започват да се прилагат в срок от 5 години след влизане в сила на настоящото споразумение.</w:t>
      </w:r>
    </w:p>
    <w:p>
      <w:pPr>
        <w:spacing w:after="0" w:line="360" w:lineRule="auto"/>
        <w:rPr>
          <w:rFonts w:ascii="Times New Roman" w:hAnsi="Times New Roman" w:cs="Times New Roman"/>
          <w:noProof/>
          <w:sz w:val="24"/>
          <w:szCs w:val="24"/>
        </w:rPr>
      </w:pPr>
    </w:p>
    <w:p>
      <w:pPr>
        <w:rPr>
          <w:rFonts w:ascii="Times New Roman" w:hAnsi="Times New Roman" w:cs="Times New Roman"/>
          <w:noProof/>
          <w:sz w:val="24"/>
          <w:szCs w:val="24"/>
        </w:rPr>
      </w:pPr>
      <w:r>
        <w:rPr>
          <w:rFonts w:ascii="Times New Roman" w:hAnsi="Times New Roman" w:cs="Times New Roman"/>
          <w:noProof/>
          <w:sz w:val="24"/>
          <w:szCs w:val="24"/>
        </w:rPr>
        <w:br w:type="page"/>
      </w:r>
    </w:p>
    <w:p>
      <w:pP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Държава на пристанището</w:t>
      </w:r>
    </w:p>
    <w:p>
      <w:pPr>
        <w:spacing w:after="0" w:line="360" w:lineRule="auto"/>
        <w:rPr>
          <w:rFonts w:ascii="Times New Roman" w:hAnsi="Times New Roman" w:cs="Times New Roman"/>
          <w:noProof/>
          <w:sz w:val="24"/>
          <w:szCs w:val="24"/>
        </w:rPr>
      </w:pPr>
    </w:p>
    <w:p>
      <w:pP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Директива 2009/16/ЕО на Европейския парламент и на Съвета от 23 април 2009 г. относно държавния пристанищен контрол, изменена</w:t>
      </w:r>
    </w:p>
    <w:p>
      <w:pPr>
        <w:spacing w:after="0" w:line="360" w:lineRule="auto"/>
        <w:rPr>
          <w:rFonts w:ascii="Times New Roman" w:hAnsi="Times New Roman" w:cs="Times New Roman"/>
          <w:noProof/>
          <w:sz w:val="24"/>
          <w:szCs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Срокове: разпоредбите на Директива 2009/16/ЕО започват да се прилагат в срок от 5 години след влизане в сила на настоящото споразумение.</w:t>
      </w:r>
    </w:p>
    <w:p>
      <w:pPr>
        <w:spacing w:after="0" w:line="360" w:lineRule="auto"/>
        <w:rPr>
          <w:rFonts w:ascii="Times New Roman" w:hAnsi="Times New Roman" w:cs="Times New Roman"/>
          <w:noProof/>
          <w:sz w:val="24"/>
          <w:szCs w:val="24"/>
        </w:rPr>
      </w:pPr>
    </w:p>
    <w:p>
      <w:pP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Регламент (ЕС) № 428/2010 на Комисията от 20 май 2010 г. за прилагане на член 14 от Директива 2009/16/ЕО на Европейския парламент и на Съвета по отношение на разширените проверки на кораби</w:t>
      </w:r>
    </w:p>
    <w:p>
      <w:pPr>
        <w:spacing w:after="0" w:line="360" w:lineRule="auto"/>
        <w:rPr>
          <w:rFonts w:ascii="Times New Roman" w:hAnsi="Times New Roman" w:cs="Times New Roman"/>
          <w:noProof/>
          <w:sz w:val="24"/>
          <w:szCs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Срокове: разпоредбите на Регламент (ЕС) № 428/2010 започват да се прилагат в срок от 5 години след влизане в сила на настоящото споразумение.</w:t>
      </w:r>
    </w:p>
    <w:p>
      <w:pPr>
        <w:spacing w:after="0" w:line="360" w:lineRule="auto"/>
        <w:rPr>
          <w:rFonts w:ascii="Times New Roman" w:hAnsi="Times New Roman" w:cs="Times New Roman"/>
          <w:noProof/>
          <w:sz w:val="24"/>
          <w:szCs w:val="24"/>
        </w:rPr>
      </w:pPr>
    </w:p>
    <w:p>
      <w:pP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Регламент (ЕС) № 801/2010 на Комисията от 13 септември 2010 г. за прилагане на член 10, параграф 3 от Директива 2009/16/ЕО на Европейския парламент и на Съвета по отношение на критериите за държавата на знамето</w:t>
      </w:r>
    </w:p>
    <w:p>
      <w:pPr>
        <w:spacing w:after="0" w:line="360" w:lineRule="auto"/>
        <w:rPr>
          <w:rFonts w:ascii="Times New Roman" w:hAnsi="Times New Roman" w:cs="Times New Roman"/>
          <w:noProof/>
          <w:sz w:val="24"/>
          <w:szCs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Срокове: разпоредбите на Регламент (ЕС) № 801/2010 започват да се прилагат в срок от 5 години след влизане в сила на настоящото споразумение.</w:t>
      </w:r>
    </w:p>
    <w:p>
      <w:pPr>
        <w:spacing w:after="0" w:line="360" w:lineRule="auto"/>
        <w:rPr>
          <w:rFonts w:ascii="Times New Roman" w:hAnsi="Times New Roman" w:cs="Times New Roman"/>
          <w:noProof/>
          <w:sz w:val="24"/>
          <w:szCs w:val="24"/>
        </w:rPr>
      </w:pPr>
    </w:p>
    <w:p>
      <w:pP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Регламент (ЕС) № 802/2010 на Комисията от 13 септември 2010 г. за прилагане на член 10, параграф 3 и член 27 от Директива 2009/16/ЕО на Европейския парламент и на Съвета по отношение на показателите на дружеството, изменен</w:t>
      </w:r>
    </w:p>
    <w:p>
      <w:pPr>
        <w:spacing w:after="0" w:line="360" w:lineRule="auto"/>
        <w:rPr>
          <w:rFonts w:ascii="Times New Roman" w:hAnsi="Times New Roman" w:cs="Times New Roman"/>
          <w:noProof/>
          <w:sz w:val="24"/>
          <w:szCs w:val="24"/>
        </w:rPr>
      </w:pPr>
    </w:p>
    <w:p>
      <w:pPr>
        <w:rPr>
          <w:rFonts w:ascii="Times New Roman" w:hAnsi="Times New Roman" w:cs="Times New Roman"/>
          <w:noProof/>
          <w:sz w:val="24"/>
          <w:szCs w:val="24"/>
          <w:highlight w:val="yellow"/>
        </w:rPr>
      </w:pPr>
      <w:r>
        <w:rPr>
          <w:rFonts w:ascii="Times New Roman" w:hAnsi="Times New Roman" w:cs="Times New Roman"/>
          <w:noProof/>
          <w:sz w:val="24"/>
          <w:szCs w:val="24"/>
        </w:rPr>
        <w:br w:type="page"/>
      </w: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Срокове: разпоредбите на Регламент (ЕС) № 802/2010 започват да се прилагат в срок от 5 години след влизане в сила на настоящото споразумение.</w:t>
      </w:r>
    </w:p>
    <w:p>
      <w:pPr>
        <w:spacing w:after="0" w:line="360" w:lineRule="auto"/>
        <w:rPr>
          <w:rFonts w:ascii="Times New Roman" w:hAnsi="Times New Roman" w:cs="Times New Roman"/>
          <w:noProof/>
          <w:sz w:val="24"/>
          <w:szCs w:val="24"/>
        </w:rPr>
      </w:pPr>
    </w:p>
    <w:p>
      <w:pP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Директива 96/40/ЕО на Комисията от 25 юни 1996 г. за установяване на общ модел за идентификационна карта за инспектори, провеждащи държавен пристанищен контрол</w:t>
      </w:r>
    </w:p>
    <w:p>
      <w:pPr>
        <w:spacing w:after="0" w:line="360" w:lineRule="auto"/>
        <w:rPr>
          <w:rFonts w:ascii="Times New Roman" w:hAnsi="Times New Roman" w:cs="Times New Roman"/>
          <w:noProof/>
          <w:sz w:val="24"/>
          <w:szCs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Срокове: разпоредбите на Директива 96/40/ЕО започват да се прилагат в срок от 5 години след влизане в сила на настоящото споразумение.</w:t>
      </w:r>
    </w:p>
    <w:p>
      <w:pPr>
        <w:spacing w:after="0" w:line="360" w:lineRule="auto"/>
        <w:rPr>
          <w:rFonts w:ascii="Times New Roman" w:hAnsi="Times New Roman" w:cs="Times New Roman"/>
          <w:noProof/>
          <w:sz w:val="24"/>
          <w:szCs w:val="24"/>
        </w:rPr>
      </w:pPr>
    </w:p>
    <w:p>
      <w:pP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Разследване на произшествия</w:t>
      </w:r>
    </w:p>
    <w:p>
      <w:pPr>
        <w:spacing w:after="0" w:line="360" w:lineRule="auto"/>
        <w:rPr>
          <w:rFonts w:ascii="Times New Roman" w:hAnsi="Times New Roman" w:cs="Times New Roman"/>
          <w:noProof/>
          <w:sz w:val="24"/>
          <w:szCs w:val="24"/>
        </w:rPr>
      </w:pPr>
    </w:p>
    <w:p>
      <w:pP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Директива 2009/18/ЕО на Европейския парламент и на Съвета от 23 април 2009 г. за определяне на основните принципи, които уреждат разследването на произшествия в областта на морския транспорт</w:t>
      </w:r>
    </w:p>
    <w:p>
      <w:pPr>
        <w:spacing w:after="0" w:line="360" w:lineRule="auto"/>
        <w:rPr>
          <w:rFonts w:ascii="Times New Roman" w:hAnsi="Times New Roman" w:cs="Times New Roman"/>
          <w:noProof/>
          <w:sz w:val="24"/>
          <w:szCs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Срокове: разпоредбите на Директива 2009/18/ЕО започват да се прилагат в срок от 5 години след влизане в сила на настоящото споразумение.</w:t>
      </w:r>
    </w:p>
    <w:p>
      <w:pPr>
        <w:spacing w:after="0" w:line="360" w:lineRule="auto"/>
        <w:rPr>
          <w:rFonts w:ascii="Times New Roman" w:hAnsi="Times New Roman" w:cs="Times New Roman"/>
          <w:noProof/>
          <w:sz w:val="24"/>
          <w:szCs w:val="24"/>
        </w:rPr>
      </w:pPr>
    </w:p>
    <w:p>
      <w:pP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Регламент за изпълнение (ЕС) № 651/2011 на Комисията от 5 юли 2011 г. за приемане на процедурни правила на рамката за постоянно сътрудничество, установена от държавите членки съвместно с Комисията съгласно член 10 от Директива 2009/18/ЕО на Европейския парламент и на Съвета</w:t>
      </w:r>
    </w:p>
    <w:p>
      <w:pPr>
        <w:spacing w:after="0" w:line="360" w:lineRule="auto"/>
        <w:rPr>
          <w:rFonts w:ascii="Times New Roman" w:hAnsi="Times New Roman" w:cs="Times New Roman"/>
          <w:noProof/>
          <w:sz w:val="24"/>
          <w:szCs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Срокове: разпоредбите на Регламент (ЕС) № 651/2011 започват да се прилагат в срок от 5 години след влизане в сила на настоящото споразумение.</w:t>
      </w:r>
    </w:p>
    <w:p>
      <w:pPr>
        <w:spacing w:after="0" w:line="360" w:lineRule="auto"/>
        <w:rPr>
          <w:rFonts w:ascii="Times New Roman" w:hAnsi="Times New Roman" w:cs="Times New Roman"/>
          <w:noProof/>
          <w:sz w:val="24"/>
          <w:szCs w:val="24"/>
        </w:rPr>
      </w:pPr>
    </w:p>
    <w:p>
      <w:pPr>
        <w:rPr>
          <w:rFonts w:ascii="Times New Roman" w:hAnsi="Times New Roman" w:cs="Times New Roman"/>
          <w:noProof/>
          <w:sz w:val="24"/>
          <w:szCs w:val="24"/>
        </w:rPr>
      </w:pPr>
      <w:r>
        <w:rPr>
          <w:rFonts w:ascii="Times New Roman" w:hAnsi="Times New Roman" w:cs="Times New Roman"/>
          <w:noProof/>
          <w:sz w:val="24"/>
          <w:szCs w:val="24"/>
        </w:rPr>
        <w:br w:type="page"/>
      </w:r>
    </w:p>
    <w:p>
      <w:pP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Регламент (ЕС) № 1286/2011 на Комисията от 9 декември 2011 г. за приемане на обща методика за разследване на морски произшествия и инциденти, разработена съгласно член 5, параграф 4 от Директива 2009/18/ЕО на Европейския парламент и на Съвета</w:t>
      </w:r>
    </w:p>
    <w:p>
      <w:pPr>
        <w:spacing w:after="0" w:line="360" w:lineRule="auto"/>
        <w:rPr>
          <w:rFonts w:ascii="Times New Roman" w:hAnsi="Times New Roman" w:cs="Times New Roman"/>
          <w:noProof/>
          <w:sz w:val="24"/>
          <w:szCs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Срокове: разпоредбите на Регламент (ЕС) № 1286/2011 започват да се прилагат в срок от 5 години след влизане в сила на настоящото споразумение.</w:t>
      </w:r>
    </w:p>
    <w:p>
      <w:pPr>
        <w:spacing w:after="0" w:line="360" w:lineRule="auto"/>
        <w:rPr>
          <w:rFonts w:ascii="Times New Roman" w:hAnsi="Times New Roman" w:cs="Times New Roman"/>
          <w:noProof/>
          <w:sz w:val="24"/>
          <w:szCs w:val="24"/>
        </w:rPr>
      </w:pPr>
    </w:p>
    <w:p>
      <w:pP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Отговорност и застраховка</w:t>
      </w:r>
    </w:p>
    <w:p>
      <w:pPr>
        <w:spacing w:after="0" w:line="360" w:lineRule="auto"/>
        <w:rPr>
          <w:rFonts w:ascii="Times New Roman" w:hAnsi="Times New Roman" w:cs="Times New Roman"/>
          <w:noProof/>
          <w:sz w:val="24"/>
          <w:szCs w:val="24"/>
        </w:rPr>
      </w:pPr>
    </w:p>
    <w:p>
      <w:pP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Регламент (ЕО) № 392/2009 на Европейския парламент и на Съвета от 23 април 2009 г. относно отговорността на превозвачите на пътници по море в случай на произшествия</w:t>
      </w:r>
    </w:p>
    <w:p>
      <w:pPr>
        <w:spacing w:after="0" w:line="360" w:lineRule="auto"/>
        <w:rPr>
          <w:rFonts w:ascii="Times New Roman" w:hAnsi="Times New Roman" w:cs="Times New Roman"/>
          <w:noProof/>
          <w:sz w:val="24"/>
          <w:szCs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Срокове: разпоредбите на Регламент (ЕО) № 392/2009 започват да се прилагат в срок от 5 години след влизане в сила на настоящото споразумение.</w:t>
      </w:r>
    </w:p>
    <w:p>
      <w:pPr>
        <w:spacing w:after="0" w:line="360" w:lineRule="auto"/>
        <w:rPr>
          <w:rFonts w:ascii="Times New Roman" w:hAnsi="Times New Roman" w:cs="Times New Roman"/>
          <w:noProof/>
          <w:sz w:val="24"/>
          <w:szCs w:val="24"/>
        </w:rPr>
      </w:pPr>
    </w:p>
    <w:p>
      <w:pP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Директива 2009/20/ЕО на Европейския парламент и на Съвета от 23 април 2009 г. относно застраховката на корабособствениците за морски искове</w:t>
      </w:r>
    </w:p>
    <w:p>
      <w:pPr>
        <w:spacing w:after="0" w:line="360" w:lineRule="auto"/>
        <w:rPr>
          <w:rFonts w:ascii="Times New Roman" w:hAnsi="Times New Roman" w:cs="Times New Roman"/>
          <w:noProof/>
          <w:sz w:val="24"/>
          <w:szCs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Срокове: разпоредбите на Директива 2009/20/ЕО започват да се прилагат в срок от 5 години след влизане в сила на настоящото споразумение.</w:t>
      </w:r>
    </w:p>
    <w:p>
      <w:pPr>
        <w:spacing w:after="0" w:line="360" w:lineRule="auto"/>
        <w:rPr>
          <w:rFonts w:ascii="Times New Roman" w:hAnsi="Times New Roman" w:cs="Times New Roman"/>
          <w:noProof/>
          <w:sz w:val="24"/>
          <w:szCs w:val="24"/>
        </w:rPr>
      </w:pPr>
    </w:p>
    <w:p>
      <w:pP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Регламент (ЕО) № 336/2006 на Европейския парламент и на Съвета от 15 февруари 2006 г. за прилагане на Международния кодекс за управление на безопасността в рамките на Общността и за отмяна на Регламент (ЕО) № 3051/95 на Съвета, изменен</w:t>
      </w:r>
    </w:p>
    <w:p>
      <w:pPr>
        <w:spacing w:after="0" w:line="360" w:lineRule="auto"/>
        <w:rPr>
          <w:rFonts w:ascii="Times New Roman" w:hAnsi="Times New Roman" w:cs="Times New Roman"/>
          <w:noProof/>
          <w:sz w:val="24"/>
          <w:szCs w:val="24"/>
        </w:rPr>
      </w:pPr>
    </w:p>
    <w:p>
      <w:pPr>
        <w:rPr>
          <w:rFonts w:ascii="Times New Roman" w:hAnsi="Times New Roman" w:cs="Times New Roman"/>
          <w:noProof/>
          <w:sz w:val="24"/>
          <w:szCs w:val="24"/>
          <w:highlight w:val="yellow"/>
        </w:rPr>
      </w:pPr>
      <w:r>
        <w:rPr>
          <w:rFonts w:ascii="Times New Roman" w:hAnsi="Times New Roman" w:cs="Times New Roman"/>
          <w:noProof/>
          <w:sz w:val="24"/>
          <w:szCs w:val="24"/>
        </w:rPr>
        <w:br w:type="page"/>
      </w: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Срокове: разпоредбите на Регламент (ЕО) № 336/2006 започват да се прилагат в срок от 5 години след влизане в сила на настоящото споразумение.</w:t>
      </w:r>
    </w:p>
    <w:p>
      <w:pPr>
        <w:spacing w:after="0" w:line="360" w:lineRule="auto"/>
        <w:rPr>
          <w:rFonts w:ascii="Times New Roman" w:hAnsi="Times New Roman" w:cs="Times New Roman"/>
          <w:noProof/>
          <w:sz w:val="24"/>
          <w:szCs w:val="24"/>
        </w:rPr>
      </w:pPr>
    </w:p>
    <w:p>
      <w:pP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Пътнически кораби</w:t>
      </w:r>
    </w:p>
    <w:p>
      <w:pPr>
        <w:spacing w:after="0" w:line="360" w:lineRule="auto"/>
        <w:rPr>
          <w:rFonts w:ascii="Times New Roman" w:hAnsi="Times New Roman" w:cs="Times New Roman"/>
          <w:noProof/>
          <w:sz w:val="24"/>
          <w:szCs w:val="24"/>
        </w:rPr>
      </w:pPr>
    </w:p>
    <w:p>
      <w:pP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Директива 2009/45/ЕО на Европейския парламент и на Съвета от 6 май 2009 г. за правилата за безопасност и стандартите за пътническите кораби, изменена</w:t>
      </w:r>
    </w:p>
    <w:p>
      <w:pPr>
        <w:spacing w:after="0" w:line="360" w:lineRule="auto"/>
        <w:rPr>
          <w:rFonts w:ascii="Times New Roman" w:hAnsi="Times New Roman" w:cs="Times New Roman"/>
          <w:noProof/>
          <w:sz w:val="24"/>
          <w:szCs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Срокове: разпоредбите на Директива 2009/45/ЕО започват да се прилагат в срок от 5 години след влизане в сила на настоящото споразумение.</w:t>
      </w:r>
    </w:p>
    <w:p>
      <w:pPr>
        <w:spacing w:after="0" w:line="360" w:lineRule="auto"/>
        <w:rPr>
          <w:rFonts w:ascii="Times New Roman" w:hAnsi="Times New Roman" w:cs="Times New Roman"/>
          <w:noProof/>
          <w:sz w:val="24"/>
          <w:szCs w:val="24"/>
        </w:rPr>
      </w:pPr>
      <w:bookmarkStart w:id="8" w:name="bookmark20"/>
    </w:p>
    <w:p>
      <w:pP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Директива 2003/25/ЕО на Европейския парламент и на Съвета от 14 април 2003 г. относно специфични изисквания за стабилност на ро-ро пътнически кораби</w:t>
      </w:r>
      <w:bookmarkEnd w:id="8"/>
      <w:r>
        <w:rPr>
          <w:rFonts w:ascii="Times New Roman" w:hAnsi="Times New Roman" w:cs="Times New Roman"/>
          <w:noProof/>
          <w:sz w:val="24"/>
          <w:szCs w:val="24"/>
        </w:rPr>
        <w:t>, изменена</w:t>
      </w:r>
    </w:p>
    <w:p>
      <w:pPr>
        <w:spacing w:after="0" w:line="360" w:lineRule="auto"/>
        <w:rPr>
          <w:rFonts w:ascii="Times New Roman" w:hAnsi="Times New Roman" w:cs="Times New Roman"/>
          <w:noProof/>
          <w:sz w:val="24"/>
          <w:szCs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Срокове: разпоредбите на Директива 2003/25/ЕО започват да се прилагат в срок от 5 години след влизане в сила на настоящото споразумение.</w:t>
      </w:r>
    </w:p>
    <w:p>
      <w:pPr>
        <w:spacing w:after="0" w:line="360" w:lineRule="auto"/>
        <w:rPr>
          <w:rFonts w:ascii="Times New Roman" w:hAnsi="Times New Roman" w:cs="Times New Roman"/>
          <w:noProof/>
          <w:sz w:val="24"/>
          <w:szCs w:val="24"/>
        </w:rPr>
      </w:pPr>
    </w:p>
    <w:p>
      <w:pP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Директива 1999/35/ЕО на Съвета от 29 април 1999 г. относно система за задължителни прегледи за безопасна работа при редовни услуги от ро-ро фериботи и бързоходни пътнически плавателни съдове, изменена</w:t>
      </w:r>
    </w:p>
    <w:p>
      <w:pPr>
        <w:spacing w:after="0" w:line="360" w:lineRule="auto"/>
        <w:rPr>
          <w:rFonts w:ascii="Times New Roman" w:hAnsi="Times New Roman" w:cs="Times New Roman"/>
          <w:noProof/>
          <w:sz w:val="24"/>
          <w:szCs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Срокове: разпоредбите на Директива 1999/35/ЕО започват да се прилагат в срок от 5 години след влизане в сила на настоящото споразумение.</w:t>
      </w:r>
    </w:p>
    <w:p>
      <w:pPr>
        <w:spacing w:after="0" w:line="360" w:lineRule="auto"/>
        <w:rPr>
          <w:rFonts w:ascii="Times New Roman" w:hAnsi="Times New Roman" w:cs="Times New Roman"/>
          <w:noProof/>
          <w:sz w:val="24"/>
          <w:szCs w:val="24"/>
        </w:rPr>
      </w:pPr>
    </w:p>
    <w:p>
      <w:pP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Директива 98/41/ЕО на Съвета от 18 юни 1998 г. относно регистрацията на лица, които плават на борда на пътнически кораби, които оперират по направление към или от пристанища на държавите членки от Общността</w:t>
      </w:r>
    </w:p>
    <w:p>
      <w:pPr>
        <w:spacing w:after="0" w:line="360" w:lineRule="auto"/>
        <w:rPr>
          <w:rFonts w:ascii="Times New Roman" w:hAnsi="Times New Roman" w:cs="Times New Roman"/>
          <w:noProof/>
          <w:sz w:val="24"/>
          <w:szCs w:val="24"/>
        </w:rPr>
      </w:pPr>
    </w:p>
    <w:p>
      <w:pPr>
        <w:rPr>
          <w:rFonts w:ascii="Times New Roman" w:hAnsi="Times New Roman" w:cs="Times New Roman"/>
          <w:noProof/>
          <w:sz w:val="24"/>
          <w:szCs w:val="24"/>
          <w:highlight w:val="yellow"/>
        </w:rPr>
      </w:pPr>
      <w:r>
        <w:rPr>
          <w:rFonts w:ascii="Times New Roman" w:hAnsi="Times New Roman" w:cs="Times New Roman"/>
          <w:noProof/>
          <w:sz w:val="24"/>
          <w:szCs w:val="24"/>
        </w:rPr>
        <w:br w:type="page"/>
      </w: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Срокове: разпоредбите на Директива 98/41/ЕО започват да се прилагат в срок от 5 години след влизане в сила на настоящото споразумение.</w:t>
      </w:r>
    </w:p>
    <w:p>
      <w:pPr>
        <w:spacing w:after="0" w:line="360" w:lineRule="auto"/>
        <w:rPr>
          <w:rFonts w:ascii="Times New Roman" w:hAnsi="Times New Roman" w:cs="Times New Roman"/>
          <w:noProof/>
          <w:sz w:val="24"/>
          <w:szCs w:val="24"/>
        </w:rPr>
      </w:pPr>
    </w:p>
    <w:p>
      <w:pP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Контрол на движението на корабите и формалности за даване на сведения</w:t>
      </w:r>
    </w:p>
    <w:p>
      <w:pPr>
        <w:spacing w:after="0" w:line="360" w:lineRule="auto"/>
        <w:rPr>
          <w:rFonts w:ascii="Times New Roman" w:hAnsi="Times New Roman" w:cs="Times New Roman"/>
          <w:noProof/>
          <w:sz w:val="24"/>
          <w:szCs w:val="24"/>
        </w:rPr>
      </w:pPr>
    </w:p>
    <w:p>
      <w:pP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Директива 2002/59/ЕО на Европейския парламент и на Съвета от 27 юни 2002 г. за създаване на система на Общността за контрол на движението на корабите и за информация и отменяща Директива 93/75/ЕИО на Съвета, изменена</w:t>
      </w:r>
    </w:p>
    <w:p>
      <w:pPr>
        <w:spacing w:after="0" w:line="360" w:lineRule="auto"/>
        <w:rPr>
          <w:rFonts w:ascii="Times New Roman" w:hAnsi="Times New Roman" w:cs="Times New Roman"/>
          <w:noProof/>
          <w:sz w:val="24"/>
          <w:szCs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Срокове: разпоредбите на Директива 2002/59/ЕО започват да се прилагат в срок от 5 години след влизане в сила на настоящото споразумение.</w:t>
      </w:r>
    </w:p>
    <w:p>
      <w:pPr>
        <w:spacing w:after="0" w:line="360" w:lineRule="auto"/>
        <w:rPr>
          <w:rFonts w:ascii="Times New Roman" w:hAnsi="Times New Roman" w:cs="Times New Roman"/>
          <w:noProof/>
          <w:sz w:val="24"/>
          <w:szCs w:val="24"/>
        </w:rPr>
      </w:pPr>
    </w:p>
    <w:p>
      <w:pP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Директива 2010/65/ЕО на Европейския парламент и на Съвета от 20 октомври 2010 г. относно формалностите за даване на сведения за кораби, пристигащи във и/или напускащи пристанищата на държавите членки и за отмяна на Директива 2002/6/ЕО</w:t>
      </w:r>
    </w:p>
    <w:p>
      <w:pPr>
        <w:spacing w:after="0" w:line="360" w:lineRule="auto"/>
        <w:rPr>
          <w:rFonts w:ascii="Times New Roman" w:hAnsi="Times New Roman" w:cs="Times New Roman"/>
          <w:noProof/>
          <w:sz w:val="24"/>
          <w:szCs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Срокове: разпоредбите на Директива 2010/65/ЕС започват да се прилагат в срок от 5 години след влизане в сила на настоящото споразумение.</w:t>
      </w:r>
    </w:p>
    <w:p>
      <w:pPr>
        <w:spacing w:after="0" w:line="360" w:lineRule="auto"/>
        <w:rPr>
          <w:rFonts w:ascii="Times New Roman" w:hAnsi="Times New Roman" w:cs="Times New Roman"/>
          <w:noProof/>
          <w:sz w:val="24"/>
          <w:szCs w:val="24"/>
        </w:rPr>
      </w:pPr>
    </w:p>
    <w:p>
      <w:pP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Изисквания за техническа безопасност</w:t>
      </w:r>
    </w:p>
    <w:p>
      <w:pPr>
        <w:spacing w:after="0" w:line="360" w:lineRule="auto"/>
        <w:rPr>
          <w:rFonts w:ascii="Times New Roman" w:hAnsi="Times New Roman" w:cs="Times New Roman"/>
          <w:noProof/>
          <w:sz w:val="24"/>
          <w:szCs w:val="24"/>
        </w:rPr>
      </w:pPr>
    </w:p>
    <w:p>
      <w:pP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Регламент (ЕС) № 530/2012 на Европейския парламент и на Съвета от 13 юни 2012 г. относно ускореното въвеждане на изисквания за двукорпусни или еквивалентни конструкции за еднокорпусни нефтени танкери</w:t>
      </w:r>
    </w:p>
    <w:p>
      <w:pPr>
        <w:spacing w:after="0" w:line="360" w:lineRule="auto"/>
        <w:rPr>
          <w:rFonts w:ascii="Times New Roman" w:hAnsi="Times New Roman" w:cs="Times New Roman"/>
          <w:noProof/>
          <w:sz w:val="24"/>
          <w:szCs w:val="24"/>
          <w:highlight w:val="yellow"/>
        </w:rPr>
      </w:pPr>
      <w:bookmarkStart w:id="9" w:name="bookmark21"/>
    </w:p>
    <w:p>
      <w:pPr>
        <w:rPr>
          <w:rFonts w:ascii="Times New Roman" w:hAnsi="Times New Roman" w:cs="Times New Roman"/>
          <w:noProof/>
          <w:sz w:val="24"/>
          <w:szCs w:val="24"/>
          <w:highlight w:val="yellow"/>
        </w:rPr>
      </w:pPr>
      <w:r>
        <w:rPr>
          <w:rFonts w:ascii="Times New Roman" w:hAnsi="Times New Roman" w:cs="Times New Roman"/>
          <w:noProof/>
          <w:sz w:val="24"/>
          <w:szCs w:val="24"/>
        </w:rPr>
        <w:br w:type="page"/>
      </w: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Графикът за изваждане от експлоатация на еднокорпусни петролни танкери следва графика</w:t>
      </w:r>
      <w:bookmarkEnd w:id="9"/>
      <w:r>
        <w:rPr>
          <w:rFonts w:ascii="Times New Roman" w:hAnsi="Times New Roman" w:cs="Times New Roman"/>
          <w:noProof/>
          <w:sz w:val="24"/>
          <w:szCs w:val="24"/>
        </w:rPr>
        <w:t>, изложен в Конвенцията MARPOL</w:t>
      </w:r>
    </w:p>
    <w:p>
      <w:pPr>
        <w:spacing w:after="0" w:line="360" w:lineRule="auto"/>
        <w:rPr>
          <w:rFonts w:ascii="Times New Roman" w:hAnsi="Times New Roman" w:cs="Times New Roman"/>
          <w:noProof/>
          <w:sz w:val="24"/>
          <w:szCs w:val="24"/>
        </w:rPr>
      </w:pPr>
    </w:p>
    <w:p>
      <w:pP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Директива 2014/90/ЕС на Европейския парламент и на Съвета от 23 юли 2014 г.относно морското оборудване и за отмяна на Директива 96/98/ЕО на Съвета (от 18 септември 2016 г.)</w:t>
      </w:r>
    </w:p>
    <w:p>
      <w:pPr>
        <w:spacing w:after="0" w:line="360" w:lineRule="auto"/>
        <w:rPr>
          <w:rFonts w:ascii="Times New Roman" w:hAnsi="Times New Roman" w:cs="Times New Roman"/>
          <w:noProof/>
          <w:sz w:val="24"/>
          <w:szCs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Срокове: разпоредбите на Директива 2014/90/ЕС започват да се прилагат в срок от 5 години след влизане в сила на настоящото споразумение.</w:t>
      </w:r>
    </w:p>
    <w:p>
      <w:pPr>
        <w:spacing w:after="0" w:line="360" w:lineRule="auto"/>
        <w:rPr>
          <w:rFonts w:ascii="Times New Roman" w:hAnsi="Times New Roman" w:cs="Times New Roman"/>
          <w:noProof/>
          <w:sz w:val="24"/>
          <w:szCs w:val="24"/>
        </w:rPr>
      </w:pPr>
    </w:p>
    <w:p>
      <w:pP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Директива 2001/96/ЕО на Европейския парламент и на Съвета от 4 декември 2001 г. относно установяване на хармонизирани изисквания и процедури за безопасното товарене и разтоварване на кораби за насипни товари</w:t>
      </w:r>
    </w:p>
    <w:p>
      <w:pPr>
        <w:spacing w:after="0" w:line="360" w:lineRule="auto"/>
        <w:rPr>
          <w:rFonts w:ascii="Times New Roman" w:hAnsi="Times New Roman" w:cs="Times New Roman"/>
          <w:noProof/>
          <w:sz w:val="24"/>
          <w:szCs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Срокове: разпоредбите на Директива 2001/96/ЕО започват да се прилагат в срок от 5 години след влизане в сила на настоящото споразумение.</w:t>
      </w:r>
    </w:p>
    <w:p>
      <w:pPr>
        <w:spacing w:after="0" w:line="360" w:lineRule="auto"/>
        <w:rPr>
          <w:rFonts w:ascii="Times New Roman" w:hAnsi="Times New Roman" w:cs="Times New Roman"/>
          <w:noProof/>
          <w:sz w:val="24"/>
          <w:szCs w:val="24"/>
        </w:rPr>
      </w:pPr>
    </w:p>
    <w:p>
      <w:pP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 xml:space="preserve">Регламент (ЕО) № 2978/94 на Съвета от 21 ноември 1994 г. относно изпълнение на Резолюция А.747(18) на Международната морска организация (ММО) относно </w:t>
      </w:r>
      <w:r>
        <w:rPr>
          <w:rFonts w:ascii="Times New Roman" w:hAnsi="Times New Roman" w:cs="Times New Roman"/>
          <w:noProof/>
          <w:sz w:val="24"/>
          <w:szCs w:val="24"/>
        </w:rPr>
        <w:br/>
        <w:t>прилагането на тонажното измерване на танкове за изолиран баласт в петролни танкери, изменен</w:t>
      </w:r>
    </w:p>
    <w:p>
      <w:pPr>
        <w:spacing w:after="0" w:line="360" w:lineRule="auto"/>
        <w:rPr>
          <w:rFonts w:ascii="Times New Roman" w:hAnsi="Times New Roman" w:cs="Times New Roman"/>
          <w:noProof/>
          <w:sz w:val="24"/>
          <w:szCs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Срокове: разпоредбите на Регламент (ЕО) № 2978/94 започват да се прилагат в срок от 5 години след влизане в сила на настоящото споразумение.</w:t>
      </w:r>
    </w:p>
    <w:p>
      <w:pPr>
        <w:spacing w:after="0" w:line="360" w:lineRule="auto"/>
        <w:rPr>
          <w:rFonts w:ascii="Times New Roman" w:hAnsi="Times New Roman" w:cs="Times New Roman"/>
          <w:noProof/>
          <w:sz w:val="24"/>
          <w:szCs w:val="24"/>
        </w:rPr>
      </w:pPr>
    </w:p>
    <w:p>
      <w:pP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Директива 97/70/ЕО на Съвета от 11 декември 1997 г. относно установяване на хармонизиран режим на безопасност на риболовни кораби с дължина, равна или по-голяма от 24 метра, изменена</w:t>
      </w:r>
    </w:p>
    <w:p>
      <w:pPr>
        <w:spacing w:after="0" w:line="360" w:lineRule="auto"/>
        <w:rPr>
          <w:rFonts w:ascii="Times New Roman" w:hAnsi="Times New Roman" w:cs="Times New Roman"/>
          <w:noProof/>
          <w:sz w:val="24"/>
          <w:szCs w:val="24"/>
        </w:rPr>
      </w:pPr>
    </w:p>
    <w:p>
      <w:pPr>
        <w:rPr>
          <w:rFonts w:ascii="Times New Roman" w:hAnsi="Times New Roman" w:cs="Times New Roman"/>
          <w:noProof/>
          <w:sz w:val="24"/>
          <w:szCs w:val="24"/>
        </w:rPr>
      </w:pPr>
      <w:r>
        <w:rPr>
          <w:rFonts w:ascii="Times New Roman" w:hAnsi="Times New Roman" w:cs="Times New Roman"/>
          <w:noProof/>
          <w:sz w:val="24"/>
          <w:szCs w:val="24"/>
        </w:rPr>
        <w:br w:type="page"/>
      </w: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Срокове: разпоредбите на Директива 97/70/ЕО започват да се прилагат в срок от 5 години след влизане в сила на настоящото споразумение.</w:t>
      </w:r>
    </w:p>
    <w:p>
      <w:pPr>
        <w:spacing w:after="0" w:line="360" w:lineRule="auto"/>
        <w:rPr>
          <w:rFonts w:ascii="Times New Roman" w:hAnsi="Times New Roman" w:cs="Times New Roman"/>
          <w:noProof/>
          <w:sz w:val="24"/>
          <w:szCs w:val="24"/>
        </w:rPr>
      </w:pPr>
    </w:p>
    <w:p>
      <w:pP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Екипаж</w:t>
      </w:r>
    </w:p>
    <w:p>
      <w:pPr>
        <w:spacing w:after="0" w:line="360" w:lineRule="auto"/>
        <w:rPr>
          <w:rFonts w:ascii="Times New Roman" w:hAnsi="Times New Roman" w:cs="Times New Roman"/>
          <w:noProof/>
          <w:sz w:val="24"/>
          <w:szCs w:val="24"/>
        </w:rPr>
      </w:pPr>
    </w:p>
    <w:p>
      <w:pP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Директива 2008/106/ЕО на Европейския парламент и на Съвета от 19 ноември 2008 г. относно минималното ниво на обучение на морските лица, изменена</w:t>
      </w:r>
    </w:p>
    <w:p>
      <w:pPr>
        <w:spacing w:after="0" w:line="360" w:lineRule="auto"/>
        <w:rPr>
          <w:rFonts w:ascii="Times New Roman" w:hAnsi="Times New Roman" w:cs="Times New Roman"/>
          <w:noProof/>
          <w:sz w:val="24"/>
          <w:szCs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Срокове: разпоредбите на Директива 2008/106/ЕО започват да се прилагат в срок от 5 години след влизане в сила на настоящото споразумение.</w:t>
      </w:r>
    </w:p>
    <w:p>
      <w:pPr>
        <w:spacing w:after="0" w:line="360" w:lineRule="auto"/>
        <w:rPr>
          <w:rFonts w:ascii="Times New Roman" w:hAnsi="Times New Roman" w:cs="Times New Roman"/>
          <w:noProof/>
          <w:sz w:val="24"/>
          <w:szCs w:val="24"/>
        </w:rPr>
      </w:pPr>
    </w:p>
    <w:p>
      <w:pP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Директива 2005/45/ЕО на Европейския парламент и на Съвета от 7 септември 2005 г. относно взаимното признаване на свидетелства за морски лица, издадени от държавите членки, и за изменение на Директива 2001/25/ЕО</w:t>
      </w:r>
    </w:p>
    <w:p>
      <w:pPr>
        <w:spacing w:after="0" w:line="360" w:lineRule="auto"/>
        <w:rPr>
          <w:rFonts w:ascii="Times New Roman" w:hAnsi="Times New Roman" w:cs="Times New Roman"/>
          <w:noProof/>
          <w:sz w:val="24"/>
          <w:szCs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Срокове: разпоредбите на Директива 2005/45/ЕО започват да се прилагат в срок от 5 години след влизане в сила на настоящото споразумение.</w:t>
      </w:r>
    </w:p>
    <w:p>
      <w:pPr>
        <w:spacing w:after="0" w:line="360" w:lineRule="auto"/>
        <w:rPr>
          <w:rFonts w:ascii="Times New Roman" w:hAnsi="Times New Roman" w:cs="Times New Roman"/>
          <w:noProof/>
          <w:sz w:val="24"/>
          <w:szCs w:val="24"/>
        </w:rPr>
      </w:pPr>
    </w:p>
    <w:p>
      <w:pP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Директива 79/115/ЕИО на Съвета от 21 декември 1978 г. относно пилотаж на кораби от дълбоководни пилоти в Северно море и Ламанша</w:t>
      </w:r>
    </w:p>
    <w:p>
      <w:pPr>
        <w:spacing w:after="0" w:line="360" w:lineRule="auto"/>
        <w:rPr>
          <w:rFonts w:ascii="Times New Roman" w:hAnsi="Times New Roman" w:cs="Times New Roman"/>
          <w:noProof/>
          <w:sz w:val="24"/>
          <w:szCs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Срокове: разпоредбите на Директива 79/115/ЕС започват да се прилагат в срок от 5 години след влизане в сила на настоящото споразумение.</w:t>
      </w:r>
    </w:p>
    <w:p>
      <w:pPr>
        <w:spacing w:after="0" w:line="360" w:lineRule="auto"/>
        <w:rPr>
          <w:rFonts w:ascii="Times New Roman" w:hAnsi="Times New Roman" w:cs="Times New Roman"/>
          <w:noProof/>
          <w:sz w:val="24"/>
          <w:szCs w:val="24"/>
        </w:rPr>
      </w:pPr>
    </w:p>
    <w:p>
      <w:pPr>
        <w:rPr>
          <w:rFonts w:ascii="Times New Roman" w:hAnsi="Times New Roman" w:cs="Times New Roman"/>
          <w:noProof/>
          <w:sz w:val="24"/>
          <w:szCs w:val="24"/>
        </w:rPr>
      </w:pPr>
      <w:r>
        <w:rPr>
          <w:rFonts w:ascii="Times New Roman" w:hAnsi="Times New Roman" w:cs="Times New Roman"/>
          <w:noProof/>
          <w:sz w:val="24"/>
          <w:szCs w:val="24"/>
        </w:rPr>
        <w:br w:type="page"/>
      </w:r>
    </w:p>
    <w:p>
      <w:pP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Околна среда</w:t>
      </w:r>
    </w:p>
    <w:p>
      <w:pPr>
        <w:spacing w:after="0" w:line="360" w:lineRule="auto"/>
        <w:rPr>
          <w:rFonts w:ascii="Times New Roman" w:hAnsi="Times New Roman" w:cs="Times New Roman"/>
          <w:noProof/>
          <w:sz w:val="24"/>
          <w:szCs w:val="24"/>
        </w:rPr>
      </w:pPr>
    </w:p>
    <w:p>
      <w:pP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Регламент (ЕО) № 782/2003 на Европейския парламент и на Съвета от 14 април 2003 г. относно забраната за използване на органотични съединения на корабите</w:t>
      </w:r>
    </w:p>
    <w:p>
      <w:pPr>
        <w:spacing w:after="0" w:line="360" w:lineRule="auto"/>
        <w:rPr>
          <w:rFonts w:ascii="Times New Roman" w:hAnsi="Times New Roman" w:cs="Times New Roman"/>
          <w:noProof/>
          <w:sz w:val="24"/>
          <w:szCs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Срокове: разпоредбите на Регламент (ЕО) № 782/2003 започват да се прилагат в срок от 5 години след влизане в сила на настоящото споразумение.</w:t>
      </w:r>
    </w:p>
    <w:p>
      <w:pPr>
        <w:spacing w:after="0" w:line="360" w:lineRule="auto"/>
        <w:rPr>
          <w:rFonts w:ascii="Times New Roman" w:hAnsi="Times New Roman" w:cs="Times New Roman"/>
          <w:noProof/>
          <w:sz w:val="24"/>
          <w:szCs w:val="24"/>
        </w:rPr>
      </w:pPr>
    </w:p>
    <w:p>
      <w:pP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Регламент (ЕО) № 536/2008 на Комисията от 13 юни 2008 г. за привеждане в действие на член 6, параграф 3 и член 7 от Регламент (ЕО) № 782/2003 на Европейския парламент и на Съвета относно забраната за използване на органотични съединения на корабите и за изменение на посочения регламент</w:t>
      </w:r>
    </w:p>
    <w:p>
      <w:pPr>
        <w:spacing w:after="0" w:line="360" w:lineRule="auto"/>
        <w:rPr>
          <w:rFonts w:ascii="Times New Roman" w:hAnsi="Times New Roman" w:cs="Times New Roman"/>
          <w:noProof/>
          <w:sz w:val="24"/>
          <w:szCs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Срокове: разпоредбите на Регламент (ЕО) № 536/2008 започват да се прилагат в срок от 5 години след влизане в сила на настоящото споразумение.</w:t>
      </w:r>
    </w:p>
    <w:p>
      <w:pPr>
        <w:spacing w:after="0" w:line="360" w:lineRule="auto"/>
        <w:rPr>
          <w:rFonts w:ascii="Times New Roman" w:hAnsi="Times New Roman" w:cs="Times New Roman"/>
          <w:noProof/>
          <w:sz w:val="24"/>
          <w:szCs w:val="24"/>
        </w:rPr>
      </w:pPr>
    </w:p>
    <w:p>
      <w:pP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Директива 2000/59/ЕО на Европейския парламент и на Съвета от 27 ноември 2000 г. относно пристанищните приемни съоръжения за отпадъци от експлоатацията на корабите и на остатъци от товари, изменена</w:t>
      </w:r>
    </w:p>
    <w:p>
      <w:pPr>
        <w:spacing w:after="0" w:line="360" w:lineRule="auto"/>
        <w:rPr>
          <w:rFonts w:ascii="Times New Roman" w:hAnsi="Times New Roman" w:cs="Times New Roman"/>
          <w:noProof/>
          <w:sz w:val="24"/>
          <w:szCs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Срокове: разпоредбите на Директива 2000/59/ЕО започват да се прилагат в срок от 5 години след влизане в сила на настоящото споразумение.</w:t>
      </w:r>
    </w:p>
    <w:p>
      <w:pPr>
        <w:spacing w:after="0" w:line="360" w:lineRule="auto"/>
        <w:rPr>
          <w:rFonts w:ascii="Times New Roman" w:hAnsi="Times New Roman" w:cs="Times New Roman"/>
          <w:noProof/>
          <w:sz w:val="24"/>
          <w:szCs w:val="24"/>
        </w:rPr>
      </w:pPr>
    </w:p>
    <w:p>
      <w:pP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Директива 2005/35/ЕО на Европейския парламент и на Съвета от 7 септември 2005 г. относно замърсяването от кораби и относно въвеждането на санкции, включително наказателноправни санкции, за нарушения, свързани със замърсяване</w:t>
      </w:r>
    </w:p>
    <w:p>
      <w:pPr>
        <w:spacing w:after="0" w:line="360" w:lineRule="auto"/>
        <w:rPr>
          <w:rFonts w:ascii="Times New Roman" w:hAnsi="Times New Roman" w:cs="Times New Roman"/>
          <w:noProof/>
          <w:sz w:val="24"/>
          <w:szCs w:val="24"/>
        </w:rPr>
      </w:pPr>
    </w:p>
    <w:p>
      <w:pPr>
        <w:rPr>
          <w:rFonts w:ascii="Times New Roman" w:hAnsi="Times New Roman" w:cs="Times New Roman"/>
          <w:noProof/>
          <w:sz w:val="24"/>
          <w:szCs w:val="24"/>
          <w:highlight w:val="yellow"/>
        </w:rPr>
      </w:pPr>
      <w:r>
        <w:rPr>
          <w:rFonts w:ascii="Times New Roman" w:hAnsi="Times New Roman" w:cs="Times New Roman"/>
          <w:noProof/>
          <w:sz w:val="24"/>
          <w:szCs w:val="24"/>
        </w:rPr>
        <w:br w:type="page"/>
      </w: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Срокове: разпоредбите на Директива 2005/35/ЕО започват да се прилагат в срок от 5 години след влизане в сила на настоящото споразумение.</w:t>
      </w:r>
    </w:p>
    <w:p>
      <w:pPr>
        <w:spacing w:after="0" w:line="360" w:lineRule="auto"/>
        <w:rPr>
          <w:rFonts w:ascii="Times New Roman" w:hAnsi="Times New Roman" w:cs="Times New Roman"/>
          <w:noProof/>
          <w:sz w:val="24"/>
          <w:szCs w:val="24"/>
        </w:rPr>
      </w:pPr>
    </w:p>
    <w:p>
      <w:pP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Регламент (ЕС) № 911/2014 на Европейския парламент и на Съвета от 23 юли 2014 г. относно многогодишното финансиране на дейността на Европейската агенция за морска безопасност в областта на реагирането на замърсяване на морето, причинено от кораби и от нефтени и газови инсталации</w:t>
      </w:r>
    </w:p>
    <w:p>
      <w:pPr>
        <w:spacing w:after="0" w:line="360" w:lineRule="auto"/>
        <w:rPr>
          <w:rFonts w:ascii="Times New Roman" w:hAnsi="Times New Roman" w:cs="Times New Roman"/>
          <w:noProof/>
          <w:sz w:val="24"/>
          <w:szCs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Срокове: разпоредбите на Регламент (ЕС) № 911/2014 започват да се прилагат в срок от 5 години след влизане в сила на настоящото споразумение.</w:t>
      </w:r>
    </w:p>
    <w:p>
      <w:pPr>
        <w:spacing w:after="0" w:line="360" w:lineRule="auto"/>
        <w:rPr>
          <w:rFonts w:ascii="Times New Roman" w:hAnsi="Times New Roman" w:cs="Times New Roman"/>
          <w:noProof/>
          <w:sz w:val="24"/>
          <w:szCs w:val="24"/>
        </w:rPr>
      </w:pPr>
    </w:p>
    <w:p>
      <w:pP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Директива 1999/32/ЕО на Съвета от 26 април 1999 г. относно намаляването на съдържанието на сяра в определени течни горива и за изменение на Директива 93/12/ЕИО</w:t>
      </w:r>
    </w:p>
    <w:p>
      <w:pPr>
        <w:spacing w:after="0" w:line="360" w:lineRule="auto"/>
        <w:rPr>
          <w:rFonts w:ascii="Times New Roman" w:hAnsi="Times New Roman" w:cs="Times New Roman"/>
          <w:noProof/>
          <w:sz w:val="24"/>
          <w:szCs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Срокове: разпоредбите на Директива 1999/32/ЕО започват да се прилагат в срок от 5 години след влизане в сила на настоящото споразумение.</w:t>
      </w:r>
    </w:p>
    <w:p>
      <w:pPr>
        <w:spacing w:after="0" w:line="360" w:lineRule="auto"/>
        <w:rPr>
          <w:rFonts w:ascii="Times New Roman" w:hAnsi="Times New Roman" w:cs="Times New Roman"/>
          <w:noProof/>
          <w:sz w:val="24"/>
          <w:szCs w:val="24"/>
        </w:rPr>
      </w:pPr>
    </w:p>
    <w:p>
      <w:pP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Регламент (ЕС) 2015/757 на Европейския парламент и на Съвета от 29 април 2015 г. относно мониторинга, докладването и проверката на емисиите на въглероден диоксид от морския транспорт и за изменение на Директива 2009/16/ЕО</w:t>
      </w:r>
    </w:p>
    <w:p>
      <w:pPr>
        <w:spacing w:after="0" w:line="360" w:lineRule="auto"/>
        <w:rPr>
          <w:rFonts w:ascii="Times New Roman" w:hAnsi="Times New Roman" w:cs="Times New Roman"/>
          <w:noProof/>
          <w:sz w:val="24"/>
          <w:szCs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Срокове: разпоредбите на Регламент (ЕС) 2015/757 започват да се прилагат в срок от 5 години след влизане в сила на настоящото споразумение.</w:t>
      </w:r>
    </w:p>
    <w:p>
      <w:pPr>
        <w:spacing w:after="0" w:line="360" w:lineRule="auto"/>
        <w:rPr>
          <w:rFonts w:ascii="Times New Roman" w:hAnsi="Times New Roman" w:cs="Times New Roman"/>
          <w:noProof/>
          <w:sz w:val="24"/>
          <w:szCs w:val="24"/>
        </w:rPr>
      </w:pPr>
    </w:p>
    <w:p>
      <w:pPr>
        <w:rPr>
          <w:rFonts w:ascii="Times New Roman" w:hAnsi="Times New Roman" w:cs="Times New Roman"/>
          <w:noProof/>
          <w:sz w:val="24"/>
          <w:szCs w:val="24"/>
        </w:rPr>
      </w:pPr>
      <w:r>
        <w:rPr>
          <w:rFonts w:ascii="Times New Roman" w:hAnsi="Times New Roman" w:cs="Times New Roman"/>
          <w:noProof/>
          <w:sz w:val="24"/>
          <w:szCs w:val="24"/>
        </w:rPr>
        <w:br w:type="page"/>
      </w:r>
    </w:p>
    <w:p>
      <w:pP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Регламент (ЕС) 1257/2013 на Европейския парламент и на Съвета от 20 ноември 2013 г. относно рециклирането на кораби и за изменение на Регламент (ЕО) № 1013/2006 и Директива 2009/16/ЕО</w:t>
      </w:r>
    </w:p>
    <w:p>
      <w:pPr>
        <w:spacing w:after="0" w:line="360" w:lineRule="auto"/>
        <w:rPr>
          <w:rFonts w:ascii="Times New Roman" w:hAnsi="Times New Roman" w:cs="Times New Roman"/>
          <w:noProof/>
          <w:sz w:val="24"/>
          <w:szCs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Срокове: разпоредбите на Регламент (ЕС) № 1257/2013 започват да се прилагат в срок от 5 години след влизане в сила на настоящото споразумение.</w:t>
      </w:r>
    </w:p>
    <w:p>
      <w:pPr>
        <w:spacing w:after="0" w:line="360" w:lineRule="auto"/>
        <w:rPr>
          <w:rFonts w:ascii="Times New Roman" w:hAnsi="Times New Roman" w:cs="Times New Roman"/>
          <w:noProof/>
          <w:sz w:val="24"/>
          <w:szCs w:val="24"/>
        </w:rPr>
      </w:pPr>
    </w:p>
    <w:p>
      <w:pP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Европейска агенция за морска безопасност и Комитет по морската безопасност и предотвратяването на замърсяването от кораби</w:t>
      </w:r>
    </w:p>
    <w:p>
      <w:pPr>
        <w:spacing w:after="0" w:line="360" w:lineRule="auto"/>
        <w:rPr>
          <w:rFonts w:ascii="Times New Roman" w:hAnsi="Times New Roman" w:cs="Times New Roman"/>
          <w:noProof/>
          <w:sz w:val="24"/>
          <w:szCs w:val="24"/>
        </w:rPr>
      </w:pPr>
    </w:p>
    <w:p>
      <w:pP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Регламент (ЕС) 2016/1625 на Европейския парламент и на Съвета от 14 септември 2016 г. за изменение на Регламент (ЕО) № 1406/2002 за създаване на Европейска агенция за морска безопасност, изменен</w:t>
      </w:r>
    </w:p>
    <w:p>
      <w:pPr>
        <w:spacing w:after="0" w:line="360" w:lineRule="auto"/>
        <w:rPr>
          <w:rFonts w:ascii="Times New Roman" w:hAnsi="Times New Roman" w:cs="Times New Roman"/>
          <w:noProof/>
          <w:sz w:val="24"/>
          <w:szCs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Срокове: разпоредбите на Регламент (ЕС) 2016/1625 започват да се прилагат в срок от 5 години след влизане в сила на настоящото споразумение.</w:t>
      </w:r>
    </w:p>
    <w:p>
      <w:pPr>
        <w:spacing w:after="0" w:line="360" w:lineRule="auto"/>
        <w:rPr>
          <w:rFonts w:ascii="Times New Roman" w:hAnsi="Times New Roman" w:cs="Times New Roman"/>
          <w:noProof/>
          <w:sz w:val="24"/>
          <w:szCs w:val="24"/>
        </w:rPr>
      </w:pPr>
    </w:p>
    <w:p>
      <w:pP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 xml:space="preserve">Регламент (ЕО) № 2099/2002 на Европейския Парламент и на Съвета от 5 ноември 2002 г. за създаване на Комитет по морската безопасност и предотвратяването на замърсяването от кораби (КМБПЗК) и за изменение на регламентите относно безопасността на морския транспорт и предотвратяването на замърсяването от кораби, изменен </w:t>
      </w:r>
    </w:p>
    <w:p>
      <w:pPr>
        <w:spacing w:after="0" w:line="360" w:lineRule="auto"/>
        <w:rPr>
          <w:rFonts w:ascii="Times New Roman" w:hAnsi="Times New Roman" w:cs="Times New Roman"/>
          <w:noProof/>
          <w:sz w:val="24"/>
          <w:szCs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Срокове: разпоредбите на Регламент (ЕО) № 2099/2002 започват да се прилагат в срок от 5 години след влизане в сила на настоящото споразумение.</w:t>
      </w:r>
    </w:p>
    <w:p>
      <w:pPr>
        <w:spacing w:after="0" w:line="360" w:lineRule="auto"/>
        <w:rPr>
          <w:rFonts w:ascii="Times New Roman" w:hAnsi="Times New Roman" w:cs="Times New Roman"/>
          <w:noProof/>
          <w:sz w:val="24"/>
          <w:szCs w:val="24"/>
        </w:rPr>
      </w:pPr>
    </w:p>
    <w:p>
      <w:pPr>
        <w:rPr>
          <w:rFonts w:ascii="Times New Roman" w:hAnsi="Times New Roman" w:cs="Times New Roman"/>
          <w:noProof/>
          <w:sz w:val="24"/>
          <w:szCs w:val="24"/>
        </w:rPr>
      </w:pPr>
      <w:r>
        <w:rPr>
          <w:rFonts w:ascii="Times New Roman" w:hAnsi="Times New Roman" w:cs="Times New Roman"/>
          <w:noProof/>
          <w:sz w:val="24"/>
          <w:szCs w:val="24"/>
        </w:rPr>
        <w:br w:type="page"/>
      </w:r>
    </w:p>
    <w:p>
      <w:pP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Социални условия</w:t>
      </w:r>
    </w:p>
    <w:p>
      <w:pPr>
        <w:spacing w:after="0" w:line="360" w:lineRule="auto"/>
        <w:rPr>
          <w:rFonts w:ascii="Times New Roman" w:hAnsi="Times New Roman" w:cs="Times New Roman"/>
          <w:noProof/>
          <w:sz w:val="24"/>
          <w:szCs w:val="24"/>
        </w:rPr>
      </w:pPr>
    </w:p>
    <w:p>
      <w:pP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Директива 92/29/ЕИО на Съвета от 31 март 1992 г. относно минималните изисквания за безопасност и здраве за подобряване на медицинското обслужване на борда на плавателните съдове</w:t>
      </w:r>
    </w:p>
    <w:p>
      <w:pPr>
        <w:spacing w:after="0" w:line="360" w:lineRule="auto"/>
        <w:rPr>
          <w:rFonts w:ascii="Times New Roman" w:hAnsi="Times New Roman" w:cs="Times New Roman"/>
          <w:noProof/>
          <w:sz w:val="24"/>
          <w:szCs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Срокове: разпоредбите на Директива 92/29/ЕС започват да се прилагат в срок от 5 години след влизане в сила на настоящото споразумение.</w:t>
      </w:r>
    </w:p>
    <w:p>
      <w:pPr>
        <w:spacing w:after="0" w:line="360" w:lineRule="auto"/>
        <w:rPr>
          <w:rFonts w:ascii="Times New Roman" w:hAnsi="Times New Roman" w:cs="Times New Roman"/>
          <w:noProof/>
          <w:sz w:val="24"/>
          <w:szCs w:val="24"/>
        </w:rPr>
      </w:pPr>
    </w:p>
    <w:p>
      <w:pP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Директива 1999/63/ЕО на Съвета от 21 юни 1999 г. относно Споразумението за организацията на работното време на морските лица, сключено между Асоциацията на корабособствениците от Европейската общност (ECSA) и Федерацията на синдикатите на транспортните работници в Европейския съюз (FST) — Приложение: Европейско споразумение за организацията на работното време на морските лица</w:t>
      </w:r>
    </w:p>
    <w:p>
      <w:pPr>
        <w:spacing w:after="0" w:line="360" w:lineRule="auto"/>
        <w:rPr>
          <w:rFonts w:ascii="Times New Roman" w:hAnsi="Times New Roman" w:cs="Times New Roman"/>
          <w:noProof/>
          <w:sz w:val="24"/>
          <w:szCs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Срокове: разпоредбите на Директива 1999/63/ЕО започват да се прилагат в срок от 5 години след влизане в сила на настоящото споразумение.</w:t>
      </w:r>
    </w:p>
    <w:p>
      <w:pPr>
        <w:spacing w:after="0" w:line="360" w:lineRule="auto"/>
        <w:rPr>
          <w:rFonts w:ascii="Times New Roman" w:hAnsi="Times New Roman" w:cs="Times New Roman"/>
          <w:noProof/>
          <w:sz w:val="24"/>
          <w:szCs w:val="24"/>
        </w:rPr>
      </w:pPr>
    </w:p>
    <w:p>
      <w:pP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Директива 1999/95/ЕО на Европейския парламент и на Съвета от 13 декември 1999 г. относно изпълнението на разпоредбите по отношение на работното време на моряците на борда на кораби, които посещават пристанища на Общността</w:t>
      </w:r>
    </w:p>
    <w:p>
      <w:pPr>
        <w:spacing w:after="0" w:line="360" w:lineRule="auto"/>
        <w:rPr>
          <w:rFonts w:ascii="Times New Roman" w:hAnsi="Times New Roman" w:cs="Times New Roman"/>
          <w:noProof/>
          <w:sz w:val="24"/>
          <w:szCs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Срокове: разпоредбите на Директива 1999/95/ЕО започват да се прилагат в срок от 5 години след влизане в сила на настоящото споразумение.</w:t>
      </w:r>
    </w:p>
    <w:p>
      <w:pPr>
        <w:spacing w:after="0" w:line="360" w:lineRule="auto"/>
        <w:rPr>
          <w:rFonts w:ascii="Times New Roman" w:hAnsi="Times New Roman" w:cs="Times New Roman"/>
          <w:noProof/>
          <w:sz w:val="24"/>
          <w:szCs w:val="24"/>
        </w:rPr>
      </w:pPr>
    </w:p>
    <w:p>
      <w:pPr>
        <w:spacing w:after="0" w:line="360" w:lineRule="auto"/>
        <w:rPr>
          <w:rFonts w:ascii="Times New Roman" w:hAnsi="Times New Roman" w:cs="Times New Roman"/>
          <w:noProof/>
          <w:sz w:val="24"/>
          <w:szCs w:val="24"/>
        </w:rPr>
      </w:pPr>
    </w:p>
    <w:p>
      <w:pPr>
        <w:spacing w:after="0" w:line="360" w:lineRule="auto"/>
        <w:jc w:val="center"/>
        <w:rPr>
          <w:rFonts w:ascii="Times New Roman" w:hAnsi="Times New Roman" w:cs="Times New Roman"/>
          <w:noProof/>
          <w:sz w:val="24"/>
          <w:szCs w:val="24"/>
        </w:rPr>
      </w:pPr>
      <w:r>
        <w:rPr>
          <w:rFonts w:ascii="Times New Roman" w:hAnsi="Times New Roman" w:cs="Times New Roman"/>
          <w:noProof/>
          <w:sz w:val="24"/>
          <w:szCs w:val="24"/>
        </w:rPr>
        <w:t>________________</w:t>
      </w:r>
    </w:p>
    <w:p>
      <w:pPr>
        <w:spacing w:after="0" w:line="360" w:lineRule="auto"/>
        <w:rPr>
          <w:rFonts w:ascii="Times New Roman" w:hAnsi="Times New Roman" w:cs="Times New Roman"/>
          <w:noProof/>
          <w:sz w:val="24"/>
          <w:szCs w:val="24"/>
        </w:rPr>
      </w:pPr>
    </w:p>
    <w:p>
      <w:pPr>
        <w:widowControl w:val="0"/>
        <w:spacing w:after="167" w:line="269" w:lineRule="exact"/>
        <w:ind w:left="240"/>
        <w:rPr>
          <w:rFonts w:ascii="Times New Roman" w:hAnsi="Times New Roman" w:cs="Times New Roman"/>
          <w:bCs/>
          <w:noProof/>
          <w:color w:val="000000"/>
          <w:sz w:val="24"/>
          <w:szCs w:val="24"/>
          <w:shd w:val="clear" w:color="auto" w:fill="FFFFFF"/>
        </w:rPr>
        <w:sectPr>
          <w:headerReference w:type="even" r:id="rId22"/>
          <w:headerReference w:type="default" r:id="rId23"/>
          <w:footerReference w:type="even" r:id="rId24"/>
          <w:footerReference w:type="default" r:id="rId25"/>
          <w:headerReference w:type="first" r:id="rId26"/>
          <w:footerReference w:type="first" r:id="rId27"/>
          <w:pgSz w:w="11909" w:h="16834" w:code="9"/>
          <w:pgMar w:top="1134" w:right="1134" w:bottom="1134" w:left="1134" w:header="1134" w:footer="1134" w:gutter="0"/>
          <w:pgNumType w:start="1"/>
          <w:cols w:space="720"/>
          <w:noEndnote/>
          <w:docGrid w:linePitch="360"/>
        </w:sectPr>
      </w:pPr>
    </w:p>
    <w:p>
      <w:pPr>
        <w:spacing w:after="0" w:line="360" w:lineRule="auto"/>
        <w:jc w:val="right"/>
        <w:rPr>
          <w:rFonts w:ascii="Times New Roman" w:hAnsi="Times New Roman" w:cs="Times New Roman"/>
          <w:b/>
          <w:bCs/>
          <w:noProof/>
          <w:sz w:val="24"/>
          <w:szCs w:val="24"/>
          <w:u w:val="single"/>
        </w:rPr>
      </w:pPr>
      <w:r>
        <w:rPr>
          <w:rFonts w:ascii="Times New Roman" w:hAnsi="Times New Roman" w:cs="Times New Roman"/>
          <w:b/>
          <w:noProof/>
          <w:sz w:val="24"/>
          <w:szCs w:val="24"/>
          <w:u w:val="single"/>
        </w:rPr>
        <w:t>ПРИЛОЖЕНИЕ II</w:t>
      </w:r>
    </w:p>
    <w:p>
      <w:pPr>
        <w:spacing w:after="0" w:line="360" w:lineRule="auto"/>
        <w:rPr>
          <w:rFonts w:ascii="Times New Roman" w:hAnsi="Times New Roman" w:cs="Times New Roman"/>
          <w:noProof/>
          <w:sz w:val="24"/>
          <w:szCs w:val="24"/>
        </w:rPr>
      </w:pPr>
    </w:p>
    <w:p>
      <w:pPr>
        <w:spacing w:after="0" w:line="360" w:lineRule="auto"/>
        <w:rPr>
          <w:rFonts w:ascii="Times New Roman" w:hAnsi="Times New Roman" w:cs="Times New Roman"/>
          <w:noProof/>
          <w:sz w:val="24"/>
          <w:szCs w:val="24"/>
        </w:rPr>
      </w:pPr>
    </w:p>
    <w:p>
      <w:pPr>
        <w:spacing w:after="0" w:line="360" w:lineRule="auto"/>
        <w:jc w:val="center"/>
        <w:rPr>
          <w:rFonts w:ascii="Times New Roman" w:hAnsi="Times New Roman" w:cs="Times New Roman"/>
          <w:noProof/>
          <w:sz w:val="24"/>
          <w:szCs w:val="24"/>
        </w:rPr>
      </w:pPr>
      <w:r>
        <w:rPr>
          <w:rFonts w:ascii="Times New Roman" w:hAnsi="Times New Roman" w:cs="Times New Roman"/>
          <w:noProof/>
          <w:sz w:val="24"/>
          <w:szCs w:val="24"/>
        </w:rPr>
        <w:t>към ГЛАВА 2: ЕНЕРГЕТИКА на ДЯЛ V ДРУГИ ПОЛИТИКИ ЗА СЪТРУДНИЧЕСТВО</w:t>
      </w:r>
    </w:p>
    <w:p>
      <w:pPr>
        <w:spacing w:after="0" w:line="360" w:lineRule="auto"/>
        <w:rPr>
          <w:rFonts w:ascii="Times New Roman" w:hAnsi="Times New Roman" w:cs="Times New Roman"/>
          <w:noProof/>
          <w:sz w:val="24"/>
          <w:szCs w:val="24"/>
        </w:rPr>
      </w:pPr>
    </w:p>
    <w:p>
      <w:pP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Република Армения поема ангажимента за постепенно сближаване на своето законодателство със законодателството на Европейския съюз в посочените срокове.</w:t>
      </w:r>
    </w:p>
    <w:p>
      <w:pPr>
        <w:spacing w:after="0" w:line="360" w:lineRule="auto"/>
        <w:rPr>
          <w:rFonts w:ascii="Times New Roman" w:hAnsi="Times New Roman" w:cs="Times New Roman"/>
          <w:noProof/>
          <w:sz w:val="24"/>
          <w:szCs w:val="24"/>
        </w:rPr>
      </w:pPr>
    </w:p>
    <w:p>
      <w:pP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Електроенергия</w:t>
      </w:r>
    </w:p>
    <w:p>
      <w:pPr>
        <w:spacing w:after="0" w:line="360" w:lineRule="auto"/>
        <w:rPr>
          <w:rFonts w:ascii="Times New Roman" w:hAnsi="Times New Roman" w:cs="Times New Roman"/>
          <w:noProof/>
          <w:sz w:val="24"/>
          <w:szCs w:val="24"/>
        </w:rPr>
      </w:pPr>
    </w:p>
    <w:p>
      <w:pP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Директива 2009/72/ЕО на Европейския парламент и на Съвета от 13 юли 2009 г. относно общите правила за вътрешния пазар на електроенергия и за отмяна на Директива 2003/54/ЕО</w:t>
      </w:r>
    </w:p>
    <w:p>
      <w:pPr>
        <w:spacing w:after="0" w:line="360" w:lineRule="auto"/>
        <w:rPr>
          <w:rFonts w:ascii="Times New Roman" w:hAnsi="Times New Roman" w:cs="Times New Roman"/>
          <w:noProof/>
          <w:sz w:val="24"/>
          <w:szCs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Срокове: разпоредбите на Директива 2009/72/ЕО започват да се прилагат в срок от 8 години след влизане в сила на настоящото споразумение.</w:t>
      </w: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noProof/>
          <w:sz w:val="24"/>
          <w:szCs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 xml:space="preserve">В случая обаче на членове 3, 6, 13, 15, 33 и 38 Съветът по партньорство ще определи своевременно конкретен срок за прилагане. </w:t>
      </w:r>
    </w:p>
    <w:p>
      <w:pPr>
        <w:spacing w:after="0" w:line="360" w:lineRule="auto"/>
        <w:rPr>
          <w:rFonts w:ascii="Times New Roman" w:hAnsi="Times New Roman" w:cs="Times New Roman"/>
          <w:noProof/>
          <w:sz w:val="24"/>
          <w:szCs w:val="24"/>
        </w:rPr>
      </w:pPr>
    </w:p>
    <w:p>
      <w:pP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Регламент (ЕО) № 714/2009 на Европейския парламент и на Съвета от 13 юли 2009 г. относно условията за достъп до мрежата за трансграничен обмен на електроенергия и за отмяна на Регламент (ЕО) № 1228/2003</w:t>
      </w:r>
    </w:p>
    <w:p>
      <w:pPr>
        <w:spacing w:after="0" w:line="360" w:lineRule="auto"/>
        <w:rPr>
          <w:rFonts w:ascii="Times New Roman" w:hAnsi="Times New Roman" w:cs="Times New Roman"/>
          <w:noProof/>
          <w:sz w:val="24"/>
          <w:szCs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Съветът по партньорство ще определи своевременно конкретен срок за прилагането на Регламент (ЕО) № 714/2009.</w:t>
      </w:r>
    </w:p>
    <w:p>
      <w:pPr>
        <w:spacing w:after="0" w:line="360" w:lineRule="auto"/>
        <w:rPr>
          <w:rFonts w:ascii="Times New Roman" w:hAnsi="Times New Roman" w:cs="Times New Roman"/>
          <w:noProof/>
          <w:sz w:val="24"/>
          <w:szCs w:val="24"/>
        </w:rPr>
      </w:pPr>
    </w:p>
    <w:p>
      <w:pP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Директива 2005/89/ЕО на Европейския парламент и на Съвета от 18 януари 2006 г. относно мерки за гарантиране сигурност на доставките на електрическа енергия и инфраструктурните инвестиции</w:t>
      </w:r>
    </w:p>
    <w:p>
      <w:pPr>
        <w:spacing w:after="0" w:line="360" w:lineRule="auto"/>
        <w:rPr>
          <w:rFonts w:ascii="Times New Roman" w:hAnsi="Times New Roman" w:cs="Times New Roman"/>
          <w:noProof/>
          <w:sz w:val="24"/>
          <w:szCs w:val="24"/>
        </w:rPr>
      </w:pPr>
    </w:p>
    <w:p>
      <w:pPr>
        <w:rPr>
          <w:rFonts w:ascii="Times New Roman" w:hAnsi="Times New Roman" w:cs="Times New Roman"/>
          <w:noProof/>
          <w:sz w:val="24"/>
          <w:szCs w:val="24"/>
          <w:highlight w:val="yellow"/>
        </w:rPr>
      </w:pPr>
      <w:r>
        <w:rPr>
          <w:rFonts w:ascii="Times New Roman" w:hAnsi="Times New Roman" w:cs="Times New Roman"/>
          <w:noProof/>
          <w:sz w:val="24"/>
          <w:szCs w:val="24"/>
        </w:rPr>
        <w:br w:type="page"/>
      </w: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Срокове: разпоредбите на Директива 2005/89/ЕО започват да се прилагат в срок от 6 години след влизане в сила на настоящото споразумение.</w:t>
      </w:r>
    </w:p>
    <w:p>
      <w:pPr>
        <w:spacing w:after="0" w:line="360" w:lineRule="auto"/>
        <w:rPr>
          <w:rFonts w:ascii="Times New Roman" w:hAnsi="Times New Roman" w:cs="Times New Roman"/>
          <w:noProof/>
          <w:sz w:val="24"/>
          <w:szCs w:val="24"/>
        </w:rPr>
      </w:pPr>
    </w:p>
    <w:p>
      <w:pP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Петрол</w:t>
      </w:r>
    </w:p>
    <w:p>
      <w:pPr>
        <w:spacing w:after="0" w:line="360" w:lineRule="auto"/>
        <w:rPr>
          <w:rFonts w:ascii="Times New Roman" w:hAnsi="Times New Roman" w:cs="Times New Roman"/>
          <w:noProof/>
          <w:sz w:val="24"/>
          <w:szCs w:val="24"/>
        </w:rPr>
      </w:pPr>
    </w:p>
    <w:p>
      <w:pP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 xml:space="preserve">Директива 2009/119/ЕО от 14 септември 2009 г. </w:t>
      </w:r>
      <w:r>
        <w:rPr>
          <w:rFonts w:ascii="Times New Roman" w:hAnsi="Times New Roman" w:cs="Times New Roman"/>
          <w:noProof/>
          <w:sz w:val="24"/>
          <w:szCs w:val="24"/>
        </w:rPr>
        <w:br/>
        <w:t>за налагане на задължение на държавите членки да поддържат минимални запаси от суров нефт и/или нефтопродукти</w:t>
      </w:r>
    </w:p>
    <w:p>
      <w:pPr>
        <w:spacing w:after="0" w:line="360" w:lineRule="auto"/>
        <w:rPr>
          <w:rFonts w:ascii="Times New Roman" w:hAnsi="Times New Roman" w:cs="Times New Roman"/>
          <w:noProof/>
          <w:sz w:val="24"/>
          <w:szCs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Срокове: разпоредбите на Директива 2009/119/ЕО започват да се прилагат в срок от 5 години след влизане в сила на настоящото споразумение.</w:t>
      </w:r>
    </w:p>
    <w:p>
      <w:pPr>
        <w:spacing w:after="0" w:line="360" w:lineRule="auto"/>
        <w:rPr>
          <w:rFonts w:ascii="Times New Roman" w:hAnsi="Times New Roman" w:cs="Times New Roman"/>
          <w:noProof/>
          <w:sz w:val="24"/>
          <w:szCs w:val="24"/>
        </w:rPr>
      </w:pPr>
    </w:p>
    <w:p>
      <w:pP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Инфраструктура</w:t>
      </w:r>
    </w:p>
    <w:p>
      <w:pPr>
        <w:spacing w:after="0" w:line="360" w:lineRule="auto"/>
        <w:rPr>
          <w:rFonts w:ascii="Times New Roman" w:hAnsi="Times New Roman" w:cs="Times New Roman"/>
          <w:noProof/>
          <w:sz w:val="24"/>
          <w:szCs w:val="24"/>
        </w:rPr>
      </w:pPr>
    </w:p>
    <w:p>
      <w:pP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Регламент (ЕС) № 256/2014 на Европейския парламент и на Съвета от 26 февруари 2014 г. относно нотифицирането до Комисията на инвестиционните проекти в областта на енергийната инфраструктура в Европейския съюз, за замяна на Регламент (ЕС, Евратом) № 617/2010 и за отмяна на Регламент (ЕО) № 736/96 на Съвета.</w:t>
      </w:r>
    </w:p>
    <w:p>
      <w:pPr>
        <w:spacing w:after="0" w:line="360" w:lineRule="auto"/>
        <w:rPr>
          <w:rFonts w:ascii="Times New Roman" w:hAnsi="Times New Roman" w:cs="Times New Roman"/>
          <w:noProof/>
          <w:sz w:val="24"/>
          <w:szCs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Срокове: разпоредбите на Регламент (ЕС) № 256/2014 започват да се прилагат в срок от 3 години след влизане в сила на настоящото споразумение.</w:t>
      </w:r>
    </w:p>
    <w:p>
      <w:pPr>
        <w:spacing w:after="0" w:line="360" w:lineRule="auto"/>
        <w:rPr>
          <w:rFonts w:ascii="Times New Roman" w:hAnsi="Times New Roman" w:cs="Times New Roman"/>
          <w:noProof/>
          <w:sz w:val="24"/>
          <w:szCs w:val="24"/>
        </w:rPr>
      </w:pPr>
    </w:p>
    <w:p>
      <w:pP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Регламент за изпълнение:</w:t>
      </w:r>
    </w:p>
    <w:p>
      <w:pPr>
        <w:spacing w:after="0" w:line="360" w:lineRule="auto"/>
        <w:rPr>
          <w:rFonts w:ascii="Times New Roman" w:hAnsi="Times New Roman" w:cs="Times New Roman"/>
          <w:noProof/>
          <w:sz w:val="24"/>
          <w:szCs w:val="24"/>
        </w:rPr>
      </w:pPr>
    </w:p>
    <w:p>
      <w:pPr>
        <w:spacing w:after="0" w:line="360" w:lineRule="auto"/>
        <w:ind w:left="567" w:hanging="567"/>
        <w:rPr>
          <w:rFonts w:ascii="Times New Roman" w:hAnsi="Times New Roman" w:cs="Times New Roman"/>
          <w:noProof/>
          <w:sz w:val="24"/>
          <w:szCs w:val="24"/>
        </w:rPr>
      </w:pPr>
      <w:r>
        <w:rPr>
          <w:rFonts w:ascii="Times New Roman" w:hAnsi="Times New Roman" w:cs="Times New Roman"/>
          <w:noProof/>
          <w:sz w:val="24"/>
          <w:szCs w:val="24"/>
        </w:rPr>
        <w:t>–</w:t>
      </w:r>
      <w:r>
        <w:rPr>
          <w:rFonts w:ascii="Times New Roman" w:hAnsi="Times New Roman" w:cs="Times New Roman"/>
          <w:noProof/>
          <w:sz w:val="24"/>
          <w:szCs w:val="24"/>
        </w:rPr>
        <w:tab/>
        <w:t>Регламент за изпълнение (ЕС) № 1113/2014 на Комисията от 16 октомври 2014 г. за установяване на формата и техническите подробности за нотификация, посочена в членове 3 и 5 от Регламент (ЕС) № 256/2014 на Европейския парламент и на Съвета, и за отмяна на Регламенти (ЕО) № 2386/96 и (ЕС, Евратом) № 833/2010 на Комисията</w:t>
      </w:r>
    </w:p>
    <w:p>
      <w:pPr>
        <w:spacing w:after="0" w:line="360" w:lineRule="auto"/>
        <w:rPr>
          <w:rFonts w:ascii="Times New Roman" w:hAnsi="Times New Roman" w:cs="Times New Roman"/>
          <w:noProof/>
          <w:sz w:val="24"/>
          <w:szCs w:val="24"/>
        </w:rPr>
      </w:pPr>
    </w:p>
    <w:p>
      <w:pPr>
        <w:rPr>
          <w:rFonts w:ascii="Times New Roman" w:hAnsi="Times New Roman" w:cs="Times New Roman"/>
          <w:noProof/>
          <w:sz w:val="24"/>
          <w:szCs w:val="24"/>
          <w:highlight w:val="yellow"/>
        </w:rPr>
      </w:pPr>
      <w:r>
        <w:rPr>
          <w:rFonts w:ascii="Times New Roman" w:hAnsi="Times New Roman" w:cs="Times New Roman"/>
          <w:noProof/>
          <w:sz w:val="24"/>
          <w:szCs w:val="24"/>
        </w:rPr>
        <w:br w:type="page"/>
      </w: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Срокове: разпоредбите на Регламент за изпълнение (ЕС) № 1113/2014 започват да се прилагат в срок от 3 години след влизане в сила на настоящото споразумение.</w:t>
      </w:r>
    </w:p>
    <w:p>
      <w:pPr>
        <w:spacing w:after="0" w:line="360" w:lineRule="auto"/>
        <w:rPr>
          <w:rFonts w:ascii="Times New Roman" w:hAnsi="Times New Roman" w:cs="Times New Roman"/>
          <w:noProof/>
          <w:sz w:val="24"/>
          <w:szCs w:val="24"/>
        </w:rPr>
      </w:pPr>
    </w:p>
    <w:p>
      <w:pP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Търсене и проучване на въглеводороди</w:t>
      </w:r>
    </w:p>
    <w:p>
      <w:pPr>
        <w:spacing w:after="0" w:line="360" w:lineRule="auto"/>
        <w:rPr>
          <w:rFonts w:ascii="Times New Roman" w:hAnsi="Times New Roman" w:cs="Times New Roman"/>
          <w:noProof/>
          <w:sz w:val="24"/>
          <w:szCs w:val="24"/>
        </w:rPr>
      </w:pPr>
    </w:p>
    <w:p>
      <w:pP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Директива 94/22/ЕО на Европейския парламент и на Съвета от 30 май 1994 г. относно условията за предоставяне и ползване на разрешения за проучване, изследване и производство на въглеводороди</w:t>
      </w:r>
      <w:r>
        <w:rPr>
          <w:rFonts w:ascii="Times New Roman" w:hAnsi="Times New Roman" w:cs="Times New Roman"/>
          <w:b/>
          <w:noProof/>
          <w:sz w:val="24"/>
          <w:szCs w:val="24"/>
          <w:vertAlign w:val="superscript"/>
        </w:rPr>
        <w:footnoteReference w:id="1"/>
      </w:r>
    </w:p>
    <w:p>
      <w:pPr>
        <w:spacing w:after="0" w:line="360" w:lineRule="auto"/>
        <w:rPr>
          <w:rFonts w:ascii="Times New Roman" w:hAnsi="Times New Roman" w:cs="Times New Roman"/>
          <w:noProof/>
          <w:sz w:val="24"/>
          <w:szCs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Срокове: разпоредбите на Директива 94/22/ЕО започват да се прилагат в срок от 3 години след влизане в сила на настоящото споразумение.</w:t>
      </w:r>
    </w:p>
    <w:p>
      <w:pPr>
        <w:spacing w:after="0" w:line="360" w:lineRule="auto"/>
        <w:rPr>
          <w:rFonts w:ascii="Times New Roman" w:hAnsi="Times New Roman" w:cs="Times New Roman"/>
          <w:noProof/>
          <w:sz w:val="24"/>
          <w:szCs w:val="24"/>
        </w:rPr>
      </w:pPr>
    </w:p>
    <w:p>
      <w:pP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Енергийна ефективност</w:t>
      </w:r>
    </w:p>
    <w:p>
      <w:pPr>
        <w:spacing w:after="0" w:line="360" w:lineRule="auto"/>
        <w:rPr>
          <w:rFonts w:ascii="Times New Roman" w:hAnsi="Times New Roman" w:cs="Times New Roman"/>
          <w:noProof/>
          <w:sz w:val="24"/>
          <w:szCs w:val="24"/>
        </w:rPr>
      </w:pPr>
    </w:p>
    <w:p>
      <w:pP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Директива 2012/27/ЕС на Европейския парламент и на Съвета от 25 октомври 2012 г. относно енергийната ефективност, за изменение на директиви 2009/125/ЕО и 2010/30/ЕС и за отмяна на директиви 2004/8/ЕО и 2006/32/ЕО</w:t>
      </w:r>
    </w:p>
    <w:p>
      <w:pPr>
        <w:spacing w:after="0" w:line="360" w:lineRule="auto"/>
        <w:rPr>
          <w:rFonts w:ascii="Times New Roman" w:hAnsi="Times New Roman" w:cs="Times New Roman"/>
          <w:noProof/>
          <w:sz w:val="24"/>
          <w:szCs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Срокове: разпоредбите на Директива 2012/27/ЕС започват да се прилагат в срок от 4 години след влизане в сила на настоящото споразумение.</w:t>
      </w:r>
    </w:p>
    <w:p>
      <w:pPr>
        <w:spacing w:after="0" w:line="360" w:lineRule="auto"/>
        <w:rPr>
          <w:rFonts w:ascii="Times New Roman" w:hAnsi="Times New Roman" w:cs="Times New Roman"/>
          <w:noProof/>
          <w:sz w:val="24"/>
          <w:szCs w:val="24"/>
        </w:rPr>
      </w:pPr>
    </w:p>
    <w:p>
      <w:pPr>
        <w:rPr>
          <w:rFonts w:ascii="Times New Roman" w:hAnsi="Times New Roman" w:cs="Times New Roman"/>
          <w:noProof/>
          <w:sz w:val="24"/>
          <w:szCs w:val="24"/>
        </w:rPr>
      </w:pPr>
      <w:r>
        <w:rPr>
          <w:rFonts w:ascii="Times New Roman" w:hAnsi="Times New Roman" w:cs="Times New Roman"/>
          <w:noProof/>
          <w:sz w:val="24"/>
          <w:szCs w:val="24"/>
        </w:rPr>
        <w:br w:type="page"/>
      </w:r>
    </w:p>
    <w:p>
      <w:pP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Регламент за изпълнение:</w:t>
      </w:r>
    </w:p>
    <w:p>
      <w:pPr>
        <w:spacing w:after="0" w:line="360" w:lineRule="auto"/>
        <w:rPr>
          <w:rFonts w:ascii="Times New Roman" w:hAnsi="Times New Roman" w:cs="Times New Roman"/>
          <w:noProof/>
          <w:sz w:val="24"/>
          <w:szCs w:val="24"/>
        </w:rPr>
      </w:pPr>
    </w:p>
    <w:p>
      <w:pPr>
        <w:spacing w:after="0" w:line="360" w:lineRule="auto"/>
        <w:ind w:left="567" w:hanging="567"/>
        <w:rPr>
          <w:rFonts w:ascii="Times New Roman" w:hAnsi="Times New Roman" w:cs="Times New Roman"/>
          <w:noProof/>
          <w:sz w:val="24"/>
          <w:szCs w:val="24"/>
        </w:rPr>
      </w:pPr>
      <w:r>
        <w:rPr>
          <w:rFonts w:ascii="Times New Roman" w:hAnsi="Times New Roman" w:cs="Times New Roman"/>
          <w:noProof/>
          <w:sz w:val="24"/>
          <w:szCs w:val="24"/>
        </w:rPr>
        <w:t>–</w:t>
      </w:r>
      <w:r>
        <w:rPr>
          <w:rFonts w:ascii="Times New Roman" w:hAnsi="Times New Roman" w:cs="Times New Roman"/>
          <w:noProof/>
          <w:sz w:val="24"/>
          <w:szCs w:val="24"/>
        </w:rPr>
        <w:tab/>
        <w:t>Делегиран регламент (ЕС) 2015/2402 на Комисията от 12 октомври 2015 г. за преразглеждане на хармонизираните референтни стойности на к.п.д. при разделно производство на електрическа и топлинна енергия, в изпълнение на Директива 2012/27/ЕС на Европейския парламент и на Съвета, и за отмяна на Решение за изпълнение 2011/877/ЕС на Комисията</w:t>
      </w:r>
    </w:p>
    <w:p>
      <w:pPr>
        <w:spacing w:after="0" w:line="360" w:lineRule="auto"/>
        <w:rPr>
          <w:rFonts w:ascii="Times New Roman" w:hAnsi="Times New Roman" w:cs="Times New Roman"/>
          <w:noProof/>
          <w:sz w:val="24"/>
          <w:szCs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Срокове: разпоредбите на Делегиран регламент (ЕС) 2015/2402 започват да се прилагат в срок от 5 години след влизане в сила на настоящото споразумение.</w:t>
      </w:r>
    </w:p>
    <w:p>
      <w:pPr>
        <w:spacing w:after="0" w:line="360" w:lineRule="auto"/>
        <w:rPr>
          <w:rFonts w:ascii="Times New Roman" w:hAnsi="Times New Roman" w:cs="Times New Roman"/>
          <w:noProof/>
          <w:sz w:val="24"/>
          <w:szCs w:val="24"/>
        </w:rPr>
      </w:pPr>
    </w:p>
    <w:p>
      <w:pP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Директива 2010/31/ЕО на Европейския парламент и на Съвета от 19 май 2010 г. относно енергийните характеристики на сградите</w:t>
      </w:r>
    </w:p>
    <w:p>
      <w:pPr>
        <w:spacing w:after="0" w:line="360" w:lineRule="auto"/>
        <w:rPr>
          <w:rFonts w:ascii="Times New Roman" w:hAnsi="Times New Roman" w:cs="Times New Roman"/>
          <w:noProof/>
          <w:sz w:val="24"/>
          <w:szCs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Срокове: разпоредбите на Директива 2010/31/ЕС започват да се прилагат в срок от 5 години след влизане в сила на настоящото споразумение.</w:t>
      </w:r>
    </w:p>
    <w:p>
      <w:pPr>
        <w:spacing w:after="0" w:line="360" w:lineRule="auto"/>
        <w:rPr>
          <w:rFonts w:ascii="Times New Roman" w:hAnsi="Times New Roman" w:cs="Times New Roman"/>
          <w:noProof/>
          <w:sz w:val="24"/>
          <w:szCs w:val="24"/>
        </w:rPr>
      </w:pPr>
    </w:p>
    <w:p>
      <w:pP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Регламент за изпълнение:</w:t>
      </w:r>
    </w:p>
    <w:p>
      <w:pPr>
        <w:spacing w:after="0" w:line="360" w:lineRule="auto"/>
        <w:rPr>
          <w:rFonts w:ascii="Times New Roman" w:hAnsi="Times New Roman" w:cs="Times New Roman"/>
          <w:noProof/>
          <w:sz w:val="24"/>
          <w:szCs w:val="24"/>
        </w:rPr>
      </w:pPr>
    </w:p>
    <w:p>
      <w:pPr>
        <w:spacing w:after="0" w:line="360" w:lineRule="auto"/>
        <w:ind w:left="567" w:hanging="567"/>
        <w:rPr>
          <w:rFonts w:ascii="Times New Roman" w:hAnsi="Times New Roman" w:cs="Times New Roman"/>
          <w:noProof/>
          <w:sz w:val="24"/>
          <w:szCs w:val="24"/>
        </w:rPr>
      </w:pPr>
      <w:r>
        <w:rPr>
          <w:rFonts w:ascii="Times New Roman" w:hAnsi="Times New Roman" w:cs="Times New Roman"/>
          <w:noProof/>
          <w:sz w:val="24"/>
          <w:szCs w:val="24"/>
        </w:rPr>
        <w:t>–</w:t>
      </w:r>
      <w:r>
        <w:rPr>
          <w:rFonts w:ascii="Times New Roman" w:hAnsi="Times New Roman" w:cs="Times New Roman"/>
          <w:noProof/>
          <w:sz w:val="24"/>
          <w:szCs w:val="24"/>
        </w:rPr>
        <w:tab/>
        <w:t xml:space="preserve">Делегиран регламент (ЕС) № 244/2012 на Комисията от 16 януари 2012 г. за допълване на Директива 2010/31/ЕС на Европейския парламент и на Съвета относно енергийните характеристики на сградите чрез създаване на сравнителна методологична рамка за изчисляване на равнищата на оптимални разходи във връзка с минималните изисквания за енергийните характеристики на сградите и сградните компоненти </w:t>
      </w:r>
    </w:p>
    <w:p>
      <w:pPr>
        <w:spacing w:after="0" w:line="360" w:lineRule="auto"/>
        <w:ind w:left="567" w:hanging="567"/>
        <w:rPr>
          <w:rFonts w:ascii="Times New Roman" w:hAnsi="Times New Roman" w:cs="Times New Roman"/>
          <w:noProof/>
          <w:sz w:val="24"/>
          <w:szCs w:val="24"/>
          <w:highlight w:val="green"/>
        </w:rPr>
      </w:pPr>
    </w:p>
    <w:p>
      <w:pPr>
        <w:rPr>
          <w:rFonts w:ascii="Times New Roman" w:hAnsi="Times New Roman" w:cs="Times New Roman"/>
          <w:noProof/>
          <w:sz w:val="24"/>
          <w:szCs w:val="24"/>
          <w:highlight w:val="green"/>
        </w:rPr>
      </w:pPr>
      <w:r>
        <w:rPr>
          <w:rFonts w:ascii="Times New Roman" w:hAnsi="Times New Roman" w:cs="Times New Roman"/>
          <w:noProof/>
          <w:sz w:val="24"/>
          <w:szCs w:val="24"/>
        </w:rPr>
        <w:br w:type="page"/>
      </w:r>
    </w:p>
    <w:p>
      <w:pPr>
        <w:spacing w:after="0" w:line="360" w:lineRule="auto"/>
        <w:ind w:left="567" w:hanging="567"/>
        <w:rPr>
          <w:rFonts w:ascii="Times New Roman" w:hAnsi="Times New Roman" w:cs="Times New Roman"/>
          <w:noProof/>
          <w:sz w:val="24"/>
          <w:szCs w:val="24"/>
        </w:rPr>
      </w:pPr>
      <w:r>
        <w:rPr>
          <w:rFonts w:ascii="Times New Roman" w:hAnsi="Times New Roman" w:cs="Times New Roman"/>
          <w:noProof/>
          <w:sz w:val="24"/>
          <w:szCs w:val="24"/>
        </w:rPr>
        <w:t>–</w:t>
      </w:r>
      <w:r>
        <w:rPr>
          <w:rFonts w:ascii="Times New Roman" w:hAnsi="Times New Roman" w:cs="Times New Roman"/>
          <w:noProof/>
          <w:sz w:val="24"/>
          <w:szCs w:val="24"/>
        </w:rPr>
        <w:tab/>
        <w:t>Указания към Делегиран регламент (ЕС) № 244/2012 на Комисията от 16 януари 2012 г. за допълване на Директива 2010/31/ЕС на Европейския парламент и на Съвета относно енергийните характеристики на сградите чрез създаване на сравнителна рамкова методика за изчисляване на оптимални по отношение на разходите равнища на минималните изисквания за енергийните характеристики на сгради и сградни елементи</w:t>
      </w:r>
    </w:p>
    <w:p>
      <w:pPr>
        <w:spacing w:after="0" w:line="360" w:lineRule="auto"/>
        <w:rPr>
          <w:rFonts w:ascii="Times New Roman" w:hAnsi="Times New Roman" w:cs="Times New Roman"/>
          <w:noProof/>
          <w:sz w:val="24"/>
          <w:szCs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Срокове: тези разпоредби на Делегиран регламент (ЕС) № 244/2012 започват да се прилагат в срок от 5 години след влизане в сила на настоящото споразумение.</w:t>
      </w:r>
    </w:p>
    <w:p>
      <w:pPr>
        <w:spacing w:after="0" w:line="360" w:lineRule="auto"/>
        <w:rPr>
          <w:rFonts w:ascii="Times New Roman" w:hAnsi="Times New Roman" w:cs="Times New Roman"/>
          <w:noProof/>
          <w:sz w:val="24"/>
          <w:szCs w:val="24"/>
        </w:rPr>
      </w:pPr>
    </w:p>
    <w:p>
      <w:pP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Директива 2009/33/ЕО на Европейския парламент и на Съвета от 23 април 2009 г. за насърчаването на чисти и енергийноефективни пътни превозни средства</w:t>
      </w:r>
    </w:p>
    <w:p>
      <w:pPr>
        <w:spacing w:after="0" w:line="360" w:lineRule="auto"/>
        <w:rPr>
          <w:rFonts w:ascii="Times New Roman" w:hAnsi="Times New Roman" w:cs="Times New Roman"/>
          <w:noProof/>
          <w:sz w:val="24"/>
          <w:szCs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Срокове: разпоредбите на Директива 2009/33/ЕО започват да се прилагат в срок от 8 години след влизане в сила на настоящото споразумение.</w:t>
      </w:r>
    </w:p>
    <w:p>
      <w:pPr>
        <w:spacing w:after="0" w:line="360" w:lineRule="auto"/>
        <w:rPr>
          <w:rFonts w:ascii="Times New Roman" w:hAnsi="Times New Roman" w:cs="Times New Roman"/>
          <w:noProof/>
          <w:sz w:val="24"/>
          <w:szCs w:val="24"/>
        </w:rPr>
      </w:pPr>
    </w:p>
    <w:p>
      <w:pP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Директива 2009/125/ЕО на Европейския парламент и на Съвета от 21 октомври 2009 г. за създаване на рамка за определяне на изискванията за екодизайн към продукти, свързани с енергопотреблението</w:t>
      </w:r>
    </w:p>
    <w:p>
      <w:pPr>
        <w:spacing w:after="0" w:line="360" w:lineRule="auto"/>
        <w:rPr>
          <w:rFonts w:ascii="Times New Roman" w:hAnsi="Times New Roman" w:cs="Times New Roman"/>
          <w:noProof/>
          <w:sz w:val="24"/>
          <w:szCs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Срокове: разпоредбите на Директива 2009/125/ЕО започват да се прилагат в срок от 5 години след влизане в сила на настоящото споразумение.</w:t>
      </w:r>
    </w:p>
    <w:p>
      <w:pPr>
        <w:spacing w:after="0" w:line="360" w:lineRule="auto"/>
        <w:rPr>
          <w:rFonts w:ascii="Times New Roman" w:hAnsi="Times New Roman" w:cs="Times New Roman"/>
          <w:noProof/>
          <w:sz w:val="24"/>
          <w:szCs w:val="24"/>
        </w:rPr>
      </w:pPr>
    </w:p>
    <w:p>
      <w:pPr>
        <w:rPr>
          <w:rFonts w:ascii="Times New Roman" w:hAnsi="Times New Roman" w:cs="Times New Roman"/>
          <w:noProof/>
          <w:sz w:val="24"/>
          <w:szCs w:val="24"/>
        </w:rPr>
      </w:pPr>
      <w:r>
        <w:rPr>
          <w:rFonts w:ascii="Times New Roman" w:hAnsi="Times New Roman" w:cs="Times New Roman"/>
          <w:noProof/>
          <w:sz w:val="24"/>
          <w:szCs w:val="24"/>
        </w:rPr>
        <w:br w:type="page"/>
      </w:r>
    </w:p>
    <w:p>
      <w:pP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Директиви/регламенти за изпълнение:</w:t>
      </w:r>
    </w:p>
    <w:p>
      <w:pPr>
        <w:spacing w:after="0" w:line="360" w:lineRule="auto"/>
        <w:rPr>
          <w:rFonts w:ascii="Times New Roman" w:hAnsi="Times New Roman" w:cs="Times New Roman"/>
          <w:noProof/>
          <w:sz w:val="24"/>
          <w:szCs w:val="24"/>
        </w:rPr>
      </w:pPr>
    </w:p>
    <w:p>
      <w:pPr>
        <w:spacing w:after="0" w:line="360" w:lineRule="auto"/>
        <w:ind w:left="567" w:hanging="567"/>
        <w:rPr>
          <w:rFonts w:ascii="Times New Roman" w:hAnsi="Times New Roman" w:cs="Times New Roman"/>
          <w:noProof/>
          <w:sz w:val="24"/>
          <w:szCs w:val="24"/>
        </w:rPr>
      </w:pPr>
      <w:r>
        <w:rPr>
          <w:rFonts w:ascii="Times New Roman" w:hAnsi="Times New Roman" w:cs="Times New Roman"/>
          <w:noProof/>
          <w:sz w:val="24"/>
          <w:szCs w:val="24"/>
        </w:rPr>
        <w:t>–</w:t>
      </w:r>
      <w:r>
        <w:rPr>
          <w:rFonts w:ascii="Times New Roman" w:hAnsi="Times New Roman" w:cs="Times New Roman"/>
          <w:noProof/>
          <w:sz w:val="24"/>
          <w:szCs w:val="24"/>
        </w:rPr>
        <w:tab/>
        <w:t>Регламент (ЕС) № 1275/2008 на Комисията от 17 декември 2008 г. по отношение на изискванията за екопроектиране към електрическото и електронното битово и офис оборудване във връзка с консумацията му на електроенергия в режим в готовност и режим изключен</w:t>
      </w:r>
    </w:p>
    <w:p>
      <w:pPr>
        <w:spacing w:after="0" w:line="360" w:lineRule="auto"/>
        <w:ind w:left="567" w:hanging="567"/>
        <w:rPr>
          <w:rFonts w:ascii="Times New Roman" w:hAnsi="Times New Roman" w:cs="Times New Roman"/>
          <w:noProof/>
          <w:sz w:val="24"/>
          <w:szCs w:val="24"/>
        </w:rPr>
      </w:pPr>
    </w:p>
    <w:p>
      <w:pPr>
        <w:spacing w:after="0" w:line="360" w:lineRule="auto"/>
        <w:ind w:left="567" w:hanging="567"/>
        <w:rPr>
          <w:rFonts w:ascii="Times New Roman" w:hAnsi="Times New Roman" w:cs="Times New Roman"/>
          <w:noProof/>
          <w:sz w:val="24"/>
          <w:szCs w:val="24"/>
        </w:rPr>
      </w:pPr>
      <w:r>
        <w:rPr>
          <w:rFonts w:ascii="Times New Roman" w:hAnsi="Times New Roman" w:cs="Times New Roman"/>
          <w:noProof/>
          <w:sz w:val="24"/>
          <w:szCs w:val="24"/>
        </w:rPr>
        <w:t>–</w:t>
      </w:r>
      <w:r>
        <w:rPr>
          <w:rFonts w:ascii="Times New Roman" w:hAnsi="Times New Roman" w:cs="Times New Roman"/>
          <w:noProof/>
          <w:sz w:val="24"/>
          <w:szCs w:val="24"/>
        </w:rPr>
        <w:tab/>
        <w:t>Регламент (ЕО) № 107/2009 на Комисията от 4 февруари 2009 г. за прилагане на Директива 2005/32/ЕО на Европейския парламент и на Съвета по отношение на изискванията за екопроектиране за прости телевизионни приставки</w:t>
      </w:r>
    </w:p>
    <w:p>
      <w:pPr>
        <w:spacing w:after="0" w:line="360" w:lineRule="auto"/>
        <w:ind w:left="567" w:hanging="567"/>
        <w:rPr>
          <w:rFonts w:ascii="Times New Roman" w:hAnsi="Times New Roman" w:cs="Times New Roman"/>
          <w:noProof/>
          <w:sz w:val="24"/>
          <w:szCs w:val="24"/>
        </w:rPr>
      </w:pPr>
    </w:p>
    <w:p>
      <w:pPr>
        <w:spacing w:after="0" w:line="360" w:lineRule="auto"/>
        <w:ind w:left="567" w:hanging="567"/>
        <w:rPr>
          <w:rFonts w:ascii="Times New Roman" w:hAnsi="Times New Roman" w:cs="Times New Roman"/>
          <w:noProof/>
          <w:sz w:val="24"/>
          <w:szCs w:val="24"/>
        </w:rPr>
      </w:pPr>
      <w:r>
        <w:rPr>
          <w:rFonts w:ascii="Times New Roman" w:hAnsi="Times New Roman" w:cs="Times New Roman"/>
          <w:noProof/>
          <w:sz w:val="24"/>
          <w:szCs w:val="24"/>
        </w:rPr>
        <w:t>–</w:t>
      </w:r>
      <w:r>
        <w:rPr>
          <w:rFonts w:ascii="Times New Roman" w:hAnsi="Times New Roman" w:cs="Times New Roman"/>
          <w:noProof/>
          <w:sz w:val="24"/>
          <w:szCs w:val="24"/>
        </w:rPr>
        <w:tab/>
        <w:t>Регламент (ЕО) № 244/2009 на Комисията от 18 март 2009 г. за прилагане на Директива 2005/32/ЕО на Европейския парламент и на Съвета по отношение на изискванията за екопроектиране на ненасочени лампи за бита</w:t>
      </w:r>
    </w:p>
    <w:p>
      <w:pPr>
        <w:spacing w:after="0" w:line="360" w:lineRule="auto"/>
        <w:ind w:left="567" w:hanging="567"/>
        <w:rPr>
          <w:rFonts w:ascii="Times New Roman" w:hAnsi="Times New Roman" w:cs="Times New Roman"/>
          <w:noProof/>
          <w:sz w:val="24"/>
          <w:szCs w:val="24"/>
        </w:rPr>
      </w:pPr>
    </w:p>
    <w:p>
      <w:pPr>
        <w:spacing w:after="0" w:line="360" w:lineRule="auto"/>
        <w:ind w:left="567" w:hanging="567"/>
        <w:rPr>
          <w:rFonts w:ascii="Times New Roman" w:hAnsi="Times New Roman" w:cs="Times New Roman"/>
          <w:noProof/>
          <w:sz w:val="24"/>
          <w:szCs w:val="24"/>
        </w:rPr>
      </w:pPr>
      <w:r>
        <w:rPr>
          <w:rFonts w:ascii="Times New Roman" w:hAnsi="Times New Roman" w:cs="Times New Roman"/>
          <w:noProof/>
          <w:sz w:val="24"/>
          <w:szCs w:val="24"/>
        </w:rPr>
        <w:t>–</w:t>
      </w:r>
      <w:r>
        <w:rPr>
          <w:rFonts w:ascii="Times New Roman" w:hAnsi="Times New Roman" w:cs="Times New Roman"/>
          <w:noProof/>
          <w:sz w:val="24"/>
          <w:szCs w:val="24"/>
        </w:rPr>
        <w:tab/>
        <w:t>Регламент (ЕС) № 278/2009 на Комисията от 6 април 2009 г. за прилагане на Директива 2005/32/ЕО на Европейския парламент и на Съвета във връзка с изискванията за екопроектиране на външни електрозахранващи устройства по отношение на консумираната мощност на празен ход и на средния КПД в работен режим</w:t>
      </w:r>
    </w:p>
    <w:p>
      <w:pPr>
        <w:spacing w:after="0" w:line="360" w:lineRule="auto"/>
        <w:ind w:left="567" w:hanging="567"/>
        <w:rPr>
          <w:rFonts w:ascii="Times New Roman" w:hAnsi="Times New Roman" w:cs="Times New Roman"/>
          <w:noProof/>
          <w:sz w:val="24"/>
          <w:szCs w:val="24"/>
        </w:rPr>
      </w:pPr>
    </w:p>
    <w:p>
      <w:pPr>
        <w:spacing w:after="0" w:line="360" w:lineRule="auto"/>
        <w:ind w:left="567" w:hanging="567"/>
        <w:rPr>
          <w:rFonts w:ascii="Times New Roman" w:hAnsi="Times New Roman" w:cs="Times New Roman"/>
          <w:noProof/>
          <w:sz w:val="24"/>
          <w:szCs w:val="24"/>
        </w:rPr>
      </w:pPr>
      <w:r>
        <w:rPr>
          <w:rFonts w:ascii="Times New Roman" w:hAnsi="Times New Roman" w:cs="Times New Roman"/>
          <w:noProof/>
          <w:sz w:val="24"/>
          <w:szCs w:val="24"/>
        </w:rPr>
        <w:t>–</w:t>
      </w:r>
      <w:r>
        <w:rPr>
          <w:rFonts w:ascii="Times New Roman" w:hAnsi="Times New Roman" w:cs="Times New Roman"/>
          <w:noProof/>
          <w:sz w:val="24"/>
          <w:szCs w:val="24"/>
        </w:rPr>
        <w:tab/>
        <w:t>Регламент (ЕС) № 640/2009 на Комисията от 22 юли 2009 г. за прилагане на Директива 2005/32/ЕО на Европейския парламент и на Съвета по отношение на изискванията за екопроектиране на електродвигатели</w:t>
      </w:r>
    </w:p>
    <w:p>
      <w:pPr>
        <w:spacing w:after="0" w:line="360" w:lineRule="auto"/>
        <w:ind w:left="567" w:hanging="567"/>
        <w:rPr>
          <w:rFonts w:ascii="Times New Roman" w:hAnsi="Times New Roman" w:cs="Times New Roman"/>
          <w:noProof/>
          <w:sz w:val="24"/>
          <w:szCs w:val="24"/>
        </w:rPr>
      </w:pPr>
    </w:p>
    <w:p>
      <w:pPr>
        <w:rPr>
          <w:rFonts w:ascii="Times New Roman" w:hAnsi="Times New Roman" w:cs="Times New Roman"/>
          <w:noProof/>
          <w:sz w:val="24"/>
          <w:szCs w:val="24"/>
          <w:highlight w:val="green"/>
        </w:rPr>
      </w:pPr>
      <w:r>
        <w:rPr>
          <w:rFonts w:ascii="Times New Roman" w:hAnsi="Times New Roman" w:cs="Times New Roman"/>
          <w:noProof/>
          <w:sz w:val="24"/>
          <w:szCs w:val="24"/>
        </w:rPr>
        <w:br w:type="page"/>
      </w:r>
    </w:p>
    <w:p>
      <w:pPr>
        <w:spacing w:after="0" w:line="360" w:lineRule="auto"/>
        <w:ind w:left="567" w:hanging="567"/>
        <w:rPr>
          <w:rFonts w:ascii="Times New Roman" w:hAnsi="Times New Roman" w:cs="Times New Roman"/>
          <w:noProof/>
          <w:sz w:val="24"/>
          <w:szCs w:val="24"/>
        </w:rPr>
      </w:pPr>
      <w:r>
        <w:rPr>
          <w:rFonts w:ascii="Times New Roman" w:hAnsi="Times New Roman" w:cs="Times New Roman"/>
          <w:noProof/>
          <w:sz w:val="24"/>
          <w:szCs w:val="24"/>
        </w:rPr>
        <w:t>–</w:t>
      </w:r>
      <w:r>
        <w:rPr>
          <w:rFonts w:ascii="Times New Roman" w:hAnsi="Times New Roman" w:cs="Times New Roman"/>
          <w:noProof/>
          <w:sz w:val="24"/>
          <w:szCs w:val="24"/>
        </w:rPr>
        <w:tab/>
        <w:t>Регламент (ЕС) № 641/2009 на Комисията от 22 юли 2009 г. за прилагане на Директива 2005/32/ЕО на Европейския парламент и на Съвета по отношение на изискванията за екопроектиране на безсалникови автономни циркулационни помпи и безсалникови вградени в продукти циркулационни помпи</w:t>
      </w:r>
    </w:p>
    <w:p>
      <w:pPr>
        <w:spacing w:after="0" w:line="360" w:lineRule="auto"/>
        <w:ind w:left="567" w:hanging="567"/>
        <w:rPr>
          <w:rFonts w:ascii="Times New Roman" w:hAnsi="Times New Roman" w:cs="Times New Roman"/>
          <w:noProof/>
          <w:sz w:val="24"/>
          <w:szCs w:val="24"/>
        </w:rPr>
      </w:pPr>
    </w:p>
    <w:p>
      <w:pPr>
        <w:spacing w:after="0" w:line="360" w:lineRule="auto"/>
        <w:ind w:left="567" w:hanging="567"/>
        <w:rPr>
          <w:rFonts w:ascii="Times New Roman" w:hAnsi="Times New Roman" w:cs="Times New Roman"/>
          <w:noProof/>
          <w:sz w:val="24"/>
          <w:szCs w:val="24"/>
        </w:rPr>
      </w:pPr>
      <w:r>
        <w:rPr>
          <w:rFonts w:ascii="Times New Roman" w:hAnsi="Times New Roman" w:cs="Times New Roman"/>
          <w:noProof/>
          <w:sz w:val="24"/>
          <w:szCs w:val="24"/>
        </w:rPr>
        <w:t>–</w:t>
      </w:r>
      <w:r>
        <w:rPr>
          <w:rFonts w:ascii="Times New Roman" w:hAnsi="Times New Roman" w:cs="Times New Roman"/>
          <w:noProof/>
          <w:sz w:val="24"/>
          <w:szCs w:val="24"/>
        </w:rPr>
        <w:tab/>
        <w:t xml:space="preserve">Регламент (ЕС) № 327/2011 на Комисията от 30 март 2011 г. за прилагане на Директива 2009/125/ЕО на Европейския парламент и на Съвета по отношение на изискванията за екопроектиране на вентилатори, задвижвани от електродвигатели с входна мощност между 125 W и 500 kW </w:t>
      </w:r>
    </w:p>
    <w:p>
      <w:pPr>
        <w:spacing w:after="0" w:line="360" w:lineRule="auto"/>
        <w:rPr>
          <w:rFonts w:ascii="Times New Roman" w:hAnsi="Times New Roman" w:cs="Times New Roman"/>
          <w:noProof/>
          <w:sz w:val="24"/>
          <w:szCs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Срокове: разпоредбите на регламенти (EО) № 1275/2008, (ЕО) № 107/2009, (ЕО) № 244/2009, (ЕО) № 278/2009, (ЕО) № 640/2009, (ЕО) № 641/2009 и (ЕС) № 327/2011 започват да се прилагат в срок от 8 години след влизане в сила на настоящото споразумение.</w:t>
      </w:r>
    </w:p>
    <w:p>
      <w:pPr>
        <w:spacing w:after="0" w:line="360" w:lineRule="auto"/>
        <w:rPr>
          <w:rFonts w:ascii="Times New Roman" w:hAnsi="Times New Roman" w:cs="Times New Roman"/>
          <w:noProof/>
          <w:sz w:val="24"/>
          <w:szCs w:val="24"/>
        </w:rPr>
      </w:pPr>
    </w:p>
    <w:p>
      <w:pPr>
        <w:spacing w:after="0" w:line="360" w:lineRule="auto"/>
        <w:ind w:left="567" w:hanging="567"/>
        <w:rPr>
          <w:rFonts w:ascii="Times New Roman" w:hAnsi="Times New Roman" w:cs="Times New Roman"/>
          <w:noProof/>
          <w:sz w:val="24"/>
          <w:szCs w:val="24"/>
        </w:rPr>
      </w:pPr>
      <w:r>
        <w:rPr>
          <w:rFonts w:ascii="Times New Roman" w:hAnsi="Times New Roman" w:cs="Times New Roman"/>
          <w:noProof/>
          <w:sz w:val="24"/>
          <w:szCs w:val="24"/>
        </w:rPr>
        <w:t>–</w:t>
      </w:r>
      <w:r>
        <w:rPr>
          <w:rFonts w:ascii="Times New Roman" w:hAnsi="Times New Roman" w:cs="Times New Roman"/>
          <w:noProof/>
          <w:sz w:val="24"/>
          <w:szCs w:val="24"/>
        </w:rPr>
        <w:tab/>
        <w:t>Регламент (ЕО) № 643/2009 на Комисията от 22 юли 2009 г. за прилагане на Директива 2005/32/ЕО на Европейския парламент и на Съвета по отношение на изискванията за екопроектиране на домашни хладилни уреди</w:t>
      </w:r>
    </w:p>
    <w:p>
      <w:pPr>
        <w:spacing w:after="0" w:line="360" w:lineRule="auto"/>
        <w:rPr>
          <w:rFonts w:ascii="Times New Roman" w:hAnsi="Times New Roman" w:cs="Times New Roman"/>
          <w:noProof/>
          <w:sz w:val="24"/>
          <w:szCs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Срокове: разпоредбите на Регламент (ЕО) № 643/2009 започват да се прилагат в срок от 6 години след влизане в сила на настоящото споразумение.</w:t>
      </w:r>
    </w:p>
    <w:p>
      <w:pPr>
        <w:spacing w:after="0" w:line="360" w:lineRule="auto"/>
        <w:rPr>
          <w:rFonts w:ascii="Times New Roman" w:hAnsi="Times New Roman" w:cs="Times New Roman"/>
          <w:noProof/>
          <w:sz w:val="24"/>
          <w:szCs w:val="24"/>
        </w:rPr>
      </w:pPr>
    </w:p>
    <w:p>
      <w:pPr>
        <w:spacing w:after="0" w:line="360" w:lineRule="auto"/>
        <w:ind w:left="567" w:hanging="567"/>
        <w:rPr>
          <w:rFonts w:ascii="Times New Roman" w:hAnsi="Times New Roman" w:cs="Times New Roman"/>
          <w:noProof/>
          <w:sz w:val="24"/>
          <w:szCs w:val="24"/>
        </w:rPr>
      </w:pPr>
      <w:r>
        <w:rPr>
          <w:rFonts w:ascii="Times New Roman" w:hAnsi="Times New Roman" w:cs="Times New Roman"/>
          <w:noProof/>
          <w:sz w:val="24"/>
          <w:szCs w:val="24"/>
        </w:rPr>
        <w:t>–</w:t>
      </w:r>
      <w:r>
        <w:rPr>
          <w:rFonts w:ascii="Times New Roman" w:hAnsi="Times New Roman" w:cs="Times New Roman"/>
          <w:noProof/>
          <w:sz w:val="24"/>
          <w:szCs w:val="24"/>
        </w:rPr>
        <w:tab/>
        <w:t>Регламент (ЕС) № 642/2009 на Комисията от 22 юли 2009 г. прилагане на Директива 2005/32/ЕО на Европейския парламент и на Съвета по отношение на изискванията за екопроектиране на телевизори</w:t>
      </w:r>
    </w:p>
    <w:p>
      <w:pPr>
        <w:spacing w:after="0" w:line="360" w:lineRule="auto"/>
        <w:rPr>
          <w:rFonts w:ascii="Times New Roman" w:hAnsi="Times New Roman" w:cs="Times New Roman"/>
          <w:noProof/>
          <w:sz w:val="24"/>
          <w:szCs w:val="24"/>
        </w:rPr>
      </w:pPr>
    </w:p>
    <w:p>
      <w:pPr>
        <w:rPr>
          <w:rFonts w:ascii="Times New Roman" w:hAnsi="Times New Roman" w:cs="Times New Roman"/>
          <w:noProof/>
          <w:sz w:val="24"/>
          <w:szCs w:val="24"/>
          <w:highlight w:val="yellow"/>
        </w:rPr>
      </w:pPr>
      <w:r>
        <w:rPr>
          <w:rFonts w:ascii="Times New Roman" w:hAnsi="Times New Roman" w:cs="Times New Roman"/>
          <w:noProof/>
          <w:sz w:val="24"/>
          <w:szCs w:val="24"/>
        </w:rPr>
        <w:br w:type="page"/>
      </w: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Срокове: разпоредбите на Регламент (ЕО) № 642/2009 започват да се прилагат в срок от 6 години след влизане в сила на настоящото споразумение.</w:t>
      </w:r>
    </w:p>
    <w:p>
      <w:pPr>
        <w:spacing w:after="0" w:line="360" w:lineRule="auto"/>
        <w:rPr>
          <w:rFonts w:ascii="Times New Roman" w:hAnsi="Times New Roman" w:cs="Times New Roman"/>
          <w:noProof/>
          <w:sz w:val="24"/>
          <w:szCs w:val="24"/>
        </w:rPr>
      </w:pPr>
    </w:p>
    <w:p>
      <w:pPr>
        <w:spacing w:after="0" w:line="360" w:lineRule="auto"/>
        <w:ind w:left="567" w:hanging="567"/>
        <w:rPr>
          <w:rFonts w:ascii="Times New Roman" w:hAnsi="Times New Roman" w:cs="Times New Roman"/>
          <w:noProof/>
          <w:sz w:val="24"/>
          <w:szCs w:val="24"/>
        </w:rPr>
      </w:pPr>
      <w:r>
        <w:rPr>
          <w:rFonts w:ascii="Times New Roman" w:hAnsi="Times New Roman" w:cs="Times New Roman"/>
          <w:noProof/>
          <w:sz w:val="24"/>
          <w:szCs w:val="24"/>
        </w:rPr>
        <w:t>–</w:t>
      </w:r>
      <w:r>
        <w:rPr>
          <w:rFonts w:ascii="Times New Roman" w:hAnsi="Times New Roman" w:cs="Times New Roman"/>
          <w:noProof/>
          <w:sz w:val="24"/>
          <w:szCs w:val="24"/>
        </w:rPr>
        <w:tab/>
        <w:t>Регламент (ЕС) № 1015/2010 на Комисията от 10 ноември 2010 г. за прилагане на Директива 2009/125/ЕО на Европейския парламент и на Съвета по отношение на изискванията за екопроектиране на битови перални машини</w:t>
      </w:r>
    </w:p>
    <w:p>
      <w:pPr>
        <w:spacing w:after="0" w:line="360" w:lineRule="auto"/>
        <w:rPr>
          <w:rFonts w:ascii="Times New Roman" w:hAnsi="Times New Roman" w:cs="Times New Roman"/>
          <w:noProof/>
          <w:sz w:val="24"/>
          <w:szCs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Срокове: разпоредбите на Регламент (ЕС) № 1015/2010 започват да се прилагат в срок от 6 години след влизане в сила на настоящото споразумение.</w:t>
      </w:r>
    </w:p>
    <w:p>
      <w:pPr>
        <w:spacing w:after="0" w:line="360" w:lineRule="auto"/>
        <w:rPr>
          <w:rFonts w:ascii="Times New Roman" w:hAnsi="Times New Roman" w:cs="Times New Roman"/>
          <w:noProof/>
          <w:sz w:val="24"/>
          <w:szCs w:val="24"/>
        </w:rPr>
      </w:pPr>
    </w:p>
    <w:p>
      <w:pPr>
        <w:spacing w:after="0" w:line="360" w:lineRule="auto"/>
        <w:ind w:left="567" w:hanging="567"/>
        <w:rPr>
          <w:rFonts w:ascii="Times New Roman" w:hAnsi="Times New Roman" w:cs="Times New Roman"/>
          <w:noProof/>
          <w:sz w:val="24"/>
          <w:szCs w:val="24"/>
        </w:rPr>
      </w:pPr>
      <w:r>
        <w:rPr>
          <w:rFonts w:ascii="Times New Roman" w:hAnsi="Times New Roman" w:cs="Times New Roman"/>
          <w:noProof/>
          <w:sz w:val="24"/>
          <w:szCs w:val="24"/>
        </w:rPr>
        <w:t>–</w:t>
      </w:r>
      <w:r>
        <w:rPr>
          <w:rFonts w:ascii="Times New Roman" w:hAnsi="Times New Roman" w:cs="Times New Roman"/>
          <w:noProof/>
          <w:sz w:val="24"/>
          <w:szCs w:val="24"/>
        </w:rPr>
        <w:tab/>
        <w:t xml:space="preserve">Регламент (ЕС) № 1016/2010 на Комисията от 10 ноември 2010 г. за прилагане на Директива 2009/125/ЕО на Европейския парламент и на Съвета по отношение на изискванията за екопроектиране на домакински съдомиялни машини </w:t>
      </w:r>
    </w:p>
    <w:p>
      <w:pPr>
        <w:spacing w:after="0" w:line="360" w:lineRule="auto"/>
        <w:rPr>
          <w:rFonts w:ascii="Times New Roman" w:hAnsi="Times New Roman" w:cs="Times New Roman"/>
          <w:noProof/>
          <w:sz w:val="24"/>
          <w:szCs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Срокове: разпоредбите на Регламент (ЕС) № 1016/2010 започват да се прилагат в срок от 6 години след влизане в сила на настоящото споразумение.</w:t>
      </w:r>
    </w:p>
    <w:p>
      <w:pPr>
        <w:spacing w:after="0" w:line="360" w:lineRule="auto"/>
        <w:rPr>
          <w:rFonts w:ascii="Times New Roman" w:hAnsi="Times New Roman" w:cs="Times New Roman"/>
          <w:noProof/>
          <w:sz w:val="24"/>
          <w:szCs w:val="24"/>
        </w:rPr>
      </w:pPr>
    </w:p>
    <w:p>
      <w:pPr>
        <w:spacing w:after="0" w:line="360" w:lineRule="auto"/>
        <w:ind w:left="567" w:hanging="567"/>
        <w:rPr>
          <w:rFonts w:ascii="Times New Roman" w:hAnsi="Times New Roman" w:cs="Times New Roman"/>
          <w:noProof/>
          <w:sz w:val="24"/>
          <w:szCs w:val="24"/>
        </w:rPr>
      </w:pPr>
      <w:r>
        <w:rPr>
          <w:rFonts w:ascii="Times New Roman" w:hAnsi="Times New Roman" w:cs="Times New Roman"/>
          <w:noProof/>
          <w:sz w:val="24"/>
          <w:szCs w:val="24"/>
        </w:rPr>
        <w:t>–</w:t>
      </w:r>
      <w:r>
        <w:rPr>
          <w:rFonts w:ascii="Times New Roman" w:hAnsi="Times New Roman" w:cs="Times New Roman"/>
          <w:noProof/>
          <w:sz w:val="24"/>
          <w:szCs w:val="24"/>
        </w:rPr>
        <w:tab/>
        <w:t>Директива 92/42/ЕИО на Съвета от 21 май 1992 г. относно изискванията за ефективност на нови бойлери за топла вода с течно или газово гориво</w:t>
      </w:r>
    </w:p>
    <w:p>
      <w:pPr>
        <w:spacing w:after="0" w:line="360" w:lineRule="auto"/>
        <w:ind w:left="567" w:hanging="567"/>
        <w:rPr>
          <w:rFonts w:ascii="Times New Roman" w:hAnsi="Times New Roman" w:cs="Times New Roman"/>
          <w:noProof/>
          <w:sz w:val="24"/>
          <w:szCs w:val="24"/>
        </w:rPr>
      </w:pPr>
    </w:p>
    <w:p>
      <w:pPr>
        <w:spacing w:after="0" w:line="360" w:lineRule="auto"/>
        <w:ind w:left="567" w:hanging="567"/>
        <w:rPr>
          <w:rFonts w:ascii="Times New Roman" w:hAnsi="Times New Roman" w:cs="Times New Roman"/>
          <w:noProof/>
          <w:sz w:val="24"/>
          <w:szCs w:val="24"/>
        </w:rPr>
      </w:pPr>
      <w:r>
        <w:rPr>
          <w:rFonts w:ascii="Times New Roman" w:hAnsi="Times New Roman" w:cs="Times New Roman"/>
          <w:noProof/>
          <w:sz w:val="24"/>
          <w:szCs w:val="24"/>
        </w:rPr>
        <w:t>–</w:t>
      </w:r>
      <w:r>
        <w:rPr>
          <w:rFonts w:ascii="Times New Roman" w:hAnsi="Times New Roman" w:cs="Times New Roman"/>
          <w:noProof/>
          <w:sz w:val="24"/>
          <w:szCs w:val="24"/>
        </w:rPr>
        <w:tab/>
        <w:t>Регламент (ЕО) № 245/2009 на Комисията от 18 март 2009 г. за прилагане на Директива 2005/32/ЕО на Европейския парламент и на Съвета по отношение на изискванията за екопроектиране на луминесцентни лампи без вграден баласт, газоразрядни лампи с висок интензитет и баласти и осветители, които могат да работят с такива лампи, както и за отменяне на Директива 2000/55/ЕО на Европейския парламент и на Съвета</w:t>
      </w:r>
    </w:p>
    <w:p>
      <w:pPr>
        <w:spacing w:after="0" w:line="360" w:lineRule="auto"/>
        <w:ind w:left="567" w:hanging="567"/>
        <w:rPr>
          <w:rFonts w:ascii="Times New Roman" w:hAnsi="Times New Roman" w:cs="Times New Roman"/>
          <w:noProof/>
          <w:sz w:val="24"/>
          <w:szCs w:val="24"/>
        </w:rPr>
      </w:pPr>
    </w:p>
    <w:p>
      <w:pPr>
        <w:rPr>
          <w:rFonts w:ascii="Times New Roman" w:hAnsi="Times New Roman" w:cs="Times New Roman"/>
          <w:noProof/>
          <w:sz w:val="24"/>
          <w:szCs w:val="24"/>
          <w:highlight w:val="green"/>
        </w:rPr>
      </w:pPr>
      <w:r>
        <w:rPr>
          <w:rFonts w:ascii="Times New Roman" w:hAnsi="Times New Roman" w:cs="Times New Roman"/>
          <w:noProof/>
          <w:sz w:val="24"/>
          <w:szCs w:val="24"/>
        </w:rPr>
        <w:br w:type="page"/>
      </w:r>
    </w:p>
    <w:p>
      <w:pPr>
        <w:spacing w:after="0" w:line="360" w:lineRule="auto"/>
        <w:ind w:left="567" w:hanging="567"/>
        <w:rPr>
          <w:rFonts w:ascii="Times New Roman" w:hAnsi="Times New Roman" w:cs="Times New Roman"/>
          <w:noProof/>
          <w:sz w:val="24"/>
          <w:szCs w:val="24"/>
        </w:rPr>
      </w:pPr>
      <w:r>
        <w:rPr>
          <w:rFonts w:ascii="Times New Roman" w:hAnsi="Times New Roman" w:cs="Times New Roman"/>
          <w:noProof/>
          <w:sz w:val="24"/>
          <w:szCs w:val="24"/>
        </w:rPr>
        <w:t>–</w:t>
      </w:r>
      <w:r>
        <w:rPr>
          <w:rFonts w:ascii="Times New Roman" w:hAnsi="Times New Roman" w:cs="Times New Roman"/>
          <w:noProof/>
          <w:sz w:val="24"/>
          <w:szCs w:val="24"/>
        </w:rPr>
        <w:tab/>
        <w:t>Регламент (ЕО) № 859/2009 на Комисията от 18 септември 2009 г. за изменение на Регламент (ЕО) № 244/2009 по отношение на изискванията за екопроектиране във връзка с ултравиолетово излъчване от ненасочени лампи за бита</w:t>
      </w:r>
    </w:p>
    <w:p>
      <w:pPr>
        <w:spacing w:after="0" w:line="360" w:lineRule="auto"/>
        <w:ind w:left="567" w:hanging="567"/>
        <w:rPr>
          <w:rFonts w:ascii="Times New Roman" w:hAnsi="Times New Roman" w:cs="Times New Roman"/>
          <w:noProof/>
          <w:sz w:val="24"/>
          <w:szCs w:val="24"/>
        </w:rPr>
      </w:pPr>
    </w:p>
    <w:p>
      <w:pPr>
        <w:spacing w:after="0" w:line="360" w:lineRule="auto"/>
        <w:ind w:left="567" w:hanging="567"/>
        <w:rPr>
          <w:rFonts w:ascii="Times New Roman" w:hAnsi="Times New Roman" w:cs="Times New Roman"/>
          <w:noProof/>
          <w:sz w:val="24"/>
          <w:szCs w:val="24"/>
        </w:rPr>
      </w:pPr>
      <w:r>
        <w:rPr>
          <w:rFonts w:ascii="Times New Roman" w:hAnsi="Times New Roman" w:cs="Times New Roman"/>
          <w:noProof/>
          <w:sz w:val="24"/>
          <w:szCs w:val="24"/>
        </w:rPr>
        <w:t>–</w:t>
      </w:r>
      <w:r>
        <w:rPr>
          <w:rFonts w:ascii="Times New Roman" w:hAnsi="Times New Roman" w:cs="Times New Roman"/>
          <w:noProof/>
          <w:sz w:val="24"/>
          <w:szCs w:val="24"/>
        </w:rPr>
        <w:tab/>
        <w:t>Регламент (ЕС) № 347/2010 на Комисията от 21 април 2010 г. за изменение на Регламент (ЕО) № 245/2009 на Комисията по отношение на изискванията за екопроектиране на луминесцентни лампи без вграден баласт, за газоразрядни лампи с висок интензитет, както и на баласти и осветители, които могат да работят с такива лампи</w:t>
      </w:r>
    </w:p>
    <w:p>
      <w:pPr>
        <w:spacing w:after="0" w:line="360" w:lineRule="auto"/>
        <w:ind w:left="567" w:hanging="567"/>
        <w:rPr>
          <w:rFonts w:ascii="Times New Roman" w:hAnsi="Times New Roman" w:cs="Times New Roman"/>
          <w:noProof/>
          <w:sz w:val="24"/>
          <w:szCs w:val="24"/>
        </w:rPr>
      </w:pPr>
    </w:p>
    <w:p>
      <w:pPr>
        <w:spacing w:after="0" w:line="360" w:lineRule="auto"/>
        <w:ind w:left="567" w:hanging="567"/>
        <w:rPr>
          <w:rFonts w:ascii="Times New Roman" w:hAnsi="Times New Roman" w:cs="Times New Roman"/>
          <w:noProof/>
          <w:sz w:val="24"/>
          <w:szCs w:val="24"/>
        </w:rPr>
      </w:pPr>
      <w:r>
        <w:rPr>
          <w:rFonts w:ascii="Times New Roman" w:hAnsi="Times New Roman" w:cs="Times New Roman"/>
          <w:noProof/>
          <w:sz w:val="24"/>
          <w:szCs w:val="24"/>
        </w:rPr>
        <w:t>–</w:t>
      </w:r>
      <w:r>
        <w:rPr>
          <w:rFonts w:ascii="Times New Roman" w:hAnsi="Times New Roman" w:cs="Times New Roman"/>
          <w:noProof/>
          <w:sz w:val="24"/>
          <w:szCs w:val="24"/>
        </w:rPr>
        <w:tab/>
        <w:t xml:space="preserve">Регламент (ЕС) № 206/2012 на Комисията от 6 март 2012 г. за прилагане на Директива 2009/125/ЕО на Европейския парламент и на Съвета по отношение на изискванията за екопроектиране на климатизатори и вентилатори за разхлаждане </w:t>
      </w:r>
    </w:p>
    <w:p>
      <w:pPr>
        <w:spacing w:after="0" w:line="360" w:lineRule="auto"/>
        <w:ind w:left="567" w:hanging="567"/>
        <w:rPr>
          <w:rFonts w:ascii="Times New Roman" w:hAnsi="Times New Roman" w:cs="Times New Roman"/>
          <w:noProof/>
          <w:sz w:val="24"/>
          <w:szCs w:val="24"/>
        </w:rPr>
      </w:pPr>
    </w:p>
    <w:p>
      <w:pPr>
        <w:spacing w:after="0" w:line="360" w:lineRule="auto"/>
        <w:ind w:left="567" w:hanging="567"/>
        <w:rPr>
          <w:rFonts w:ascii="Times New Roman" w:hAnsi="Times New Roman" w:cs="Times New Roman"/>
          <w:noProof/>
          <w:sz w:val="24"/>
          <w:szCs w:val="24"/>
        </w:rPr>
      </w:pPr>
      <w:r>
        <w:rPr>
          <w:rFonts w:ascii="Times New Roman" w:hAnsi="Times New Roman" w:cs="Times New Roman"/>
          <w:noProof/>
          <w:sz w:val="24"/>
          <w:szCs w:val="24"/>
        </w:rPr>
        <w:t>–</w:t>
      </w:r>
      <w:r>
        <w:rPr>
          <w:rFonts w:ascii="Times New Roman" w:hAnsi="Times New Roman" w:cs="Times New Roman"/>
          <w:noProof/>
          <w:sz w:val="24"/>
          <w:szCs w:val="24"/>
        </w:rPr>
        <w:tab/>
        <w:t>Регламент (ЕС) № 547/2012 на Комисията от 25 юни 2012 г. за прилагане на Директива 2009/125/ЕО на Европейския парламент и на Съвета по отношение на изискванията за екопроектиране на водни помпи</w:t>
      </w:r>
    </w:p>
    <w:p>
      <w:pPr>
        <w:spacing w:after="0" w:line="360" w:lineRule="auto"/>
        <w:ind w:left="567" w:hanging="567"/>
        <w:rPr>
          <w:rFonts w:ascii="Times New Roman" w:hAnsi="Times New Roman" w:cs="Times New Roman"/>
          <w:noProof/>
          <w:sz w:val="24"/>
          <w:szCs w:val="24"/>
        </w:rPr>
      </w:pPr>
    </w:p>
    <w:p>
      <w:pPr>
        <w:spacing w:after="0" w:line="360" w:lineRule="auto"/>
        <w:ind w:left="567" w:hanging="567"/>
        <w:rPr>
          <w:rFonts w:ascii="Times New Roman" w:hAnsi="Times New Roman" w:cs="Times New Roman"/>
          <w:noProof/>
          <w:sz w:val="24"/>
          <w:szCs w:val="24"/>
        </w:rPr>
      </w:pPr>
      <w:r>
        <w:rPr>
          <w:rFonts w:ascii="Times New Roman" w:hAnsi="Times New Roman" w:cs="Times New Roman"/>
          <w:noProof/>
          <w:sz w:val="24"/>
          <w:szCs w:val="24"/>
        </w:rPr>
        <w:t>–</w:t>
      </w:r>
      <w:r>
        <w:rPr>
          <w:rFonts w:ascii="Times New Roman" w:hAnsi="Times New Roman" w:cs="Times New Roman"/>
          <w:noProof/>
          <w:sz w:val="24"/>
          <w:szCs w:val="24"/>
        </w:rPr>
        <w:tab/>
        <w:t>Регламент (ЕС) № 622/2012 на Комисията от 11 юли 2012 г. за изменение на Регламент (ЕО) № 641/2009 по отношение на изискванията за екопроектиране на безсалникови автономни циркулационни помпи и безсалникови вградени в продукти циркулационни помпи</w:t>
      </w:r>
    </w:p>
    <w:p>
      <w:pPr>
        <w:spacing w:after="0" w:line="360" w:lineRule="auto"/>
        <w:ind w:left="567" w:hanging="567"/>
        <w:rPr>
          <w:rFonts w:ascii="Times New Roman" w:hAnsi="Times New Roman" w:cs="Times New Roman"/>
          <w:noProof/>
          <w:sz w:val="24"/>
          <w:szCs w:val="24"/>
        </w:rPr>
      </w:pPr>
    </w:p>
    <w:p>
      <w:pPr>
        <w:spacing w:after="0" w:line="360" w:lineRule="auto"/>
        <w:ind w:left="567" w:hanging="567"/>
        <w:rPr>
          <w:rFonts w:ascii="Times New Roman" w:hAnsi="Times New Roman" w:cs="Times New Roman"/>
          <w:noProof/>
          <w:sz w:val="24"/>
          <w:szCs w:val="24"/>
        </w:rPr>
      </w:pPr>
      <w:r>
        <w:rPr>
          <w:rFonts w:ascii="Times New Roman" w:hAnsi="Times New Roman" w:cs="Times New Roman"/>
          <w:noProof/>
          <w:sz w:val="24"/>
          <w:szCs w:val="24"/>
        </w:rPr>
        <w:t>–</w:t>
      </w:r>
      <w:r>
        <w:rPr>
          <w:rFonts w:ascii="Times New Roman" w:hAnsi="Times New Roman" w:cs="Times New Roman"/>
          <w:noProof/>
          <w:sz w:val="24"/>
          <w:szCs w:val="24"/>
        </w:rPr>
        <w:tab/>
        <w:t>Регламент (ЕС) № 932/2012 на Комисията от 3 октомври 2012 г. за прилагане на Директива 2009/125/ЕО на Европейския парламент и на Съвета по отношение на изискванията за екопроектиране на битови барабанни сушилни машини</w:t>
      </w:r>
    </w:p>
    <w:p>
      <w:pPr>
        <w:spacing w:after="0" w:line="360" w:lineRule="auto"/>
        <w:ind w:left="567" w:hanging="567"/>
        <w:rPr>
          <w:rFonts w:ascii="Times New Roman" w:hAnsi="Times New Roman" w:cs="Times New Roman"/>
          <w:noProof/>
          <w:sz w:val="24"/>
          <w:szCs w:val="24"/>
        </w:rPr>
      </w:pPr>
    </w:p>
    <w:p>
      <w:pPr>
        <w:rPr>
          <w:rFonts w:ascii="Times New Roman" w:hAnsi="Times New Roman" w:cs="Times New Roman"/>
          <w:noProof/>
          <w:sz w:val="24"/>
          <w:szCs w:val="24"/>
          <w:highlight w:val="green"/>
        </w:rPr>
      </w:pPr>
      <w:r>
        <w:rPr>
          <w:rFonts w:ascii="Times New Roman" w:hAnsi="Times New Roman" w:cs="Times New Roman"/>
          <w:noProof/>
          <w:sz w:val="24"/>
          <w:szCs w:val="24"/>
        </w:rPr>
        <w:br w:type="page"/>
      </w:r>
    </w:p>
    <w:p>
      <w:pPr>
        <w:spacing w:after="0" w:line="360" w:lineRule="auto"/>
        <w:ind w:left="567" w:hanging="567"/>
        <w:rPr>
          <w:rFonts w:ascii="Times New Roman" w:hAnsi="Times New Roman" w:cs="Times New Roman"/>
          <w:noProof/>
          <w:sz w:val="24"/>
          <w:szCs w:val="24"/>
        </w:rPr>
      </w:pPr>
      <w:r>
        <w:rPr>
          <w:rFonts w:ascii="Times New Roman" w:hAnsi="Times New Roman" w:cs="Times New Roman"/>
          <w:noProof/>
          <w:sz w:val="24"/>
          <w:szCs w:val="24"/>
        </w:rPr>
        <w:t>–</w:t>
      </w:r>
      <w:r>
        <w:rPr>
          <w:rFonts w:ascii="Times New Roman" w:hAnsi="Times New Roman" w:cs="Times New Roman"/>
          <w:noProof/>
          <w:sz w:val="24"/>
          <w:szCs w:val="24"/>
        </w:rPr>
        <w:tab/>
        <w:t>Регламент (ЕС) № 1194/2012 на Комисията от 12 декември 2012 г. за прилагане на Директива 2009/125/ЕО на Европейския парламент и на Съвета по отношение на изискванията за екопроектиране на насочени лампи, светодиодни лампи и съответното оборудване</w:t>
      </w:r>
    </w:p>
    <w:p>
      <w:pPr>
        <w:spacing w:after="0" w:line="360" w:lineRule="auto"/>
        <w:ind w:left="567" w:hanging="567"/>
        <w:rPr>
          <w:rFonts w:ascii="Times New Roman" w:hAnsi="Times New Roman" w:cs="Times New Roman"/>
          <w:noProof/>
          <w:sz w:val="24"/>
          <w:szCs w:val="24"/>
        </w:rPr>
      </w:pPr>
    </w:p>
    <w:p>
      <w:pPr>
        <w:spacing w:after="0" w:line="360" w:lineRule="auto"/>
        <w:ind w:left="567" w:hanging="567"/>
        <w:rPr>
          <w:rFonts w:ascii="Times New Roman" w:hAnsi="Times New Roman" w:cs="Times New Roman"/>
          <w:noProof/>
          <w:sz w:val="24"/>
          <w:szCs w:val="24"/>
        </w:rPr>
      </w:pPr>
      <w:r>
        <w:rPr>
          <w:rFonts w:ascii="Times New Roman" w:hAnsi="Times New Roman" w:cs="Times New Roman"/>
          <w:noProof/>
          <w:sz w:val="24"/>
          <w:szCs w:val="24"/>
        </w:rPr>
        <w:t>–</w:t>
      </w:r>
      <w:r>
        <w:rPr>
          <w:rFonts w:ascii="Times New Roman" w:hAnsi="Times New Roman" w:cs="Times New Roman"/>
          <w:noProof/>
          <w:sz w:val="24"/>
          <w:szCs w:val="24"/>
        </w:rPr>
        <w:tab/>
        <w:t>Регламент (ЕС) № 617/2013 на Комисията от 26 юни 2013 г. за прилагане на Директива 2009/125/ЕО на Европейския парламент и на Съвета по отношение на изискванията за екопроектиране на компютри и компютърни сървъри</w:t>
      </w:r>
    </w:p>
    <w:p>
      <w:pPr>
        <w:spacing w:after="0" w:line="360" w:lineRule="auto"/>
        <w:ind w:left="567" w:hanging="567"/>
        <w:rPr>
          <w:rFonts w:ascii="Times New Roman" w:hAnsi="Times New Roman" w:cs="Times New Roman"/>
          <w:noProof/>
          <w:sz w:val="24"/>
          <w:szCs w:val="24"/>
        </w:rPr>
      </w:pPr>
    </w:p>
    <w:p>
      <w:pPr>
        <w:spacing w:after="0" w:line="360" w:lineRule="auto"/>
        <w:ind w:left="567" w:hanging="567"/>
        <w:rPr>
          <w:rFonts w:ascii="Times New Roman" w:hAnsi="Times New Roman" w:cs="Times New Roman"/>
          <w:noProof/>
          <w:sz w:val="24"/>
          <w:szCs w:val="24"/>
        </w:rPr>
      </w:pPr>
      <w:r>
        <w:rPr>
          <w:rFonts w:ascii="Times New Roman" w:hAnsi="Times New Roman" w:cs="Times New Roman"/>
          <w:noProof/>
          <w:sz w:val="24"/>
          <w:szCs w:val="24"/>
        </w:rPr>
        <w:t>–</w:t>
      </w:r>
      <w:r>
        <w:rPr>
          <w:rFonts w:ascii="Times New Roman" w:hAnsi="Times New Roman" w:cs="Times New Roman"/>
          <w:noProof/>
          <w:sz w:val="24"/>
          <w:szCs w:val="24"/>
        </w:rPr>
        <w:tab/>
        <w:t>Регламент (ЕС) № 666/2013 на Комисията от 8 юли 2013 г. за прилагане на Директива 2009/125/ЕО на Европейския парламент и на Съвета по отношение на изискванията за екопроектиране за прахосмукачки</w:t>
      </w:r>
    </w:p>
    <w:p>
      <w:pPr>
        <w:spacing w:after="0" w:line="360" w:lineRule="auto"/>
        <w:rPr>
          <w:rFonts w:ascii="Times New Roman" w:hAnsi="Times New Roman" w:cs="Times New Roman"/>
          <w:noProof/>
          <w:sz w:val="24"/>
          <w:szCs w:val="24"/>
        </w:rPr>
      </w:pPr>
    </w:p>
    <w:p>
      <w:pPr>
        <w:spacing w:after="0" w:line="360" w:lineRule="auto"/>
        <w:ind w:left="567" w:hanging="567"/>
        <w:rPr>
          <w:rFonts w:ascii="Times New Roman" w:hAnsi="Times New Roman" w:cs="Times New Roman"/>
          <w:noProof/>
          <w:sz w:val="24"/>
          <w:szCs w:val="24"/>
        </w:rPr>
      </w:pPr>
      <w:r>
        <w:rPr>
          <w:rFonts w:ascii="Times New Roman" w:hAnsi="Times New Roman" w:cs="Times New Roman"/>
          <w:noProof/>
          <w:sz w:val="24"/>
          <w:szCs w:val="24"/>
        </w:rPr>
        <w:t>–</w:t>
      </w:r>
      <w:r>
        <w:rPr>
          <w:rFonts w:ascii="Times New Roman" w:hAnsi="Times New Roman" w:cs="Times New Roman"/>
          <w:noProof/>
          <w:sz w:val="24"/>
          <w:szCs w:val="24"/>
        </w:rPr>
        <w:tab/>
        <w:t>Регламент (ЕС) № 801/2013 на Комисията от 22 август 2013 г. за изменение на Регламент (ЕО) № 1275/2008 по отношение на изискванията за екопроектиране към електрическото и електронното битово и офис оборудване във връзка с консумацията му на електроенергия в режим „в готовност“ и режим „изключен“, както и за изменение на Регламент (ЕО) № 642/2009 по отношение на изискванията за екопроектиране на телевизори</w:t>
      </w:r>
    </w:p>
    <w:p>
      <w:pPr>
        <w:spacing w:after="0" w:line="360" w:lineRule="auto"/>
        <w:rPr>
          <w:rFonts w:ascii="Times New Roman" w:hAnsi="Times New Roman" w:cs="Times New Roman"/>
          <w:noProof/>
          <w:sz w:val="24"/>
          <w:szCs w:val="24"/>
        </w:rPr>
      </w:pPr>
    </w:p>
    <w:p>
      <w:pPr>
        <w:spacing w:after="0" w:line="360" w:lineRule="auto"/>
        <w:ind w:left="567" w:hanging="567"/>
        <w:rPr>
          <w:rFonts w:ascii="Times New Roman" w:hAnsi="Times New Roman" w:cs="Times New Roman"/>
          <w:noProof/>
          <w:sz w:val="24"/>
          <w:szCs w:val="24"/>
        </w:rPr>
      </w:pPr>
      <w:r>
        <w:rPr>
          <w:rFonts w:ascii="Times New Roman" w:hAnsi="Times New Roman" w:cs="Times New Roman"/>
          <w:noProof/>
          <w:sz w:val="24"/>
          <w:szCs w:val="24"/>
        </w:rPr>
        <w:t>–</w:t>
      </w:r>
      <w:r>
        <w:rPr>
          <w:rFonts w:ascii="Times New Roman" w:hAnsi="Times New Roman" w:cs="Times New Roman"/>
          <w:noProof/>
          <w:sz w:val="24"/>
          <w:szCs w:val="24"/>
        </w:rPr>
        <w:tab/>
        <w:t>Регламент (ЕС) № 813/2013 на Комисията от 2 август 2013 г. за прилагане на Директива 2009/125/ЕО на Европейския парламент и на Съвета по отношение на изискванията за екопроектиране на отоплителни топлоизточници и комбинирани топлоизточници</w:t>
      </w:r>
    </w:p>
    <w:p>
      <w:pPr>
        <w:spacing w:after="0" w:line="360" w:lineRule="auto"/>
        <w:ind w:left="567" w:hanging="567"/>
        <w:rPr>
          <w:rFonts w:ascii="Times New Roman" w:hAnsi="Times New Roman" w:cs="Times New Roman"/>
          <w:noProof/>
          <w:sz w:val="24"/>
          <w:szCs w:val="24"/>
        </w:rPr>
      </w:pPr>
    </w:p>
    <w:p>
      <w:pPr>
        <w:spacing w:after="0" w:line="360" w:lineRule="auto"/>
        <w:ind w:left="567" w:hanging="567"/>
        <w:rPr>
          <w:rFonts w:ascii="Times New Roman" w:hAnsi="Times New Roman" w:cs="Times New Roman"/>
          <w:noProof/>
          <w:sz w:val="24"/>
          <w:szCs w:val="24"/>
        </w:rPr>
      </w:pPr>
      <w:r>
        <w:rPr>
          <w:rFonts w:ascii="Times New Roman" w:hAnsi="Times New Roman" w:cs="Times New Roman"/>
          <w:noProof/>
          <w:sz w:val="24"/>
          <w:szCs w:val="24"/>
        </w:rPr>
        <w:t>–</w:t>
      </w:r>
      <w:r>
        <w:rPr>
          <w:rFonts w:ascii="Times New Roman" w:hAnsi="Times New Roman" w:cs="Times New Roman"/>
          <w:noProof/>
          <w:sz w:val="24"/>
          <w:szCs w:val="24"/>
        </w:rPr>
        <w:tab/>
        <w:t>Регламент (ЕС) № 814/2013 на Комисията от 2 август 2013 г. за прилагане на Директива 2009/125/ЕО на Европейския парламент и на Съвета по отношение на изискванията за екопроектиране за водоподгреватели и топлоакумулиращи резервоари за гореща вода</w:t>
      </w:r>
    </w:p>
    <w:p>
      <w:pPr>
        <w:spacing w:after="0" w:line="360" w:lineRule="auto"/>
        <w:ind w:left="567" w:hanging="567"/>
        <w:rPr>
          <w:rFonts w:ascii="Times New Roman" w:hAnsi="Times New Roman" w:cs="Times New Roman"/>
          <w:noProof/>
          <w:sz w:val="24"/>
          <w:szCs w:val="24"/>
        </w:rPr>
      </w:pPr>
    </w:p>
    <w:p>
      <w:pPr>
        <w:rPr>
          <w:rFonts w:ascii="Times New Roman" w:hAnsi="Times New Roman" w:cs="Times New Roman"/>
          <w:noProof/>
          <w:sz w:val="24"/>
          <w:szCs w:val="24"/>
        </w:rPr>
      </w:pPr>
      <w:r>
        <w:rPr>
          <w:rFonts w:ascii="Times New Roman" w:hAnsi="Times New Roman" w:cs="Times New Roman"/>
          <w:noProof/>
          <w:sz w:val="24"/>
          <w:szCs w:val="24"/>
        </w:rPr>
        <w:br w:type="page"/>
      </w:r>
    </w:p>
    <w:p>
      <w:pPr>
        <w:spacing w:after="0" w:line="360" w:lineRule="auto"/>
        <w:ind w:left="567" w:hanging="567"/>
        <w:rPr>
          <w:rFonts w:ascii="Times New Roman" w:hAnsi="Times New Roman" w:cs="Times New Roman"/>
          <w:noProof/>
          <w:sz w:val="24"/>
          <w:szCs w:val="24"/>
        </w:rPr>
      </w:pPr>
      <w:r>
        <w:rPr>
          <w:rFonts w:ascii="Times New Roman" w:hAnsi="Times New Roman" w:cs="Times New Roman"/>
          <w:noProof/>
          <w:sz w:val="24"/>
          <w:szCs w:val="24"/>
        </w:rPr>
        <w:t>–</w:t>
      </w:r>
      <w:r>
        <w:rPr>
          <w:rFonts w:ascii="Times New Roman" w:hAnsi="Times New Roman" w:cs="Times New Roman"/>
          <w:noProof/>
          <w:sz w:val="24"/>
          <w:szCs w:val="24"/>
        </w:rPr>
        <w:tab/>
        <w:t>Регламент (ЕС) № 4/2014 на Комисията от 6 януари 2014 г. за изменение на Регламент (ЕО) № 640/2009 за прилагане на Директива 2005/32/ЕО на Европейския парламент и на Съвета по отношение на изискванията за екопроектиране на електродвигатели</w:t>
      </w:r>
    </w:p>
    <w:p>
      <w:pPr>
        <w:spacing w:after="0" w:line="360" w:lineRule="auto"/>
        <w:ind w:left="567" w:hanging="567"/>
        <w:rPr>
          <w:rFonts w:ascii="Times New Roman" w:hAnsi="Times New Roman" w:cs="Times New Roman"/>
          <w:noProof/>
          <w:sz w:val="24"/>
          <w:szCs w:val="24"/>
        </w:rPr>
      </w:pPr>
    </w:p>
    <w:p>
      <w:pPr>
        <w:spacing w:after="0" w:line="360" w:lineRule="auto"/>
        <w:ind w:left="567" w:hanging="567"/>
        <w:rPr>
          <w:rFonts w:ascii="Times New Roman" w:hAnsi="Times New Roman" w:cs="Times New Roman"/>
          <w:noProof/>
          <w:sz w:val="24"/>
          <w:szCs w:val="24"/>
        </w:rPr>
      </w:pPr>
      <w:r>
        <w:rPr>
          <w:rFonts w:ascii="Times New Roman" w:hAnsi="Times New Roman" w:cs="Times New Roman"/>
          <w:noProof/>
          <w:sz w:val="24"/>
          <w:szCs w:val="24"/>
        </w:rPr>
        <w:t>–</w:t>
      </w:r>
      <w:r>
        <w:rPr>
          <w:rFonts w:ascii="Times New Roman" w:hAnsi="Times New Roman" w:cs="Times New Roman"/>
          <w:noProof/>
          <w:sz w:val="24"/>
          <w:szCs w:val="24"/>
        </w:rPr>
        <w:tab/>
        <w:t>Регламент (ЕС) № 66/2014 на Комисията от 14 януари 2014 г. за прилагане на Директива 2009/125/ЕО на Европейския парламент и на Съвета по отношение на изискванията за екопроектиране на битови фурни, котлони и абсорбатори</w:t>
      </w:r>
    </w:p>
    <w:p>
      <w:pPr>
        <w:spacing w:after="0" w:line="360" w:lineRule="auto"/>
        <w:ind w:left="567" w:hanging="567"/>
        <w:rPr>
          <w:rFonts w:ascii="Times New Roman" w:hAnsi="Times New Roman" w:cs="Times New Roman"/>
          <w:noProof/>
          <w:sz w:val="24"/>
          <w:szCs w:val="24"/>
        </w:rPr>
      </w:pPr>
    </w:p>
    <w:p>
      <w:pPr>
        <w:spacing w:after="0" w:line="360" w:lineRule="auto"/>
        <w:ind w:left="567" w:hanging="567"/>
        <w:rPr>
          <w:rFonts w:ascii="Times New Roman" w:hAnsi="Times New Roman" w:cs="Times New Roman"/>
          <w:noProof/>
          <w:sz w:val="24"/>
          <w:szCs w:val="24"/>
        </w:rPr>
      </w:pPr>
      <w:r>
        <w:rPr>
          <w:rFonts w:ascii="Times New Roman" w:hAnsi="Times New Roman" w:cs="Times New Roman"/>
          <w:noProof/>
          <w:sz w:val="24"/>
          <w:szCs w:val="24"/>
        </w:rPr>
        <w:t>–</w:t>
      </w:r>
      <w:r>
        <w:rPr>
          <w:rFonts w:ascii="Times New Roman" w:hAnsi="Times New Roman" w:cs="Times New Roman"/>
          <w:noProof/>
          <w:sz w:val="24"/>
          <w:szCs w:val="24"/>
        </w:rPr>
        <w:tab/>
        <w:t>Регламент (ЕС) № 548/2014 на Комисията от 21 май 2014 г. за прилагане на Директива 2009/125/ЕО на Европейския парламент и на Съвета по отношение на малките, средните и големите силови трансформатори</w:t>
      </w:r>
    </w:p>
    <w:p>
      <w:pPr>
        <w:spacing w:after="0" w:line="360" w:lineRule="auto"/>
        <w:ind w:left="567" w:hanging="567"/>
        <w:rPr>
          <w:rFonts w:ascii="Times New Roman" w:hAnsi="Times New Roman" w:cs="Times New Roman"/>
          <w:noProof/>
          <w:sz w:val="24"/>
          <w:szCs w:val="24"/>
        </w:rPr>
      </w:pPr>
    </w:p>
    <w:p>
      <w:pPr>
        <w:spacing w:after="0" w:line="360" w:lineRule="auto"/>
        <w:ind w:left="567" w:hanging="567"/>
        <w:rPr>
          <w:rFonts w:ascii="Times New Roman" w:hAnsi="Times New Roman" w:cs="Times New Roman"/>
          <w:noProof/>
          <w:sz w:val="24"/>
          <w:szCs w:val="24"/>
        </w:rPr>
      </w:pPr>
      <w:r>
        <w:rPr>
          <w:rFonts w:ascii="Times New Roman" w:hAnsi="Times New Roman" w:cs="Times New Roman"/>
          <w:noProof/>
          <w:sz w:val="24"/>
          <w:szCs w:val="24"/>
        </w:rPr>
        <w:t>–</w:t>
      </w:r>
      <w:r>
        <w:rPr>
          <w:rFonts w:ascii="Times New Roman" w:hAnsi="Times New Roman" w:cs="Times New Roman"/>
          <w:noProof/>
          <w:sz w:val="24"/>
          <w:szCs w:val="24"/>
        </w:rPr>
        <w:tab/>
        <w:t>Регламент (ЕС) № 1253/2014 на Комисията от 7 юли 2014 г. за прилагане на Директива 2009/125/ЕО на Европейския парламент и на Съвета по отношение на изискванията за екопроектиране на вентилационни агрегати</w:t>
      </w:r>
    </w:p>
    <w:p>
      <w:pPr>
        <w:spacing w:after="0" w:line="360" w:lineRule="auto"/>
        <w:ind w:left="567" w:hanging="567"/>
        <w:rPr>
          <w:rFonts w:ascii="Times New Roman" w:hAnsi="Times New Roman" w:cs="Times New Roman"/>
          <w:noProof/>
          <w:sz w:val="24"/>
          <w:szCs w:val="24"/>
        </w:rPr>
      </w:pPr>
    </w:p>
    <w:p>
      <w:pPr>
        <w:spacing w:after="0" w:line="360" w:lineRule="auto"/>
        <w:ind w:left="567" w:hanging="567"/>
        <w:rPr>
          <w:rFonts w:ascii="Times New Roman" w:hAnsi="Times New Roman" w:cs="Times New Roman"/>
          <w:noProof/>
          <w:sz w:val="24"/>
          <w:szCs w:val="24"/>
        </w:rPr>
      </w:pPr>
      <w:r>
        <w:rPr>
          <w:rFonts w:ascii="Times New Roman" w:hAnsi="Times New Roman" w:cs="Times New Roman"/>
          <w:noProof/>
          <w:sz w:val="24"/>
          <w:szCs w:val="24"/>
        </w:rPr>
        <w:t>–</w:t>
      </w:r>
      <w:r>
        <w:rPr>
          <w:rFonts w:ascii="Times New Roman" w:hAnsi="Times New Roman" w:cs="Times New Roman"/>
          <w:noProof/>
          <w:sz w:val="24"/>
          <w:szCs w:val="24"/>
        </w:rPr>
        <w:tab/>
        <w:t>Регламент (ЕС) 2015/1095 на Комисията от 5 май 2015 г. изпълнение на Директива 2009/125/ЕО на Европейския парламент и на Съвета по отношение на изискванията за екопроектиране на професионални хладилни шкафове за съхранение, бързоохлаждащи шкафове, кондензационни агрегати и технологични охладители</w:t>
      </w:r>
    </w:p>
    <w:p>
      <w:pPr>
        <w:spacing w:after="0" w:line="360" w:lineRule="auto"/>
        <w:ind w:left="567" w:hanging="567"/>
        <w:rPr>
          <w:rFonts w:ascii="Times New Roman" w:hAnsi="Times New Roman" w:cs="Times New Roman"/>
          <w:noProof/>
          <w:sz w:val="24"/>
          <w:szCs w:val="24"/>
        </w:rPr>
      </w:pPr>
    </w:p>
    <w:p>
      <w:pPr>
        <w:spacing w:after="0" w:line="360" w:lineRule="auto"/>
        <w:ind w:left="567" w:hanging="567"/>
        <w:rPr>
          <w:rFonts w:ascii="Times New Roman" w:hAnsi="Times New Roman" w:cs="Times New Roman"/>
          <w:noProof/>
          <w:sz w:val="24"/>
          <w:szCs w:val="24"/>
        </w:rPr>
      </w:pPr>
      <w:r>
        <w:rPr>
          <w:rFonts w:ascii="Times New Roman" w:hAnsi="Times New Roman" w:cs="Times New Roman"/>
          <w:noProof/>
          <w:sz w:val="24"/>
          <w:szCs w:val="24"/>
        </w:rPr>
        <w:t>–</w:t>
      </w:r>
      <w:r>
        <w:rPr>
          <w:rFonts w:ascii="Times New Roman" w:hAnsi="Times New Roman" w:cs="Times New Roman"/>
          <w:noProof/>
          <w:sz w:val="24"/>
          <w:szCs w:val="24"/>
        </w:rPr>
        <w:tab/>
        <w:t>Регламент (ЕС) 2015/1185 на Комисията от 24 април 2015 г. за изпълнение на Директива 2009/125/ЕО на Европейския парламент и на Съвета по отношение на изискванията за екопроектиране на локални отоплителни топлоизточници на твърдо гориво</w:t>
      </w:r>
    </w:p>
    <w:p>
      <w:pPr>
        <w:spacing w:after="0" w:line="360" w:lineRule="auto"/>
        <w:ind w:left="567" w:hanging="567"/>
        <w:rPr>
          <w:rFonts w:ascii="Times New Roman" w:hAnsi="Times New Roman" w:cs="Times New Roman"/>
          <w:noProof/>
          <w:sz w:val="24"/>
          <w:szCs w:val="24"/>
        </w:rPr>
      </w:pPr>
    </w:p>
    <w:p>
      <w:pPr>
        <w:rPr>
          <w:rFonts w:ascii="Times New Roman" w:hAnsi="Times New Roman" w:cs="Times New Roman"/>
          <w:noProof/>
          <w:sz w:val="24"/>
          <w:szCs w:val="24"/>
          <w:highlight w:val="green"/>
        </w:rPr>
      </w:pPr>
      <w:r>
        <w:rPr>
          <w:rFonts w:ascii="Times New Roman" w:hAnsi="Times New Roman" w:cs="Times New Roman"/>
          <w:noProof/>
          <w:sz w:val="24"/>
          <w:szCs w:val="24"/>
        </w:rPr>
        <w:br w:type="page"/>
      </w:r>
    </w:p>
    <w:p>
      <w:pPr>
        <w:spacing w:after="0" w:line="360" w:lineRule="auto"/>
        <w:ind w:left="567" w:hanging="567"/>
        <w:rPr>
          <w:rFonts w:ascii="Times New Roman" w:hAnsi="Times New Roman" w:cs="Times New Roman"/>
          <w:noProof/>
          <w:sz w:val="24"/>
          <w:szCs w:val="24"/>
        </w:rPr>
      </w:pPr>
      <w:r>
        <w:rPr>
          <w:rFonts w:ascii="Times New Roman" w:hAnsi="Times New Roman" w:cs="Times New Roman"/>
          <w:noProof/>
          <w:sz w:val="24"/>
          <w:szCs w:val="24"/>
        </w:rPr>
        <w:t>–</w:t>
      </w:r>
      <w:r>
        <w:rPr>
          <w:rFonts w:ascii="Times New Roman" w:hAnsi="Times New Roman" w:cs="Times New Roman"/>
          <w:noProof/>
          <w:sz w:val="24"/>
          <w:szCs w:val="24"/>
        </w:rPr>
        <w:tab/>
        <w:t>Регламент (ЕС) 2015/1188 на Комисията от 28 април 2015 г. за прилагане на Директива 2009/125/ЕО на Европейския парламент и на Съвета по отношение на изискванията за екопроектиране на локални отоплителни топлоизточници</w:t>
      </w:r>
    </w:p>
    <w:p>
      <w:pPr>
        <w:spacing w:after="0" w:line="360" w:lineRule="auto"/>
        <w:ind w:left="567" w:hanging="567"/>
        <w:rPr>
          <w:rFonts w:ascii="Times New Roman" w:hAnsi="Times New Roman" w:cs="Times New Roman"/>
          <w:noProof/>
          <w:sz w:val="24"/>
          <w:szCs w:val="24"/>
        </w:rPr>
      </w:pPr>
    </w:p>
    <w:p>
      <w:pPr>
        <w:spacing w:after="0" w:line="360" w:lineRule="auto"/>
        <w:ind w:left="567" w:hanging="567"/>
        <w:rPr>
          <w:rFonts w:ascii="Times New Roman" w:hAnsi="Times New Roman" w:cs="Times New Roman"/>
          <w:noProof/>
          <w:sz w:val="24"/>
          <w:szCs w:val="24"/>
        </w:rPr>
      </w:pPr>
      <w:r>
        <w:rPr>
          <w:rFonts w:ascii="Times New Roman" w:hAnsi="Times New Roman" w:cs="Times New Roman"/>
          <w:noProof/>
          <w:sz w:val="24"/>
          <w:szCs w:val="24"/>
        </w:rPr>
        <w:t>–</w:t>
      </w:r>
      <w:r>
        <w:rPr>
          <w:rFonts w:ascii="Times New Roman" w:hAnsi="Times New Roman" w:cs="Times New Roman"/>
          <w:noProof/>
          <w:sz w:val="24"/>
          <w:szCs w:val="24"/>
        </w:rPr>
        <w:tab/>
        <w:t>Регламент (ЕС) № 2015/1189 на Комисията от 28 април 2015 г. за прилагане на Директива 2009/125/ЕО на Европейския парламент и на Съвета по отношение на изискванията за екопроектиране на котли на твърдо гориво</w:t>
      </w:r>
    </w:p>
    <w:p>
      <w:pPr>
        <w:spacing w:after="0" w:line="360" w:lineRule="auto"/>
        <w:ind w:left="567" w:hanging="567"/>
        <w:rPr>
          <w:rFonts w:ascii="Times New Roman" w:hAnsi="Times New Roman" w:cs="Times New Roman"/>
          <w:noProof/>
          <w:sz w:val="24"/>
          <w:szCs w:val="24"/>
        </w:rPr>
      </w:pPr>
    </w:p>
    <w:p>
      <w:pPr>
        <w:spacing w:after="0" w:line="360" w:lineRule="auto"/>
        <w:ind w:left="567" w:hanging="567"/>
        <w:rPr>
          <w:rFonts w:ascii="Times New Roman" w:hAnsi="Times New Roman" w:cs="Times New Roman"/>
          <w:noProof/>
          <w:sz w:val="24"/>
          <w:szCs w:val="24"/>
        </w:rPr>
      </w:pPr>
      <w:r>
        <w:rPr>
          <w:rFonts w:ascii="Times New Roman" w:hAnsi="Times New Roman" w:cs="Times New Roman"/>
          <w:noProof/>
          <w:sz w:val="24"/>
          <w:szCs w:val="24"/>
        </w:rPr>
        <w:t>–</w:t>
      </w:r>
      <w:r>
        <w:rPr>
          <w:rFonts w:ascii="Times New Roman" w:hAnsi="Times New Roman" w:cs="Times New Roman"/>
          <w:noProof/>
          <w:sz w:val="24"/>
          <w:szCs w:val="24"/>
        </w:rPr>
        <w:tab/>
        <w:t>Регламент (ЕС) 2015/1428 на Комисията от 25 август 2015 г. за изменение на Регламент (ЕО) № 244/2009 на Комисията по отношение на изискванията за екопроектиране на ненасочени лампи за бита и Регламент (ЕО) № 245/2009 на Комисията по отношение на изискванията за екопроектиране на луминесцентни лампи без вграден баласт, газоразрядни лампи с висок интензитет и баласти и осветители, които могат да работят с такива лампи, както и за отменяне на Директива 2000/55/ЕО на Европейския парламент и на Съвета, както и Регламент (ЕС) № 1194/2012 на Комисията по отношение на изискванията за екопроектиране на насочени лампи, светодиодни лампи и съответното оборудване</w:t>
      </w:r>
    </w:p>
    <w:p>
      <w:pPr>
        <w:spacing w:after="0" w:line="360" w:lineRule="auto"/>
        <w:rPr>
          <w:rFonts w:ascii="Times New Roman" w:hAnsi="Times New Roman" w:cs="Times New Roman"/>
          <w:noProof/>
          <w:sz w:val="24"/>
          <w:szCs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Съветът по партньорство редовно ще анализира възможността за определяне на конкретни срокове за прилагането на тези регламенти и на директивата.</w:t>
      </w:r>
    </w:p>
    <w:p>
      <w:pPr>
        <w:spacing w:after="0" w:line="360" w:lineRule="auto"/>
        <w:rPr>
          <w:rFonts w:ascii="Times New Roman" w:hAnsi="Times New Roman" w:cs="Times New Roman"/>
          <w:noProof/>
          <w:sz w:val="24"/>
          <w:szCs w:val="24"/>
        </w:rPr>
      </w:pPr>
    </w:p>
    <w:p>
      <w:pP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Директива 2010/30/ЕС на Европейския парламент и на Съвета от 19 май 2010 г. относно посочването на консумацията на енергия и на други ресурси от продукти, свързани с енергопотреблението, върху етикети и в стандартна информация за продуктите</w:t>
      </w:r>
    </w:p>
    <w:p>
      <w:pPr>
        <w:spacing w:after="0" w:line="360" w:lineRule="auto"/>
        <w:rPr>
          <w:rFonts w:ascii="Times New Roman" w:hAnsi="Times New Roman" w:cs="Times New Roman"/>
          <w:noProof/>
          <w:sz w:val="24"/>
          <w:szCs w:val="24"/>
        </w:rPr>
      </w:pPr>
    </w:p>
    <w:p>
      <w:pPr>
        <w:rPr>
          <w:rFonts w:ascii="Times New Roman" w:hAnsi="Times New Roman" w:cs="Times New Roman"/>
          <w:noProof/>
          <w:sz w:val="24"/>
          <w:szCs w:val="24"/>
          <w:highlight w:val="yellow"/>
        </w:rPr>
      </w:pPr>
      <w:r>
        <w:rPr>
          <w:rFonts w:ascii="Times New Roman" w:hAnsi="Times New Roman" w:cs="Times New Roman"/>
          <w:noProof/>
          <w:sz w:val="24"/>
          <w:szCs w:val="24"/>
        </w:rPr>
        <w:br w:type="page"/>
      </w: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Срокове: разпоредбите на Директива 2010/30/ЕС започват да се прилагат в срок от 4 години след влизане в сила на настоящото споразумение.</w:t>
      </w:r>
    </w:p>
    <w:p>
      <w:pPr>
        <w:spacing w:after="0" w:line="360" w:lineRule="auto"/>
        <w:rPr>
          <w:rFonts w:ascii="Times New Roman" w:hAnsi="Times New Roman" w:cs="Times New Roman"/>
          <w:noProof/>
          <w:sz w:val="24"/>
          <w:szCs w:val="24"/>
        </w:rPr>
      </w:pPr>
    </w:p>
    <w:p>
      <w:pP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Директиви/регламенти за изпълнение:</w:t>
      </w:r>
    </w:p>
    <w:p>
      <w:pPr>
        <w:spacing w:after="0" w:line="360" w:lineRule="auto"/>
        <w:rPr>
          <w:rFonts w:ascii="Times New Roman" w:hAnsi="Times New Roman" w:cs="Times New Roman"/>
          <w:noProof/>
          <w:sz w:val="24"/>
          <w:szCs w:val="24"/>
        </w:rPr>
      </w:pPr>
    </w:p>
    <w:p>
      <w:pPr>
        <w:spacing w:after="0" w:line="360" w:lineRule="auto"/>
        <w:ind w:left="567" w:hanging="567"/>
        <w:rPr>
          <w:rFonts w:ascii="Times New Roman" w:hAnsi="Times New Roman" w:cs="Times New Roman"/>
          <w:noProof/>
          <w:sz w:val="24"/>
          <w:szCs w:val="24"/>
        </w:rPr>
      </w:pPr>
      <w:r>
        <w:rPr>
          <w:rFonts w:ascii="Times New Roman" w:hAnsi="Times New Roman" w:cs="Times New Roman"/>
          <w:noProof/>
          <w:sz w:val="24"/>
          <w:szCs w:val="24"/>
        </w:rPr>
        <w:t>–</w:t>
      </w:r>
      <w:r>
        <w:rPr>
          <w:rFonts w:ascii="Times New Roman" w:hAnsi="Times New Roman" w:cs="Times New Roman"/>
          <w:noProof/>
          <w:sz w:val="24"/>
          <w:szCs w:val="24"/>
        </w:rPr>
        <w:tab/>
        <w:t>Директива 96/60/ЕО на Комисията от 19 септември 1996 г. за изпълнение на Директива 92/75/ЕИО на Съвета относно енергийното етикетиране на битови комбинирани перални и сушилни машини</w:t>
      </w:r>
    </w:p>
    <w:p>
      <w:pPr>
        <w:spacing w:after="0" w:line="360" w:lineRule="auto"/>
        <w:rPr>
          <w:rFonts w:ascii="Times New Roman" w:hAnsi="Times New Roman" w:cs="Times New Roman"/>
          <w:noProof/>
          <w:sz w:val="24"/>
          <w:szCs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Срокове: разпоредбите на Директива 96/60/ЕО започват да се прилагат в срок от 7 години след влизане в сила на настоящото споразумение.</w:t>
      </w:r>
    </w:p>
    <w:p>
      <w:pPr>
        <w:spacing w:after="0" w:line="360" w:lineRule="auto"/>
        <w:rPr>
          <w:rFonts w:ascii="Times New Roman" w:hAnsi="Times New Roman" w:cs="Times New Roman"/>
          <w:noProof/>
          <w:sz w:val="24"/>
          <w:szCs w:val="24"/>
        </w:rPr>
      </w:pPr>
    </w:p>
    <w:p>
      <w:pPr>
        <w:spacing w:after="0" w:line="360" w:lineRule="auto"/>
        <w:ind w:left="567" w:hanging="567"/>
        <w:rPr>
          <w:rFonts w:ascii="Times New Roman" w:hAnsi="Times New Roman" w:cs="Times New Roman"/>
          <w:noProof/>
          <w:sz w:val="24"/>
          <w:szCs w:val="24"/>
        </w:rPr>
      </w:pPr>
      <w:r>
        <w:rPr>
          <w:rFonts w:ascii="Times New Roman" w:hAnsi="Times New Roman" w:cs="Times New Roman"/>
          <w:noProof/>
          <w:sz w:val="24"/>
          <w:szCs w:val="24"/>
        </w:rPr>
        <w:t>–</w:t>
      </w:r>
      <w:r>
        <w:rPr>
          <w:rFonts w:ascii="Times New Roman" w:hAnsi="Times New Roman" w:cs="Times New Roman"/>
          <w:noProof/>
          <w:sz w:val="24"/>
          <w:szCs w:val="24"/>
        </w:rPr>
        <w:tab/>
        <w:t>Делегиран регламент (ЕС) № 1059/2010 на Комисията от 28 септември 2010 г. за допълване на Директива 2010/30/ЕС на Европейския парламент и на Съвета по отношение на енергийното етикетиране на домакински съдомиялни машини</w:t>
      </w:r>
    </w:p>
    <w:p>
      <w:pPr>
        <w:spacing w:after="0" w:line="360" w:lineRule="auto"/>
        <w:rPr>
          <w:rFonts w:ascii="Times New Roman" w:hAnsi="Times New Roman" w:cs="Times New Roman"/>
          <w:noProof/>
          <w:sz w:val="24"/>
          <w:szCs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Срокове: разпоредбите на Делегиран регламент (ЕС) № 1059/2010 започват да се прилагат в срок от 6 години след влизане в сила на настоящото споразумение.</w:t>
      </w:r>
    </w:p>
    <w:p>
      <w:pPr>
        <w:spacing w:after="0" w:line="360" w:lineRule="auto"/>
        <w:rPr>
          <w:rFonts w:ascii="Times New Roman" w:hAnsi="Times New Roman" w:cs="Times New Roman"/>
          <w:noProof/>
          <w:sz w:val="24"/>
          <w:szCs w:val="24"/>
        </w:rPr>
      </w:pPr>
    </w:p>
    <w:p>
      <w:pPr>
        <w:spacing w:after="0" w:line="360" w:lineRule="auto"/>
        <w:ind w:left="567" w:hanging="567"/>
        <w:rPr>
          <w:rFonts w:ascii="Times New Roman" w:hAnsi="Times New Roman" w:cs="Times New Roman"/>
          <w:noProof/>
          <w:sz w:val="24"/>
          <w:szCs w:val="24"/>
        </w:rPr>
      </w:pPr>
      <w:r>
        <w:rPr>
          <w:rFonts w:ascii="Times New Roman" w:hAnsi="Times New Roman" w:cs="Times New Roman"/>
          <w:noProof/>
          <w:sz w:val="24"/>
          <w:szCs w:val="24"/>
        </w:rPr>
        <w:t>–</w:t>
      </w:r>
      <w:r>
        <w:rPr>
          <w:rFonts w:ascii="Times New Roman" w:hAnsi="Times New Roman" w:cs="Times New Roman"/>
          <w:noProof/>
          <w:sz w:val="24"/>
          <w:szCs w:val="24"/>
        </w:rPr>
        <w:tab/>
        <w:t>Делегиран регламент (ЕС) № 1060/2010 на Комисията от 28 септември 2010 г. за допълване на Директива 2010/30/ЕС на Европейския парламент и на Съвета по отношение на енергийното етикетиране на домашни хладилни уреди</w:t>
      </w:r>
    </w:p>
    <w:p>
      <w:pPr>
        <w:spacing w:after="0" w:line="360" w:lineRule="auto"/>
        <w:rPr>
          <w:rFonts w:ascii="Times New Roman" w:hAnsi="Times New Roman" w:cs="Times New Roman"/>
          <w:noProof/>
          <w:sz w:val="24"/>
          <w:szCs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Срокове: разпоредбите на Делегиран регламент (ЕС) № 1060/2010 започват да се прилагат в срок от 6 години след влизане в сила на настоящото споразумение.</w:t>
      </w:r>
    </w:p>
    <w:p>
      <w:pPr>
        <w:spacing w:after="0" w:line="360" w:lineRule="auto"/>
        <w:rPr>
          <w:rFonts w:ascii="Times New Roman" w:hAnsi="Times New Roman" w:cs="Times New Roman"/>
          <w:noProof/>
          <w:sz w:val="24"/>
          <w:szCs w:val="24"/>
        </w:rPr>
      </w:pPr>
    </w:p>
    <w:p>
      <w:pPr>
        <w:rPr>
          <w:rFonts w:ascii="Times New Roman" w:hAnsi="Times New Roman" w:cs="Times New Roman"/>
          <w:noProof/>
          <w:sz w:val="24"/>
          <w:szCs w:val="24"/>
          <w:highlight w:val="green"/>
        </w:rPr>
      </w:pPr>
      <w:r>
        <w:rPr>
          <w:rFonts w:ascii="Times New Roman" w:hAnsi="Times New Roman" w:cs="Times New Roman"/>
          <w:noProof/>
          <w:sz w:val="24"/>
          <w:szCs w:val="24"/>
        </w:rPr>
        <w:br w:type="page"/>
      </w:r>
    </w:p>
    <w:p>
      <w:pPr>
        <w:spacing w:after="0" w:line="360" w:lineRule="auto"/>
        <w:ind w:left="567" w:hanging="567"/>
        <w:rPr>
          <w:rFonts w:ascii="Times New Roman" w:hAnsi="Times New Roman" w:cs="Times New Roman"/>
          <w:noProof/>
          <w:sz w:val="24"/>
          <w:szCs w:val="24"/>
        </w:rPr>
      </w:pPr>
      <w:r>
        <w:rPr>
          <w:rFonts w:ascii="Times New Roman" w:hAnsi="Times New Roman" w:cs="Times New Roman"/>
          <w:noProof/>
          <w:sz w:val="24"/>
          <w:szCs w:val="24"/>
        </w:rPr>
        <w:t>–</w:t>
      </w:r>
      <w:r>
        <w:rPr>
          <w:rFonts w:ascii="Times New Roman" w:hAnsi="Times New Roman" w:cs="Times New Roman"/>
          <w:noProof/>
          <w:sz w:val="24"/>
          <w:szCs w:val="24"/>
        </w:rPr>
        <w:tab/>
        <w:t>Делегиран регламент (ЕС) № 1061/2010 на Комисията от 28 септември 2010 г., допълващ Директива 2010/30/ЕС на Европейския парламент и на Съвета по отношение на енергийното етикетиране на битови перални машини</w:t>
      </w:r>
    </w:p>
    <w:p>
      <w:pPr>
        <w:spacing w:after="0" w:line="360" w:lineRule="auto"/>
        <w:ind w:left="567" w:hanging="567"/>
        <w:rPr>
          <w:rFonts w:ascii="Times New Roman" w:hAnsi="Times New Roman" w:cs="Times New Roman"/>
          <w:noProof/>
          <w:sz w:val="24"/>
          <w:szCs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Срокове: разпоредбите на Делегиран регламент (ЕС) № 1061/2010 започват да се прилагат в срок от 6 години след влизане в сила на настоящото споразумение.</w:t>
      </w:r>
    </w:p>
    <w:p>
      <w:pPr>
        <w:spacing w:after="0" w:line="360" w:lineRule="auto"/>
        <w:rPr>
          <w:rFonts w:ascii="Times New Roman" w:hAnsi="Times New Roman" w:cs="Times New Roman"/>
          <w:noProof/>
          <w:sz w:val="24"/>
          <w:szCs w:val="24"/>
        </w:rPr>
      </w:pPr>
    </w:p>
    <w:p>
      <w:pPr>
        <w:spacing w:after="0" w:line="360" w:lineRule="auto"/>
        <w:ind w:left="567" w:hanging="567"/>
        <w:rPr>
          <w:rFonts w:ascii="Times New Roman" w:hAnsi="Times New Roman" w:cs="Times New Roman"/>
          <w:noProof/>
          <w:sz w:val="24"/>
          <w:szCs w:val="24"/>
        </w:rPr>
      </w:pPr>
      <w:r>
        <w:rPr>
          <w:rFonts w:ascii="Times New Roman" w:hAnsi="Times New Roman" w:cs="Times New Roman"/>
          <w:noProof/>
          <w:sz w:val="24"/>
          <w:szCs w:val="24"/>
        </w:rPr>
        <w:t>–</w:t>
      </w:r>
      <w:r>
        <w:rPr>
          <w:rFonts w:ascii="Times New Roman" w:hAnsi="Times New Roman" w:cs="Times New Roman"/>
          <w:noProof/>
          <w:sz w:val="24"/>
          <w:szCs w:val="24"/>
        </w:rPr>
        <w:tab/>
        <w:t>Делегиран регламент (ЕС) № 1062/2010 на Комисията от 28 септември 2010 г. за допълване на Директива 2010/30/ЕС на Европейския парламент и на Съвета във връзка с енергийното етикетиране на телевизори</w:t>
      </w:r>
    </w:p>
    <w:p>
      <w:pPr>
        <w:spacing w:after="0" w:line="360" w:lineRule="auto"/>
        <w:ind w:left="567" w:hanging="567"/>
        <w:rPr>
          <w:rFonts w:ascii="Times New Roman" w:hAnsi="Times New Roman" w:cs="Times New Roman"/>
          <w:noProof/>
          <w:sz w:val="24"/>
          <w:szCs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Срокове: разпоредбите на Делегиран регламент (ЕС) № 1062/2010 започват да се прилагат в срок от 6 години след влизане в сила на настоящото споразумение.</w:t>
      </w:r>
    </w:p>
    <w:p>
      <w:pPr>
        <w:spacing w:after="0" w:line="360" w:lineRule="auto"/>
        <w:rPr>
          <w:rFonts w:ascii="Times New Roman" w:hAnsi="Times New Roman" w:cs="Times New Roman"/>
          <w:noProof/>
          <w:sz w:val="24"/>
          <w:szCs w:val="24"/>
        </w:rPr>
      </w:pPr>
    </w:p>
    <w:p>
      <w:pPr>
        <w:spacing w:after="0" w:line="360" w:lineRule="auto"/>
        <w:ind w:left="567" w:hanging="567"/>
        <w:rPr>
          <w:rFonts w:ascii="Times New Roman" w:hAnsi="Times New Roman" w:cs="Times New Roman"/>
          <w:noProof/>
          <w:sz w:val="24"/>
          <w:szCs w:val="24"/>
        </w:rPr>
      </w:pPr>
      <w:r>
        <w:rPr>
          <w:rFonts w:ascii="Times New Roman" w:hAnsi="Times New Roman" w:cs="Times New Roman"/>
          <w:noProof/>
          <w:sz w:val="24"/>
          <w:szCs w:val="24"/>
        </w:rPr>
        <w:t>–</w:t>
      </w:r>
      <w:r>
        <w:rPr>
          <w:rFonts w:ascii="Times New Roman" w:hAnsi="Times New Roman" w:cs="Times New Roman"/>
          <w:noProof/>
          <w:sz w:val="24"/>
          <w:szCs w:val="24"/>
        </w:rPr>
        <w:tab/>
        <w:t>Делегиран регламент (ЕС) № 626/2011 на Комисията от 4 май 2011 г. за прилагане на Директива 2010/30/ЕС на Европейския парламент и на Съвета по отношение на енергийното етикетиране на климатизатори</w:t>
      </w:r>
    </w:p>
    <w:p>
      <w:pPr>
        <w:spacing w:after="0" w:line="360" w:lineRule="auto"/>
        <w:ind w:left="567" w:hanging="567"/>
        <w:rPr>
          <w:rFonts w:ascii="Times New Roman" w:hAnsi="Times New Roman" w:cs="Times New Roman"/>
          <w:noProof/>
          <w:sz w:val="24"/>
          <w:szCs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Срокове: разпоредбите на Делегиран регламент (ЕС) № 626/2011 започват да се прилагат в срок от 7 години след влизане в сила на настоящото споразумение.</w:t>
      </w:r>
    </w:p>
    <w:p>
      <w:pPr>
        <w:spacing w:after="0" w:line="360" w:lineRule="auto"/>
        <w:rPr>
          <w:rFonts w:ascii="Times New Roman" w:hAnsi="Times New Roman" w:cs="Times New Roman"/>
          <w:noProof/>
          <w:sz w:val="24"/>
          <w:szCs w:val="24"/>
        </w:rPr>
      </w:pPr>
    </w:p>
    <w:p>
      <w:pPr>
        <w:spacing w:after="0" w:line="360" w:lineRule="auto"/>
        <w:ind w:left="567" w:hanging="567"/>
        <w:rPr>
          <w:rFonts w:ascii="Times New Roman" w:hAnsi="Times New Roman" w:cs="Times New Roman"/>
          <w:noProof/>
          <w:sz w:val="24"/>
          <w:szCs w:val="24"/>
        </w:rPr>
      </w:pPr>
      <w:r>
        <w:rPr>
          <w:rFonts w:ascii="Times New Roman" w:hAnsi="Times New Roman" w:cs="Times New Roman"/>
          <w:noProof/>
          <w:sz w:val="24"/>
          <w:szCs w:val="24"/>
        </w:rPr>
        <w:t>–</w:t>
      </w:r>
      <w:r>
        <w:rPr>
          <w:rFonts w:ascii="Times New Roman" w:hAnsi="Times New Roman" w:cs="Times New Roman"/>
          <w:noProof/>
          <w:sz w:val="24"/>
          <w:szCs w:val="24"/>
        </w:rPr>
        <w:tab/>
        <w:t>Делегиран регламент (ЕС) № 392/2012 на Комисията от 1 март 2012 г. за допълване на Директива 2010/30/ЕС на Европейския парламент и на Съвета по отношение на енергийното етикетиране на битови барабанни сушилни машини</w:t>
      </w:r>
    </w:p>
    <w:p>
      <w:pPr>
        <w:spacing w:after="0" w:line="360" w:lineRule="auto"/>
        <w:ind w:left="567" w:hanging="567"/>
        <w:rPr>
          <w:rFonts w:ascii="Times New Roman" w:hAnsi="Times New Roman" w:cs="Times New Roman"/>
          <w:noProof/>
          <w:sz w:val="24"/>
          <w:szCs w:val="24"/>
        </w:rPr>
      </w:pPr>
    </w:p>
    <w:p>
      <w:pPr>
        <w:rPr>
          <w:rFonts w:ascii="Times New Roman" w:hAnsi="Times New Roman" w:cs="Times New Roman"/>
          <w:noProof/>
          <w:sz w:val="24"/>
          <w:szCs w:val="24"/>
          <w:highlight w:val="yellow"/>
        </w:rPr>
      </w:pPr>
      <w:r>
        <w:rPr>
          <w:rFonts w:ascii="Times New Roman" w:hAnsi="Times New Roman" w:cs="Times New Roman"/>
          <w:noProof/>
          <w:sz w:val="24"/>
          <w:szCs w:val="24"/>
        </w:rPr>
        <w:br w:type="page"/>
      </w: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Срокове: разпоредбите на Делегиран регламент (ЕС) № 392/2012 започват да се прилагат в срок от 7 години след влизане в сила на настоящото споразумение.</w:t>
      </w:r>
    </w:p>
    <w:p>
      <w:pPr>
        <w:spacing w:after="0" w:line="360" w:lineRule="auto"/>
        <w:rPr>
          <w:rFonts w:ascii="Times New Roman" w:hAnsi="Times New Roman" w:cs="Times New Roman"/>
          <w:noProof/>
          <w:sz w:val="24"/>
          <w:szCs w:val="24"/>
        </w:rPr>
      </w:pPr>
    </w:p>
    <w:p>
      <w:pPr>
        <w:spacing w:after="0" w:line="360" w:lineRule="auto"/>
        <w:ind w:left="567" w:hanging="567"/>
        <w:rPr>
          <w:rFonts w:ascii="Times New Roman" w:hAnsi="Times New Roman" w:cs="Times New Roman"/>
          <w:noProof/>
          <w:sz w:val="24"/>
          <w:szCs w:val="24"/>
        </w:rPr>
      </w:pPr>
      <w:r>
        <w:rPr>
          <w:rFonts w:ascii="Times New Roman" w:hAnsi="Times New Roman" w:cs="Times New Roman"/>
          <w:noProof/>
          <w:sz w:val="24"/>
          <w:szCs w:val="24"/>
        </w:rPr>
        <w:t>–</w:t>
      </w:r>
      <w:r>
        <w:rPr>
          <w:rFonts w:ascii="Times New Roman" w:hAnsi="Times New Roman" w:cs="Times New Roman"/>
          <w:noProof/>
          <w:sz w:val="24"/>
          <w:szCs w:val="24"/>
        </w:rPr>
        <w:tab/>
        <w:t>Делегиран регламент (ЕС) № 874/2012 на Комисията от 12 юли 2012 г. за допълване на Директива 2010/30/ЕС на Европейския парламент и на Съвета по отношение на енергийното етикетиране на електрически лампи и осветители</w:t>
      </w:r>
    </w:p>
    <w:p>
      <w:pPr>
        <w:spacing w:after="0" w:line="360" w:lineRule="auto"/>
        <w:ind w:left="567" w:hanging="567"/>
        <w:rPr>
          <w:rFonts w:ascii="Times New Roman" w:hAnsi="Times New Roman" w:cs="Times New Roman"/>
          <w:noProof/>
          <w:sz w:val="24"/>
          <w:szCs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Срокове: разпоредбите на Делегиран регламент (ЕС) № 874/2012 започват да се прилагат в срок от 7 години след влизане в сила на настоящото споразумение.</w:t>
      </w:r>
    </w:p>
    <w:p>
      <w:pPr>
        <w:spacing w:after="0" w:line="360" w:lineRule="auto"/>
        <w:rPr>
          <w:rFonts w:ascii="Times New Roman" w:hAnsi="Times New Roman" w:cs="Times New Roman"/>
          <w:noProof/>
          <w:sz w:val="24"/>
          <w:szCs w:val="24"/>
        </w:rPr>
      </w:pPr>
    </w:p>
    <w:p>
      <w:pPr>
        <w:spacing w:after="0" w:line="360" w:lineRule="auto"/>
        <w:ind w:left="567" w:hanging="567"/>
        <w:rPr>
          <w:rFonts w:ascii="Times New Roman" w:hAnsi="Times New Roman" w:cs="Times New Roman"/>
          <w:noProof/>
          <w:sz w:val="24"/>
          <w:szCs w:val="24"/>
        </w:rPr>
      </w:pPr>
      <w:r>
        <w:rPr>
          <w:rFonts w:ascii="Times New Roman" w:hAnsi="Times New Roman" w:cs="Times New Roman"/>
          <w:noProof/>
          <w:sz w:val="24"/>
          <w:szCs w:val="24"/>
        </w:rPr>
        <w:t>–</w:t>
      </w:r>
      <w:r>
        <w:rPr>
          <w:rFonts w:ascii="Times New Roman" w:hAnsi="Times New Roman" w:cs="Times New Roman"/>
          <w:noProof/>
          <w:sz w:val="24"/>
          <w:szCs w:val="24"/>
        </w:rPr>
        <w:tab/>
        <w:t>Делегиран регламент (ЕС) № 665/2013 на Комисията от 3 май 2013 г. за допълване на Директива 2010/30/ЕС на Европейския парламент и на Съвета по отношение на енергийното етикетиране на прахосмукачки</w:t>
      </w:r>
    </w:p>
    <w:p>
      <w:pPr>
        <w:spacing w:after="0" w:line="360" w:lineRule="auto"/>
        <w:ind w:left="567" w:hanging="567"/>
        <w:rPr>
          <w:rFonts w:ascii="Times New Roman" w:hAnsi="Times New Roman" w:cs="Times New Roman"/>
          <w:noProof/>
          <w:sz w:val="24"/>
          <w:szCs w:val="24"/>
        </w:rPr>
      </w:pPr>
    </w:p>
    <w:p>
      <w:pPr>
        <w:spacing w:after="0" w:line="360" w:lineRule="auto"/>
        <w:ind w:left="567" w:hanging="567"/>
        <w:rPr>
          <w:rFonts w:ascii="Times New Roman" w:hAnsi="Times New Roman" w:cs="Times New Roman"/>
          <w:noProof/>
          <w:sz w:val="24"/>
          <w:szCs w:val="24"/>
        </w:rPr>
      </w:pPr>
      <w:r>
        <w:rPr>
          <w:rFonts w:ascii="Times New Roman" w:hAnsi="Times New Roman" w:cs="Times New Roman"/>
          <w:noProof/>
          <w:sz w:val="24"/>
          <w:szCs w:val="24"/>
        </w:rPr>
        <w:t>–</w:t>
      </w:r>
      <w:r>
        <w:rPr>
          <w:rFonts w:ascii="Times New Roman" w:hAnsi="Times New Roman" w:cs="Times New Roman"/>
          <w:noProof/>
          <w:sz w:val="24"/>
          <w:szCs w:val="24"/>
        </w:rPr>
        <w:tab/>
        <w:t>Делегиран регламент (ЕС) № 811/2013 на Комисията от 18 февруари 2013 г. за допълване на Директива 2010/30/ЕС на Европейския парламент и на Съвета по отношение на енергийното етикетиране на отоплителни топлоизточници, комбинирани топлоизточници, комплекти от отоплителен топлоизточник, регулатор на температурата и слънчево съоръжение и комплекти от комбиниран топлоизточник, регулатор на температурата и слънчево съоръжение</w:t>
      </w:r>
    </w:p>
    <w:p>
      <w:pPr>
        <w:spacing w:after="0" w:line="360" w:lineRule="auto"/>
        <w:ind w:left="567" w:hanging="567"/>
        <w:rPr>
          <w:rFonts w:ascii="Times New Roman" w:hAnsi="Times New Roman" w:cs="Times New Roman"/>
          <w:noProof/>
          <w:sz w:val="24"/>
          <w:szCs w:val="24"/>
        </w:rPr>
      </w:pPr>
    </w:p>
    <w:p>
      <w:pPr>
        <w:spacing w:after="0" w:line="360" w:lineRule="auto"/>
        <w:ind w:left="567" w:hanging="567"/>
        <w:rPr>
          <w:rFonts w:ascii="Times New Roman" w:hAnsi="Times New Roman" w:cs="Times New Roman"/>
          <w:noProof/>
          <w:sz w:val="24"/>
          <w:szCs w:val="24"/>
        </w:rPr>
      </w:pPr>
      <w:r>
        <w:rPr>
          <w:rFonts w:ascii="Times New Roman" w:hAnsi="Times New Roman" w:cs="Times New Roman"/>
          <w:noProof/>
          <w:sz w:val="24"/>
          <w:szCs w:val="24"/>
        </w:rPr>
        <w:t>–</w:t>
      </w:r>
      <w:r>
        <w:rPr>
          <w:rFonts w:ascii="Times New Roman" w:hAnsi="Times New Roman" w:cs="Times New Roman"/>
          <w:noProof/>
          <w:sz w:val="24"/>
          <w:szCs w:val="24"/>
        </w:rPr>
        <w:tab/>
        <w:t>Делегиран регламент (ЕС) № 812/2013 на Комисията от 18 февруари 2013 г. за допълване на Директива 2010/30/ЕС на Европейския парламент и на Съвета по отношение на енергийното етикетиране на водоподгреватели, топлоакумулиращи резервоари за гореща вода и комплекти от водоподгревател и слънчево съоръжение</w:t>
      </w:r>
    </w:p>
    <w:p>
      <w:pPr>
        <w:spacing w:after="0" w:line="360" w:lineRule="auto"/>
        <w:ind w:left="567" w:hanging="567"/>
        <w:rPr>
          <w:rFonts w:ascii="Times New Roman" w:hAnsi="Times New Roman" w:cs="Times New Roman"/>
          <w:noProof/>
          <w:sz w:val="24"/>
          <w:szCs w:val="24"/>
        </w:rPr>
      </w:pPr>
    </w:p>
    <w:p>
      <w:pPr>
        <w:rPr>
          <w:rFonts w:ascii="Times New Roman" w:hAnsi="Times New Roman" w:cs="Times New Roman"/>
          <w:noProof/>
          <w:sz w:val="24"/>
          <w:szCs w:val="24"/>
          <w:highlight w:val="green"/>
        </w:rPr>
      </w:pPr>
      <w:r>
        <w:rPr>
          <w:rFonts w:ascii="Times New Roman" w:hAnsi="Times New Roman" w:cs="Times New Roman"/>
          <w:noProof/>
          <w:sz w:val="24"/>
          <w:szCs w:val="24"/>
        </w:rPr>
        <w:br w:type="page"/>
      </w:r>
    </w:p>
    <w:p>
      <w:pPr>
        <w:spacing w:after="0" w:line="360" w:lineRule="auto"/>
        <w:ind w:left="567" w:hanging="567"/>
        <w:rPr>
          <w:rFonts w:ascii="Times New Roman" w:hAnsi="Times New Roman" w:cs="Times New Roman"/>
          <w:noProof/>
          <w:sz w:val="24"/>
          <w:szCs w:val="24"/>
        </w:rPr>
      </w:pPr>
      <w:r>
        <w:rPr>
          <w:rFonts w:ascii="Times New Roman" w:hAnsi="Times New Roman" w:cs="Times New Roman"/>
          <w:noProof/>
          <w:sz w:val="24"/>
          <w:szCs w:val="24"/>
        </w:rPr>
        <w:t>–</w:t>
      </w:r>
      <w:r>
        <w:rPr>
          <w:rFonts w:ascii="Times New Roman" w:hAnsi="Times New Roman" w:cs="Times New Roman"/>
          <w:noProof/>
          <w:sz w:val="24"/>
          <w:szCs w:val="24"/>
        </w:rPr>
        <w:tab/>
        <w:t>Делегиран регламент (ЕС) № 65/2014 на Комисията от 1 октомври 2013 г. за допълване на Директива 2010/30/ЕС на Европейския парламент и на Съвета по отношение на енергийното етикетиране на битови фурни и абсорбатори</w:t>
      </w:r>
    </w:p>
    <w:p>
      <w:pPr>
        <w:spacing w:after="0" w:line="360" w:lineRule="auto"/>
        <w:ind w:left="567" w:hanging="567"/>
        <w:rPr>
          <w:rFonts w:ascii="Times New Roman" w:hAnsi="Times New Roman" w:cs="Times New Roman"/>
          <w:noProof/>
          <w:sz w:val="24"/>
          <w:szCs w:val="24"/>
        </w:rPr>
      </w:pPr>
    </w:p>
    <w:p>
      <w:pPr>
        <w:spacing w:after="0" w:line="360" w:lineRule="auto"/>
        <w:ind w:left="567" w:hanging="567"/>
        <w:rPr>
          <w:rFonts w:ascii="Times New Roman" w:hAnsi="Times New Roman" w:cs="Times New Roman"/>
          <w:noProof/>
          <w:sz w:val="24"/>
          <w:szCs w:val="24"/>
        </w:rPr>
      </w:pPr>
      <w:r>
        <w:rPr>
          <w:rFonts w:ascii="Times New Roman" w:hAnsi="Times New Roman" w:cs="Times New Roman"/>
          <w:noProof/>
          <w:sz w:val="24"/>
          <w:szCs w:val="24"/>
        </w:rPr>
        <w:t>–</w:t>
      </w:r>
      <w:r>
        <w:rPr>
          <w:rFonts w:ascii="Times New Roman" w:hAnsi="Times New Roman" w:cs="Times New Roman"/>
          <w:noProof/>
          <w:sz w:val="24"/>
          <w:szCs w:val="24"/>
        </w:rPr>
        <w:tab/>
        <w:t>Делегиран регламент (ЕС) № 518/2014 на Комисията от 5 март 2014 г. за изменение на делегирани регламенти (ЕС) № 1059/2010, 1060/2010, 1061/2010, 1062/2010, 626/2011, 392/2012, 874/2012, 665/2013, 811/2013 и 812/2013 на Комисията, отнасящо се за етикетирането в Интернет на свързани с енергопотреблението продукти</w:t>
      </w:r>
    </w:p>
    <w:p>
      <w:pPr>
        <w:spacing w:after="0" w:line="360" w:lineRule="auto"/>
        <w:ind w:left="567" w:hanging="567"/>
        <w:rPr>
          <w:rFonts w:ascii="Times New Roman" w:hAnsi="Times New Roman" w:cs="Times New Roman"/>
          <w:noProof/>
          <w:sz w:val="24"/>
          <w:szCs w:val="24"/>
        </w:rPr>
      </w:pPr>
    </w:p>
    <w:p>
      <w:pPr>
        <w:spacing w:after="0" w:line="360" w:lineRule="auto"/>
        <w:ind w:left="567" w:hanging="567"/>
        <w:rPr>
          <w:rFonts w:ascii="Times New Roman" w:hAnsi="Times New Roman" w:cs="Times New Roman"/>
          <w:noProof/>
          <w:sz w:val="24"/>
          <w:szCs w:val="24"/>
        </w:rPr>
      </w:pPr>
      <w:r>
        <w:rPr>
          <w:rFonts w:ascii="Times New Roman" w:hAnsi="Times New Roman" w:cs="Times New Roman"/>
          <w:noProof/>
          <w:sz w:val="24"/>
          <w:szCs w:val="24"/>
        </w:rPr>
        <w:t>–</w:t>
      </w:r>
      <w:r>
        <w:rPr>
          <w:rFonts w:ascii="Times New Roman" w:hAnsi="Times New Roman" w:cs="Times New Roman"/>
          <w:noProof/>
          <w:sz w:val="24"/>
          <w:szCs w:val="24"/>
        </w:rPr>
        <w:tab/>
        <w:t>Делегиран регламент (ЕС) № 1254/2014 на Комисията от 11 юли 2014 г. за допълване на Директива 2010/30/ЕС на Европейския парламент и на Съвета по отношение на енергийното етикетиране на вентилационните агрегати за жилищни помещения</w:t>
      </w:r>
    </w:p>
    <w:p>
      <w:pPr>
        <w:spacing w:after="0" w:line="360" w:lineRule="auto"/>
        <w:ind w:left="567" w:hanging="567"/>
        <w:rPr>
          <w:rFonts w:ascii="Times New Roman" w:hAnsi="Times New Roman" w:cs="Times New Roman"/>
          <w:noProof/>
          <w:sz w:val="24"/>
          <w:szCs w:val="24"/>
        </w:rPr>
      </w:pPr>
    </w:p>
    <w:p>
      <w:pPr>
        <w:spacing w:after="0" w:line="360" w:lineRule="auto"/>
        <w:ind w:left="567" w:hanging="567"/>
        <w:rPr>
          <w:rFonts w:ascii="Times New Roman" w:hAnsi="Times New Roman" w:cs="Times New Roman"/>
          <w:noProof/>
          <w:sz w:val="24"/>
          <w:szCs w:val="24"/>
        </w:rPr>
      </w:pPr>
      <w:r>
        <w:rPr>
          <w:rFonts w:ascii="Times New Roman" w:hAnsi="Times New Roman" w:cs="Times New Roman"/>
          <w:noProof/>
          <w:sz w:val="24"/>
          <w:szCs w:val="24"/>
        </w:rPr>
        <w:t>–</w:t>
      </w:r>
      <w:r>
        <w:rPr>
          <w:rFonts w:ascii="Times New Roman" w:hAnsi="Times New Roman" w:cs="Times New Roman"/>
          <w:noProof/>
          <w:sz w:val="24"/>
          <w:szCs w:val="24"/>
        </w:rPr>
        <w:tab/>
        <w:t>Делегиран регламент (ЕС) 2015/1094 на Комисията от 5 май 2015 г. за допълнение на Директива 2010/30/ЕС на Европейския парламент и на Съвета по отношение на енергийното етикетиране на професионални хладилни шкафове за съхранение</w:t>
      </w:r>
    </w:p>
    <w:p>
      <w:pPr>
        <w:spacing w:after="0" w:line="360" w:lineRule="auto"/>
        <w:ind w:left="567" w:hanging="567"/>
        <w:rPr>
          <w:rFonts w:ascii="Times New Roman" w:hAnsi="Times New Roman" w:cs="Times New Roman"/>
          <w:noProof/>
          <w:sz w:val="24"/>
          <w:szCs w:val="24"/>
        </w:rPr>
      </w:pPr>
    </w:p>
    <w:p>
      <w:pPr>
        <w:spacing w:after="0" w:line="360" w:lineRule="auto"/>
        <w:ind w:left="567" w:hanging="567"/>
        <w:rPr>
          <w:rFonts w:ascii="Times New Roman" w:hAnsi="Times New Roman" w:cs="Times New Roman"/>
          <w:noProof/>
          <w:sz w:val="24"/>
          <w:szCs w:val="24"/>
        </w:rPr>
      </w:pPr>
      <w:r>
        <w:rPr>
          <w:rFonts w:ascii="Times New Roman" w:hAnsi="Times New Roman" w:cs="Times New Roman"/>
          <w:noProof/>
          <w:sz w:val="24"/>
          <w:szCs w:val="24"/>
        </w:rPr>
        <w:t>–</w:t>
      </w:r>
      <w:r>
        <w:rPr>
          <w:rFonts w:ascii="Times New Roman" w:hAnsi="Times New Roman" w:cs="Times New Roman"/>
          <w:noProof/>
          <w:sz w:val="24"/>
          <w:szCs w:val="24"/>
        </w:rPr>
        <w:tab/>
        <w:t>Делегиран регламент (ЕС) 2015/1186 на Комисията от 24 април 2015 г. за допълване на Директива 2010/30/ЕС на Европейския парламент и на Съвета по отношение на енергийното етикетиране на локални отоплителни топлоизточници</w:t>
      </w:r>
    </w:p>
    <w:p>
      <w:pPr>
        <w:spacing w:after="0" w:line="360" w:lineRule="auto"/>
        <w:ind w:left="567" w:hanging="567"/>
        <w:rPr>
          <w:rFonts w:ascii="Times New Roman" w:hAnsi="Times New Roman" w:cs="Times New Roman"/>
          <w:noProof/>
          <w:sz w:val="24"/>
          <w:szCs w:val="24"/>
        </w:rPr>
      </w:pPr>
    </w:p>
    <w:p>
      <w:pPr>
        <w:spacing w:after="0" w:line="360" w:lineRule="auto"/>
        <w:ind w:left="567" w:hanging="567"/>
        <w:rPr>
          <w:rFonts w:ascii="Times New Roman" w:hAnsi="Times New Roman" w:cs="Times New Roman"/>
          <w:noProof/>
          <w:sz w:val="24"/>
          <w:szCs w:val="24"/>
        </w:rPr>
      </w:pPr>
      <w:r>
        <w:rPr>
          <w:rFonts w:ascii="Times New Roman" w:hAnsi="Times New Roman" w:cs="Times New Roman"/>
          <w:noProof/>
          <w:sz w:val="24"/>
          <w:szCs w:val="24"/>
        </w:rPr>
        <w:t>–</w:t>
      </w:r>
      <w:r>
        <w:rPr>
          <w:rFonts w:ascii="Times New Roman" w:hAnsi="Times New Roman" w:cs="Times New Roman"/>
          <w:noProof/>
          <w:sz w:val="24"/>
          <w:szCs w:val="24"/>
        </w:rPr>
        <w:tab/>
        <w:t xml:space="preserve">Делегиран регламент (ЕС) 2015/1187 на Комисията от 27 април 2015 г. за допълнение на Директива 2010/30/ЕС на Европейския парламент и на Съвета по отношение на енергийното етикетиране на водогрейни котли на твърдо гориво </w:t>
      </w:r>
    </w:p>
    <w:p>
      <w:pPr>
        <w:spacing w:after="0" w:line="360" w:lineRule="auto"/>
        <w:ind w:left="567" w:hanging="567"/>
        <w:rPr>
          <w:rFonts w:ascii="Times New Roman" w:hAnsi="Times New Roman" w:cs="Times New Roman"/>
          <w:noProof/>
          <w:sz w:val="24"/>
          <w:szCs w:val="24"/>
        </w:rPr>
      </w:pPr>
    </w:p>
    <w:p>
      <w:pPr>
        <w:rPr>
          <w:rFonts w:ascii="Times New Roman" w:hAnsi="Times New Roman" w:cs="Times New Roman"/>
          <w:noProof/>
          <w:sz w:val="24"/>
          <w:szCs w:val="24"/>
          <w:highlight w:val="yellow"/>
        </w:rPr>
      </w:pPr>
      <w:r>
        <w:rPr>
          <w:rFonts w:ascii="Times New Roman" w:hAnsi="Times New Roman" w:cs="Times New Roman"/>
          <w:noProof/>
          <w:sz w:val="24"/>
          <w:szCs w:val="24"/>
        </w:rPr>
        <w:br w:type="page"/>
      </w: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Съветът по партньорство редовно ще анализира възможността за определяне на конкретни срокове за прилагането на тези регламенти.</w:t>
      </w:r>
    </w:p>
    <w:p>
      <w:pPr>
        <w:spacing w:after="0" w:line="360" w:lineRule="auto"/>
        <w:rPr>
          <w:rFonts w:ascii="Times New Roman" w:hAnsi="Times New Roman" w:cs="Times New Roman"/>
          <w:noProof/>
          <w:sz w:val="24"/>
          <w:szCs w:val="24"/>
        </w:rPr>
      </w:pPr>
    </w:p>
    <w:p>
      <w:pP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Регламент (ЕО) № 106/2008 на Европейския парламент и на Съвета от 15 януари 2008 г. относно програма на Съюза за етикетиране на енергийната ефективност на офис оборудване</w:t>
      </w:r>
    </w:p>
    <w:p>
      <w:pPr>
        <w:spacing w:after="0" w:line="360" w:lineRule="auto"/>
        <w:rPr>
          <w:rFonts w:ascii="Times New Roman" w:hAnsi="Times New Roman" w:cs="Times New Roman"/>
          <w:noProof/>
          <w:sz w:val="24"/>
          <w:szCs w:val="24"/>
        </w:rPr>
      </w:pPr>
    </w:p>
    <w:p>
      <w:pPr>
        <w:spacing w:after="0" w:line="360" w:lineRule="auto"/>
        <w:ind w:left="567" w:hanging="567"/>
        <w:rPr>
          <w:rFonts w:ascii="Times New Roman" w:hAnsi="Times New Roman" w:cs="Times New Roman"/>
          <w:noProof/>
          <w:sz w:val="24"/>
          <w:szCs w:val="24"/>
        </w:rPr>
      </w:pPr>
      <w:r>
        <w:rPr>
          <w:rFonts w:ascii="Times New Roman" w:hAnsi="Times New Roman" w:cs="Times New Roman"/>
          <w:noProof/>
          <w:sz w:val="24"/>
          <w:szCs w:val="24"/>
        </w:rPr>
        <w:t>–</w:t>
      </w:r>
      <w:r>
        <w:rPr>
          <w:rFonts w:ascii="Times New Roman" w:hAnsi="Times New Roman" w:cs="Times New Roman"/>
          <w:noProof/>
          <w:sz w:val="24"/>
          <w:szCs w:val="24"/>
        </w:rPr>
        <w:tab/>
        <w:t xml:space="preserve">Решение 2014/202/ЕС на Комисията от 20 март 2014 г. за определяне на позицията на Европейския съюз относно решение на Управляващите органи към Споразумението между правителството на Съединените американски щати и Европейския съюз за координирането на програми за етикетиране на енергийната ефективност на офис оборудване относно добавянето на спецификации за компютърни сървъри и източници на непрекъсваемо електрическо захранване в приложение В към Споразумението и за преразглеждане на спецификациите за екрани и за оборудване за възпроизвеждане на изображения, включени в приложение В към Споразумението </w:t>
      </w:r>
    </w:p>
    <w:p>
      <w:pPr>
        <w:spacing w:after="0" w:line="360" w:lineRule="auto"/>
        <w:ind w:left="567" w:hanging="567"/>
        <w:rPr>
          <w:rFonts w:ascii="Times New Roman" w:hAnsi="Times New Roman" w:cs="Times New Roman"/>
          <w:noProof/>
          <w:sz w:val="24"/>
          <w:szCs w:val="24"/>
        </w:rPr>
      </w:pPr>
    </w:p>
    <w:p>
      <w:pPr>
        <w:spacing w:after="0" w:line="360" w:lineRule="auto"/>
        <w:ind w:left="567" w:hanging="567"/>
        <w:rPr>
          <w:rFonts w:ascii="Times New Roman" w:hAnsi="Times New Roman" w:cs="Times New Roman"/>
          <w:noProof/>
          <w:sz w:val="24"/>
          <w:szCs w:val="24"/>
        </w:rPr>
      </w:pPr>
      <w:r>
        <w:rPr>
          <w:rFonts w:ascii="Times New Roman" w:hAnsi="Times New Roman" w:cs="Times New Roman"/>
          <w:noProof/>
          <w:sz w:val="24"/>
          <w:szCs w:val="24"/>
        </w:rPr>
        <w:t>–</w:t>
      </w:r>
      <w:r>
        <w:rPr>
          <w:rFonts w:ascii="Times New Roman" w:hAnsi="Times New Roman" w:cs="Times New Roman"/>
          <w:noProof/>
          <w:sz w:val="24"/>
          <w:szCs w:val="24"/>
        </w:rPr>
        <w:tab/>
        <w:t>Решение (ЕС) 2015/1402 на Комисията от 15 юли 2015 г. за определяне на позицията на Европейския съюз по отношение на вземането на решение от управляващите органи към Споразумението между правителството на Съединените американски щати и Европейския съюз за координирането на програми за етикетиране на енергийната ефективност на офис оборудване относно преразглеждане на спецификациите за компютри, включени в приложение В към споразумението</w:t>
      </w:r>
    </w:p>
    <w:p>
      <w:pPr>
        <w:spacing w:after="0" w:line="360" w:lineRule="auto"/>
        <w:rPr>
          <w:rFonts w:ascii="Times New Roman" w:hAnsi="Times New Roman" w:cs="Times New Roman"/>
          <w:noProof/>
          <w:sz w:val="24"/>
          <w:szCs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Съветът по партньорство редовно ще анализира възможността за определяне на конкретни срокове за прилагането на Регламент (ЕО) № 106/2008 и на решения 2014/202/ЕС и (ЕС) 2015/1402.</w:t>
      </w:r>
    </w:p>
    <w:p>
      <w:pPr>
        <w:spacing w:after="0" w:line="360" w:lineRule="auto"/>
        <w:rPr>
          <w:rFonts w:ascii="Times New Roman" w:hAnsi="Times New Roman" w:cs="Times New Roman"/>
          <w:noProof/>
          <w:sz w:val="24"/>
          <w:szCs w:val="24"/>
        </w:rPr>
      </w:pPr>
    </w:p>
    <w:p>
      <w:pPr>
        <w:rPr>
          <w:rFonts w:ascii="Times New Roman" w:hAnsi="Times New Roman" w:cs="Times New Roman"/>
          <w:noProof/>
          <w:sz w:val="24"/>
          <w:szCs w:val="24"/>
          <w:highlight w:val="red"/>
        </w:rPr>
      </w:pPr>
      <w:r>
        <w:rPr>
          <w:rFonts w:ascii="Times New Roman" w:hAnsi="Times New Roman" w:cs="Times New Roman"/>
          <w:noProof/>
          <w:sz w:val="24"/>
          <w:szCs w:val="24"/>
        </w:rPr>
        <w:br w:type="page"/>
      </w:r>
    </w:p>
    <w:p>
      <w:pP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Регламент (ЕО) № 1222/2009 на Европейския парламент и на Съвета от 25 ноември 2009 г. относно етикетирането на гуми по отношение на горивната ефективност и други съществени параметри</w:t>
      </w:r>
    </w:p>
    <w:p>
      <w:pPr>
        <w:spacing w:after="0" w:line="360" w:lineRule="auto"/>
        <w:rPr>
          <w:rFonts w:ascii="Times New Roman" w:hAnsi="Times New Roman" w:cs="Times New Roman"/>
          <w:noProof/>
          <w:sz w:val="24"/>
          <w:szCs w:val="24"/>
        </w:rPr>
      </w:pPr>
    </w:p>
    <w:p>
      <w:pPr>
        <w:spacing w:after="0" w:line="360" w:lineRule="auto"/>
        <w:ind w:left="567" w:hanging="567"/>
        <w:rPr>
          <w:rFonts w:ascii="Times New Roman" w:hAnsi="Times New Roman" w:cs="Times New Roman"/>
          <w:noProof/>
          <w:sz w:val="24"/>
          <w:szCs w:val="24"/>
        </w:rPr>
      </w:pPr>
      <w:r>
        <w:rPr>
          <w:rFonts w:ascii="Times New Roman" w:hAnsi="Times New Roman" w:cs="Times New Roman"/>
          <w:noProof/>
          <w:sz w:val="24"/>
          <w:szCs w:val="24"/>
        </w:rPr>
        <w:t>–</w:t>
      </w:r>
      <w:r>
        <w:rPr>
          <w:rFonts w:ascii="Times New Roman" w:hAnsi="Times New Roman" w:cs="Times New Roman"/>
          <w:noProof/>
          <w:sz w:val="24"/>
          <w:szCs w:val="24"/>
        </w:rPr>
        <w:tab/>
        <w:t>Регламент (ЕС) № 228/2011 на Комисията от 7 март 2011 г. за изменение на Регламент (ЕО) № 1222/2009 на Европейския парламент и на Съвета по отношение на методите за изпитване на сцеплението на гуми от клас C1 с влажна пътна настилка</w:t>
      </w:r>
    </w:p>
    <w:p>
      <w:pPr>
        <w:spacing w:after="0" w:line="360" w:lineRule="auto"/>
        <w:ind w:left="567" w:hanging="567"/>
        <w:rPr>
          <w:rFonts w:ascii="Times New Roman" w:hAnsi="Times New Roman" w:cs="Times New Roman"/>
          <w:noProof/>
          <w:sz w:val="24"/>
          <w:szCs w:val="24"/>
        </w:rPr>
      </w:pPr>
    </w:p>
    <w:p>
      <w:pPr>
        <w:spacing w:after="0" w:line="360" w:lineRule="auto"/>
        <w:ind w:left="567" w:hanging="567"/>
        <w:rPr>
          <w:rFonts w:ascii="Times New Roman" w:hAnsi="Times New Roman" w:cs="Times New Roman"/>
          <w:noProof/>
          <w:sz w:val="24"/>
          <w:szCs w:val="24"/>
        </w:rPr>
      </w:pPr>
      <w:r>
        <w:rPr>
          <w:rFonts w:ascii="Times New Roman" w:hAnsi="Times New Roman" w:cs="Times New Roman"/>
          <w:noProof/>
          <w:sz w:val="24"/>
          <w:szCs w:val="24"/>
        </w:rPr>
        <w:t>–</w:t>
      </w:r>
      <w:r>
        <w:rPr>
          <w:rFonts w:ascii="Times New Roman" w:hAnsi="Times New Roman" w:cs="Times New Roman"/>
          <w:noProof/>
          <w:sz w:val="24"/>
          <w:szCs w:val="24"/>
        </w:rPr>
        <w:tab/>
        <w:t>Регламент (ЕС) № 1235/2011 на Комисията от 29 ноември 2011 г. за изменение на Регламент (ЕО) № 1222/2009 на Европейския парламент и на Съвета по отношение на категоризирането на гуми според сцеплението им с влажна пътна настилка, измерването на съпротивлението при търкаляне и процедурата за проверка</w:t>
      </w:r>
    </w:p>
    <w:p>
      <w:pPr>
        <w:spacing w:after="0" w:line="360" w:lineRule="auto"/>
        <w:rPr>
          <w:rFonts w:ascii="Times New Roman" w:hAnsi="Times New Roman" w:cs="Times New Roman"/>
          <w:noProof/>
          <w:sz w:val="24"/>
          <w:szCs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Съветът по партньорство редовно ще анализира възможността за определяне на конкретни срокове за прилагането на регламенти (ЕО) № 1222/2009, (ЕС) № 228/2011 и (ЕС) № 1235/2011.</w:t>
      </w:r>
    </w:p>
    <w:p>
      <w:pPr>
        <w:spacing w:after="0" w:line="360" w:lineRule="auto"/>
        <w:rPr>
          <w:rFonts w:ascii="Times New Roman" w:hAnsi="Times New Roman" w:cs="Times New Roman"/>
          <w:noProof/>
          <w:sz w:val="24"/>
          <w:szCs w:val="24"/>
        </w:rPr>
      </w:pPr>
    </w:p>
    <w:p>
      <w:pP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Енергия от възобновяеми източници</w:t>
      </w:r>
    </w:p>
    <w:p>
      <w:pPr>
        <w:spacing w:after="0" w:line="360" w:lineRule="auto"/>
        <w:rPr>
          <w:rFonts w:ascii="Times New Roman" w:hAnsi="Times New Roman" w:cs="Times New Roman"/>
          <w:noProof/>
          <w:sz w:val="24"/>
          <w:szCs w:val="24"/>
        </w:rPr>
      </w:pPr>
    </w:p>
    <w:p>
      <w:pP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Директива 2009/28/ЕО на Европейския парламент и на Съвета от 23 април 2009 г. за насърчаване използването на енергия от възобновяеми източници и за изменение и впоследствие за отмяна на директиви 2001/77/ЕО и 2003/30/ЕО</w:t>
      </w:r>
    </w:p>
    <w:p>
      <w:pPr>
        <w:spacing w:after="0" w:line="360" w:lineRule="auto"/>
        <w:rPr>
          <w:rFonts w:ascii="Times New Roman" w:hAnsi="Times New Roman" w:cs="Times New Roman"/>
          <w:noProof/>
          <w:sz w:val="24"/>
          <w:szCs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Срокове: разпоредбите на Директива 2009/28/ЕО започват да се прилагат в срок от 6 години след влизане в сила на настоящото споразумение.</w:t>
      </w:r>
    </w:p>
    <w:p>
      <w:pPr>
        <w:spacing w:after="0" w:line="360" w:lineRule="auto"/>
        <w:rPr>
          <w:rFonts w:ascii="Times New Roman" w:hAnsi="Times New Roman" w:cs="Times New Roman"/>
          <w:noProof/>
          <w:sz w:val="24"/>
          <w:szCs w:val="24"/>
        </w:rPr>
      </w:pPr>
    </w:p>
    <w:p>
      <w:pPr>
        <w:rPr>
          <w:rFonts w:ascii="Times New Roman" w:hAnsi="Times New Roman" w:cs="Times New Roman"/>
          <w:noProof/>
          <w:sz w:val="24"/>
          <w:szCs w:val="24"/>
        </w:rPr>
      </w:pPr>
      <w:r>
        <w:rPr>
          <w:rFonts w:ascii="Times New Roman" w:hAnsi="Times New Roman" w:cs="Times New Roman"/>
          <w:noProof/>
          <w:sz w:val="24"/>
          <w:szCs w:val="24"/>
        </w:rPr>
        <w:br w:type="page"/>
      </w:r>
    </w:p>
    <w:p>
      <w:pP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Ядрени въпроси</w:t>
      </w:r>
    </w:p>
    <w:p>
      <w:pPr>
        <w:spacing w:after="0" w:line="360" w:lineRule="auto"/>
        <w:rPr>
          <w:rFonts w:ascii="Times New Roman" w:hAnsi="Times New Roman" w:cs="Times New Roman"/>
          <w:noProof/>
          <w:sz w:val="24"/>
          <w:szCs w:val="24"/>
        </w:rPr>
      </w:pPr>
    </w:p>
    <w:p>
      <w:pP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Директива 2006/117/Евратом на Съвета от 20 ноември 2006 г. относно надзор и контрол на превоза на радиоактивни отпадъци и отработено гориво</w:t>
      </w:r>
    </w:p>
    <w:p>
      <w:pPr>
        <w:spacing w:after="0" w:line="360" w:lineRule="auto"/>
        <w:rPr>
          <w:rFonts w:ascii="Times New Roman" w:hAnsi="Times New Roman" w:cs="Times New Roman"/>
          <w:noProof/>
          <w:sz w:val="24"/>
          <w:szCs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Срокове: разпоредбите на Директива 2006/117/Евратом започват да се прилагат в срок от 5 години след влизане в сила на настоящото споразумение.</w:t>
      </w:r>
    </w:p>
    <w:p>
      <w:pPr>
        <w:spacing w:after="0" w:line="360" w:lineRule="auto"/>
        <w:rPr>
          <w:rFonts w:ascii="Times New Roman" w:hAnsi="Times New Roman" w:cs="Times New Roman"/>
          <w:noProof/>
          <w:sz w:val="24"/>
          <w:szCs w:val="24"/>
        </w:rPr>
      </w:pPr>
    </w:p>
    <w:p>
      <w:pP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Директива 2009/71/Евратом на Съвета от 25 юни 2009 г. за установяване на общностна рамка за ядрената безопасност на ядрените инсталации, изменена</w:t>
      </w:r>
    </w:p>
    <w:p>
      <w:pPr>
        <w:spacing w:after="0" w:line="360" w:lineRule="auto"/>
        <w:rPr>
          <w:rFonts w:ascii="Times New Roman" w:hAnsi="Times New Roman" w:cs="Times New Roman"/>
          <w:noProof/>
          <w:sz w:val="24"/>
          <w:szCs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Срокове: разпоредбите на Директива 2009/71/Евратом започват да се прилагат в срок от 4 години след влизане в сила на настоящото споразумение.</w:t>
      </w:r>
    </w:p>
    <w:p>
      <w:pPr>
        <w:spacing w:after="0" w:line="360" w:lineRule="auto"/>
        <w:rPr>
          <w:rFonts w:ascii="Times New Roman" w:hAnsi="Times New Roman" w:cs="Times New Roman"/>
          <w:noProof/>
          <w:sz w:val="24"/>
          <w:szCs w:val="24"/>
        </w:rPr>
      </w:pPr>
    </w:p>
    <w:p>
      <w:pP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Директива 2011/70/Евратом на Съвета от 19 юли 2011 г. за създаване на рамка на Общността за отговорно и безопасно управление на отработено гориво и радиоактивни отпадъци</w:t>
      </w:r>
    </w:p>
    <w:p>
      <w:pPr>
        <w:spacing w:after="0" w:line="360" w:lineRule="auto"/>
        <w:rPr>
          <w:rFonts w:ascii="Times New Roman" w:hAnsi="Times New Roman" w:cs="Times New Roman"/>
          <w:noProof/>
          <w:sz w:val="24"/>
          <w:szCs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Срокове: разпоредбите на Директива 2011/70/Евратом започват да се прилагат в срок от 4 години след влизане в сила на настоящото споразумение.</w:t>
      </w:r>
    </w:p>
    <w:p>
      <w:pPr>
        <w:spacing w:after="0" w:line="360" w:lineRule="auto"/>
        <w:rPr>
          <w:rFonts w:ascii="Times New Roman" w:hAnsi="Times New Roman" w:cs="Times New Roman"/>
          <w:noProof/>
          <w:sz w:val="24"/>
          <w:szCs w:val="24"/>
        </w:rPr>
      </w:pPr>
    </w:p>
    <w:p>
      <w:pP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Директива 2013/51/Евратом на Съвета от 22 октомври 2013 г. за определяне на изисквания за защита на здравето на населението по отношение на радиоактивни вещества във водата, предназначена за консумация от човека</w:t>
      </w:r>
    </w:p>
    <w:p>
      <w:pPr>
        <w:spacing w:after="0" w:line="360" w:lineRule="auto"/>
        <w:rPr>
          <w:rFonts w:ascii="Times New Roman" w:hAnsi="Times New Roman" w:cs="Times New Roman"/>
          <w:noProof/>
          <w:sz w:val="24"/>
          <w:szCs w:val="24"/>
        </w:rPr>
      </w:pPr>
    </w:p>
    <w:p>
      <w:pPr>
        <w:rPr>
          <w:rFonts w:ascii="Times New Roman" w:hAnsi="Times New Roman" w:cs="Times New Roman"/>
          <w:noProof/>
          <w:sz w:val="24"/>
          <w:szCs w:val="24"/>
          <w:highlight w:val="yellow"/>
        </w:rPr>
      </w:pPr>
      <w:r>
        <w:rPr>
          <w:rFonts w:ascii="Times New Roman" w:hAnsi="Times New Roman" w:cs="Times New Roman"/>
          <w:noProof/>
          <w:sz w:val="24"/>
          <w:szCs w:val="24"/>
        </w:rPr>
        <w:br w:type="page"/>
      </w: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Срокове: разпоредбите на Директива 2013/51/Евратом започват да се прилагат в срок от 5 години след влизане в сила на настоящото споразумение.</w:t>
      </w:r>
    </w:p>
    <w:p>
      <w:pPr>
        <w:spacing w:after="0" w:line="360" w:lineRule="auto"/>
        <w:rPr>
          <w:rFonts w:ascii="Times New Roman" w:hAnsi="Times New Roman" w:cs="Times New Roman"/>
          <w:noProof/>
          <w:sz w:val="24"/>
          <w:szCs w:val="24"/>
        </w:rPr>
      </w:pPr>
    </w:p>
    <w:p>
      <w:pP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Директива 2013/59/Евратом на Съвета от 5 декември 2013 г. за определяне на основни норми на безопасност за защита срещу опасностите, произтичащи от излагане на йонизиращо лъчение</w:t>
      </w:r>
    </w:p>
    <w:p>
      <w:pPr>
        <w:spacing w:after="0" w:line="360" w:lineRule="auto"/>
        <w:rPr>
          <w:rFonts w:ascii="Times New Roman" w:hAnsi="Times New Roman" w:cs="Times New Roman"/>
          <w:noProof/>
          <w:sz w:val="24"/>
          <w:szCs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Срокове: разпоредбите на Директива 2013/59/Евратом започват да се прилагат в срок от 5 години след влизане в сила на настоящото споразумение.</w:t>
      </w:r>
    </w:p>
    <w:p>
      <w:pPr>
        <w:spacing w:after="0" w:line="360" w:lineRule="auto"/>
        <w:rPr>
          <w:rFonts w:ascii="Times New Roman" w:hAnsi="Times New Roman" w:cs="Times New Roman"/>
          <w:noProof/>
          <w:sz w:val="24"/>
          <w:szCs w:val="24"/>
        </w:rPr>
      </w:pPr>
    </w:p>
    <w:p>
      <w:pPr>
        <w:spacing w:after="0" w:line="360" w:lineRule="auto"/>
        <w:rPr>
          <w:rFonts w:ascii="Times New Roman" w:hAnsi="Times New Roman" w:cs="Times New Roman"/>
          <w:noProof/>
          <w:sz w:val="24"/>
          <w:szCs w:val="24"/>
        </w:rPr>
      </w:pPr>
    </w:p>
    <w:p>
      <w:pPr>
        <w:spacing w:after="0" w:line="360" w:lineRule="auto"/>
        <w:jc w:val="center"/>
        <w:rPr>
          <w:rFonts w:ascii="Times New Roman" w:hAnsi="Times New Roman" w:cs="Times New Roman"/>
          <w:noProof/>
          <w:sz w:val="24"/>
          <w:szCs w:val="24"/>
        </w:rPr>
      </w:pPr>
      <w:r>
        <w:rPr>
          <w:rFonts w:ascii="Times New Roman" w:hAnsi="Times New Roman" w:cs="Times New Roman"/>
          <w:noProof/>
          <w:sz w:val="24"/>
          <w:szCs w:val="24"/>
        </w:rPr>
        <w:t>________________</w:t>
      </w:r>
    </w:p>
    <w:p>
      <w:pPr>
        <w:spacing w:after="0" w:line="360" w:lineRule="auto"/>
        <w:rPr>
          <w:rFonts w:ascii="Times New Roman" w:hAnsi="Times New Roman" w:cs="Times New Roman"/>
          <w:noProof/>
          <w:sz w:val="24"/>
          <w:szCs w:val="24"/>
        </w:rPr>
      </w:pPr>
    </w:p>
    <w:p>
      <w:pPr>
        <w:spacing w:after="0" w:line="360" w:lineRule="auto"/>
        <w:rPr>
          <w:rFonts w:ascii="Times New Roman" w:hAnsi="Times New Roman" w:cs="Times New Roman"/>
          <w:noProof/>
          <w:sz w:val="24"/>
          <w:szCs w:val="24"/>
        </w:rPr>
        <w:sectPr>
          <w:headerReference w:type="even" r:id="rId28"/>
          <w:headerReference w:type="default" r:id="rId29"/>
          <w:footerReference w:type="even" r:id="rId30"/>
          <w:footerReference w:type="default" r:id="rId31"/>
          <w:headerReference w:type="first" r:id="rId32"/>
          <w:footerReference w:type="first" r:id="rId33"/>
          <w:pgSz w:w="11909" w:h="16834" w:code="9"/>
          <w:pgMar w:top="1134" w:right="1134" w:bottom="1134" w:left="1134" w:header="1134" w:footer="1134" w:gutter="0"/>
          <w:pgNumType w:start="1"/>
          <w:cols w:space="720"/>
          <w:noEndnote/>
          <w:docGrid w:linePitch="360"/>
        </w:sectPr>
      </w:pPr>
    </w:p>
    <w:p>
      <w:pPr>
        <w:spacing w:after="0" w:line="360" w:lineRule="auto"/>
        <w:jc w:val="right"/>
        <w:rPr>
          <w:rFonts w:ascii="Times New Roman" w:hAnsi="Times New Roman" w:cs="Times New Roman"/>
          <w:b/>
          <w:bCs/>
          <w:noProof/>
          <w:sz w:val="24"/>
          <w:szCs w:val="24"/>
          <w:u w:val="single"/>
        </w:rPr>
      </w:pPr>
      <w:r>
        <w:rPr>
          <w:rFonts w:ascii="Times New Roman" w:hAnsi="Times New Roman" w:cs="Times New Roman"/>
          <w:b/>
          <w:noProof/>
          <w:sz w:val="24"/>
          <w:szCs w:val="24"/>
          <w:u w:val="single"/>
        </w:rPr>
        <w:t>ПРИЛОЖЕНИЕ ІІІ</w:t>
      </w:r>
    </w:p>
    <w:p>
      <w:pPr>
        <w:spacing w:after="0" w:line="360" w:lineRule="auto"/>
        <w:rPr>
          <w:rFonts w:ascii="Times New Roman" w:hAnsi="Times New Roman" w:cs="Times New Roman"/>
          <w:noProof/>
          <w:sz w:val="24"/>
          <w:szCs w:val="24"/>
        </w:rPr>
      </w:pPr>
    </w:p>
    <w:p>
      <w:pPr>
        <w:spacing w:after="0" w:line="360" w:lineRule="auto"/>
        <w:rPr>
          <w:rFonts w:ascii="Times New Roman" w:hAnsi="Times New Roman" w:cs="Times New Roman"/>
          <w:noProof/>
          <w:sz w:val="24"/>
          <w:szCs w:val="24"/>
        </w:rPr>
      </w:pPr>
    </w:p>
    <w:p>
      <w:pPr>
        <w:spacing w:after="0" w:line="360" w:lineRule="auto"/>
        <w:jc w:val="center"/>
        <w:rPr>
          <w:rFonts w:ascii="Times New Roman" w:hAnsi="Times New Roman" w:cs="Times New Roman"/>
          <w:noProof/>
          <w:sz w:val="24"/>
          <w:szCs w:val="24"/>
        </w:rPr>
      </w:pPr>
      <w:r>
        <w:rPr>
          <w:rFonts w:ascii="Times New Roman" w:hAnsi="Times New Roman" w:cs="Times New Roman"/>
          <w:noProof/>
          <w:sz w:val="24"/>
          <w:szCs w:val="24"/>
        </w:rPr>
        <w:t>към ГЛАВА 3: ОКОЛНА СРЕДА на ДЯЛ V: ДРУГИ ПОЛИТИКИ ЗА СЪТРУДНИЧЕСТВО</w:t>
      </w:r>
    </w:p>
    <w:p>
      <w:pPr>
        <w:spacing w:after="0" w:line="360" w:lineRule="auto"/>
        <w:rPr>
          <w:rFonts w:ascii="Times New Roman" w:hAnsi="Times New Roman" w:cs="Times New Roman"/>
          <w:noProof/>
          <w:sz w:val="24"/>
          <w:szCs w:val="24"/>
        </w:rPr>
      </w:pPr>
    </w:p>
    <w:p>
      <w:pP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Република Армения поема ангажимента за постепенно сближаване на своето законодателство със законодателството на Европейския съюз и международните инструменти, изброени по-долу, в посочените срокове.</w:t>
      </w:r>
    </w:p>
    <w:p>
      <w:pPr>
        <w:spacing w:after="0" w:line="360" w:lineRule="auto"/>
        <w:rPr>
          <w:rFonts w:ascii="Times New Roman" w:hAnsi="Times New Roman" w:cs="Times New Roman"/>
          <w:noProof/>
          <w:sz w:val="24"/>
          <w:szCs w:val="24"/>
        </w:rPr>
      </w:pPr>
    </w:p>
    <w:p>
      <w:pP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Управление на околната среда и включване на околната среда в други области на политиката</w:t>
      </w:r>
    </w:p>
    <w:p>
      <w:pPr>
        <w:spacing w:after="0" w:line="360" w:lineRule="auto"/>
        <w:rPr>
          <w:rFonts w:ascii="Times New Roman" w:hAnsi="Times New Roman" w:cs="Times New Roman"/>
          <w:noProof/>
          <w:sz w:val="24"/>
          <w:szCs w:val="24"/>
        </w:rPr>
      </w:pPr>
    </w:p>
    <w:p>
      <w:pP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Директива 2011/92/ЕС на Европейския парламент и на Съвета от 13 декември 2011 г. относно оценката на въздействието на някои публични и частни проекти върху околната среда, изменена</w:t>
      </w:r>
    </w:p>
    <w:p>
      <w:pPr>
        <w:spacing w:after="0" w:line="360" w:lineRule="auto"/>
        <w:rPr>
          <w:rFonts w:ascii="Times New Roman" w:hAnsi="Times New Roman" w:cs="Times New Roman"/>
          <w:noProof/>
          <w:sz w:val="24"/>
          <w:szCs w:val="24"/>
        </w:rPr>
      </w:pPr>
    </w:p>
    <w:p>
      <w:pP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От тази директива се прилагат посочените по-долу разпоредби:</w:t>
      </w:r>
    </w:p>
    <w:p>
      <w:pPr>
        <w:spacing w:after="0" w:line="360" w:lineRule="auto"/>
        <w:rPr>
          <w:rFonts w:ascii="Times New Roman" w:hAnsi="Times New Roman" w:cs="Times New Roman"/>
          <w:noProof/>
          <w:sz w:val="24"/>
          <w:szCs w:val="24"/>
        </w:rPr>
      </w:pPr>
    </w:p>
    <w:p>
      <w:pPr>
        <w:spacing w:after="0" w:line="360" w:lineRule="auto"/>
        <w:ind w:left="567" w:hanging="567"/>
        <w:rPr>
          <w:rFonts w:ascii="Times New Roman" w:hAnsi="Times New Roman" w:cs="Times New Roman"/>
          <w:noProof/>
          <w:sz w:val="24"/>
          <w:szCs w:val="24"/>
        </w:rPr>
      </w:pPr>
      <w:r>
        <w:rPr>
          <w:rFonts w:ascii="Times New Roman" w:hAnsi="Times New Roman" w:cs="Times New Roman"/>
          <w:noProof/>
          <w:sz w:val="24"/>
          <w:szCs w:val="24"/>
        </w:rPr>
        <w:t>–</w:t>
      </w:r>
      <w:r>
        <w:rPr>
          <w:rFonts w:ascii="Times New Roman" w:hAnsi="Times New Roman" w:cs="Times New Roman"/>
          <w:noProof/>
          <w:sz w:val="24"/>
          <w:szCs w:val="24"/>
        </w:rPr>
        <w:tab/>
        <w:t>приемане на национално законодателство и определяне на компетентен(и) орган(и)</w:t>
      </w:r>
    </w:p>
    <w:p>
      <w:pPr>
        <w:spacing w:after="0" w:line="360" w:lineRule="auto"/>
        <w:ind w:left="567" w:hanging="567"/>
        <w:rPr>
          <w:rFonts w:ascii="Times New Roman" w:hAnsi="Times New Roman" w:cs="Times New Roman"/>
          <w:noProof/>
          <w:sz w:val="24"/>
          <w:szCs w:val="24"/>
        </w:rPr>
      </w:pPr>
    </w:p>
    <w:p>
      <w:pPr>
        <w:spacing w:after="0" w:line="360" w:lineRule="auto"/>
        <w:ind w:left="567" w:hanging="567"/>
        <w:rPr>
          <w:rFonts w:ascii="Times New Roman" w:hAnsi="Times New Roman" w:cs="Times New Roman"/>
          <w:noProof/>
          <w:sz w:val="24"/>
          <w:szCs w:val="24"/>
        </w:rPr>
      </w:pPr>
      <w:r>
        <w:rPr>
          <w:rFonts w:ascii="Times New Roman" w:hAnsi="Times New Roman" w:cs="Times New Roman"/>
          <w:noProof/>
          <w:sz w:val="24"/>
          <w:szCs w:val="24"/>
        </w:rPr>
        <w:t>–</w:t>
      </w:r>
      <w:r>
        <w:rPr>
          <w:rFonts w:ascii="Times New Roman" w:hAnsi="Times New Roman" w:cs="Times New Roman"/>
          <w:noProof/>
          <w:sz w:val="24"/>
          <w:szCs w:val="24"/>
        </w:rPr>
        <w:tab/>
        <w:t>установяване на изисквания за това проектите по приложение I към тази директива да бъдат предмет на оценка на въздействието върху околната среда и на процедура за решаване кои от проектите по приложение II към тази директива изискват оценка на въздействието върху околната среда (член 4)</w:t>
      </w:r>
    </w:p>
    <w:p>
      <w:pPr>
        <w:spacing w:after="0" w:line="360" w:lineRule="auto"/>
        <w:ind w:left="567" w:hanging="567"/>
        <w:rPr>
          <w:rFonts w:ascii="Times New Roman" w:hAnsi="Times New Roman" w:cs="Times New Roman"/>
          <w:noProof/>
          <w:sz w:val="24"/>
          <w:szCs w:val="24"/>
        </w:rPr>
      </w:pPr>
    </w:p>
    <w:p>
      <w:pPr>
        <w:spacing w:after="0" w:line="360" w:lineRule="auto"/>
        <w:ind w:left="567" w:hanging="567"/>
        <w:rPr>
          <w:rFonts w:ascii="Times New Roman" w:hAnsi="Times New Roman" w:cs="Times New Roman"/>
          <w:noProof/>
          <w:sz w:val="24"/>
          <w:szCs w:val="24"/>
        </w:rPr>
      </w:pPr>
      <w:r>
        <w:rPr>
          <w:rFonts w:ascii="Times New Roman" w:hAnsi="Times New Roman" w:cs="Times New Roman"/>
          <w:noProof/>
          <w:sz w:val="24"/>
          <w:szCs w:val="24"/>
        </w:rPr>
        <w:t>–</w:t>
      </w:r>
      <w:r>
        <w:rPr>
          <w:rFonts w:ascii="Times New Roman" w:hAnsi="Times New Roman" w:cs="Times New Roman"/>
          <w:noProof/>
          <w:sz w:val="24"/>
          <w:szCs w:val="24"/>
        </w:rPr>
        <w:tab/>
        <w:t>определяне на съдържанието на информацията, която предприемачът трябва да предостави (член 5)</w:t>
      </w:r>
    </w:p>
    <w:p>
      <w:pPr>
        <w:spacing w:after="0" w:line="360" w:lineRule="auto"/>
        <w:ind w:left="567" w:hanging="567"/>
        <w:rPr>
          <w:rFonts w:ascii="Times New Roman" w:hAnsi="Times New Roman" w:cs="Times New Roman"/>
          <w:noProof/>
          <w:sz w:val="24"/>
          <w:szCs w:val="24"/>
        </w:rPr>
      </w:pPr>
    </w:p>
    <w:p>
      <w:pPr>
        <w:spacing w:after="0" w:line="360" w:lineRule="auto"/>
        <w:ind w:left="567" w:hanging="567"/>
        <w:rPr>
          <w:rFonts w:ascii="Times New Roman" w:hAnsi="Times New Roman" w:cs="Times New Roman"/>
          <w:noProof/>
          <w:sz w:val="24"/>
          <w:szCs w:val="24"/>
        </w:rPr>
      </w:pPr>
      <w:r>
        <w:rPr>
          <w:rFonts w:ascii="Times New Roman" w:hAnsi="Times New Roman" w:cs="Times New Roman"/>
          <w:noProof/>
          <w:sz w:val="24"/>
          <w:szCs w:val="24"/>
        </w:rPr>
        <w:t>–</w:t>
      </w:r>
      <w:r>
        <w:rPr>
          <w:rFonts w:ascii="Times New Roman" w:hAnsi="Times New Roman" w:cs="Times New Roman"/>
          <w:noProof/>
          <w:sz w:val="24"/>
          <w:szCs w:val="24"/>
        </w:rPr>
        <w:tab/>
        <w:t>установяване на процедура за консултации с органите с отговорности в областта на околната среда и процедура за обществена консултация (член 6)</w:t>
      </w:r>
    </w:p>
    <w:p>
      <w:pPr>
        <w:spacing w:after="0" w:line="360" w:lineRule="auto"/>
        <w:ind w:left="567" w:hanging="567"/>
        <w:rPr>
          <w:rFonts w:ascii="Times New Roman" w:hAnsi="Times New Roman" w:cs="Times New Roman"/>
          <w:noProof/>
          <w:sz w:val="24"/>
          <w:szCs w:val="24"/>
        </w:rPr>
      </w:pPr>
    </w:p>
    <w:p>
      <w:pPr>
        <w:rPr>
          <w:rFonts w:ascii="Times New Roman" w:hAnsi="Times New Roman" w:cs="Times New Roman"/>
          <w:noProof/>
          <w:sz w:val="24"/>
          <w:szCs w:val="24"/>
          <w:highlight w:val="green"/>
        </w:rPr>
      </w:pPr>
      <w:r>
        <w:rPr>
          <w:rFonts w:ascii="Times New Roman" w:hAnsi="Times New Roman" w:cs="Times New Roman"/>
          <w:noProof/>
          <w:sz w:val="24"/>
          <w:szCs w:val="24"/>
        </w:rPr>
        <w:br w:type="page"/>
      </w:r>
    </w:p>
    <w:p>
      <w:pPr>
        <w:spacing w:after="0" w:line="360" w:lineRule="auto"/>
        <w:ind w:left="567" w:hanging="567"/>
        <w:rPr>
          <w:rFonts w:ascii="Times New Roman" w:hAnsi="Times New Roman" w:cs="Times New Roman"/>
          <w:noProof/>
          <w:sz w:val="24"/>
          <w:szCs w:val="24"/>
        </w:rPr>
      </w:pPr>
      <w:r>
        <w:rPr>
          <w:rFonts w:ascii="Times New Roman" w:hAnsi="Times New Roman" w:cs="Times New Roman"/>
          <w:noProof/>
          <w:sz w:val="24"/>
          <w:szCs w:val="24"/>
        </w:rPr>
        <w:t>–</w:t>
      </w:r>
      <w:r>
        <w:rPr>
          <w:rFonts w:ascii="Times New Roman" w:hAnsi="Times New Roman" w:cs="Times New Roman"/>
          <w:noProof/>
          <w:sz w:val="24"/>
          <w:szCs w:val="24"/>
        </w:rPr>
        <w:tab/>
        <w:t xml:space="preserve">установяване на договорености за обмен на информация и консултации с държавите членки, чиято околна среда може да бъде значително засегната от даден проект (член 7) </w:t>
      </w:r>
    </w:p>
    <w:p>
      <w:pPr>
        <w:spacing w:after="0" w:line="360" w:lineRule="auto"/>
        <w:ind w:left="567" w:hanging="567"/>
        <w:rPr>
          <w:rFonts w:ascii="Times New Roman" w:hAnsi="Times New Roman" w:cs="Times New Roman"/>
          <w:noProof/>
          <w:sz w:val="24"/>
          <w:szCs w:val="24"/>
        </w:rPr>
      </w:pPr>
    </w:p>
    <w:p>
      <w:pPr>
        <w:spacing w:after="0" w:line="360" w:lineRule="auto"/>
        <w:ind w:left="567" w:hanging="567"/>
        <w:rPr>
          <w:rFonts w:ascii="Times New Roman" w:hAnsi="Times New Roman" w:cs="Times New Roman"/>
          <w:noProof/>
          <w:sz w:val="24"/>
          <w:szCs w:val="24"/>
        </w:rPr>
      </w:pPr>
      <w:r>
        <w:rPr>
          <w:rFonts w:ascii="Times New Roman" w:hAnsi="Times New Roman" w:cs="Times New Roman"/>
          <w:noProof/>
          <w:sz w:val="24"/>
          <w:szCs w:val="24"/>
        </w:rPr>
        <w:t>–</w:t>
      </w:r>
      <w:r>
        <w:rPr>
          <w:rFonts w:ascii="Times New Roman" w:hAnsi="Times New Roman" w:cs="Times New Roman"/>
          <w:noProof/>
          <w:sz w:val="24"/>
          <w:szCs w:val="24"/>
        </w:rPr>
        <w:tab/>
        <w:t>изготвяне на мерки за информиране на обществеността за резултата от решенията по заявления за разрешение за осъществяване (член 9)</w:t>
      </w:r>
    </w:p>
    <w:p>
      <w:pPr>
        <w:spacing w:after="0" w:line="360" w:lineRule="auto"/>
        <w:ind w:left="567" w:hanging="567"/>
        <w:rPr>
          <w:rFonts w:ascii="Times New Roman" w:hAnsi="Times New Roman" w:cs="Times New Roman"/>
          <w:noProof/>
          <w:sz w:val="24"/>
          <w:szCs w:val="24"/>
        </w:rPr>
      </w:pPr>
    </w:p>
    <w:p>
      <w:pPr>
        <w:spacing w:after="0" w:line="360" w:lineRule="auto"/>
        <w:ind w:left="567" w:hanging="567"/>
        <w:rPr>
          <w:rFonts w:ascii="Times New Roman" w:hAnsi="Times New Roman" w:cs="Times New Roman"/>
          <w:noProof/>
          <w:spacing w:val="-2"/>
          <w:sz w:val="24"/>
          <w:szCs w:val="24"/>
        </w:rPr>
      </w:pPr>
      <w:r>
        <w:rPr>
          <w:rFonts w:ascii="Times New Roman" w:hAnsi="Times New Roman" w:cs="Times New Roman"/>
          <w:noProof/>
          <w:spacing w:val="-2"/>
          <w:sz w:val="24"/>
          <w:szCs w:val="24"/>
        </w:rPr>
        <w:t>–</w:t>
      </w:r>
      <w:r>
        <w:rPr>
          <w:rFonts w:ascii="Times New Roman" w:hAnsi="Times New Roman" w:cs="Times New Roman"/>
          <w:noProof/>
          <w:spacing w:val="-2"/>
          <w:sz w:val="24"/>
          <w:szCs w:val="24"/>
        </w:rPr>
        <w:tab/>
        <w:t>установяване на ефективни, невъзпрепятстващо скъпи и своевременни административни и съдебни процедури, в които участват обществеността и НПО (член 11)</w:t>
      </w:r>
    </w:p>
    <w:p>
      <w:pPr>
        <w:spacing w:after="0" w:line="360" w:lineRule="auto"/>
        <w:ind w:left="567" w:hanging="567"/>
        <w:rPr>
          <w:rFonts w:ascii="Times New Roman" w:hAnsi="Times New Roman" w:cs="Times New Roman"/>
          <w:noProof/>
          <w:sz w:val="24"/>
          <w:szCs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Срокове: тези разпоредби на Директива 2011/92/ЕС започват да се прилагат в срок от 2 години след влизане в сила на настоящото споразумение.</w:t>
      </w:r>
    </w:p>
    <w:p>
      <w:pPr>
        <w:spacing w:after="0" w:line="360" w:lineRule="auto"/>
        <w:rPr>
          <w:rFonts w:ascii="Times New Roman" w:hAnsi="Times New Roman" w:cs="Times New Roman"/>
          <w:noProof/>
          <w:sz w:val="24"/>
          <w:szCs w:val="24"/>
        </w:rPr>
      </w:pPr>
    </w:p>
    <w:p>
      <w:pP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Директива 2001/42/ЕО на Европейския парламент и на Съвета от 27 юни 2001 г. относно оценката на последиците на някои планове и програми върху околната среда</w:t>
      </w:r>
    </w:p>
    <w:p>
      <w:pPr>
        <w:spacing w:after="0" w:line="360" w:lineRule="auto"/>
        <w:rPr>
          <w:rFonts w:ascii="Times New Roman" w:hAnsi="Times New Roman" w:cs="Times New Roman"/>
          <w:noProof/>
          <w:sz w:val="24"/>
          <w:szCs w:val="24"/>
        </w:rPr>
      </w:pPr>
    </w:p>
    <w:p>
      <w:pP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От тази директива се прилагат посочените по-долу разпоредби:</w:t>
      </w:r>
    </w:p>
    <w:p>
      <w:pPr>
        <w:spacing w:after="0" w:line="360" w:lineRule="auto"/>
        <w:rPr>
          <w:rFonts w:ascii="Times New Roman" w:hAnsi="Times New Roman" w:cs="Times New Roman"/>
          <w:noProof/>
          <w:sz w:val="24"/>
          <w:szCs w:val="24"/>
        </w:rPr>
      </w:pPr>
    </w:p>
    <w:p>
      <w:pPr>
        <w:spacing w:after="0" w:line="360" w:lineRule="auto"/>
        <w:ind w:left="567" w:hanging="567"/>
        <w:rPr>
          <w:rFonts w:ascii="Times New Roman" w:hAnsi="Times New Roman" w:cs="Times New Roman"/>
          <w:noProof/>
          <w:sz w:val="24"/>
          <w:szCs w:val="24"/>
        </w:rPr>
      </w:pPr>
      <w:r>
        <w:rPr>
          <w:rFonts w:ascii="Times New Roman" w:hAnsi="Times New Roman" w:cs="Times New Roman"/>
          <w:noProof/>
          <w:sz w:val="24"/>
          <w:szCs w:val="24"/>
        </w:rPr>
        <w:t>–</w:t>
      </w:r>
      <w:r>
        <w:rPr>
          <w:rFonts w:ascii="Times New Roman" w:hAnsi="Times New Roman" w:cs="Times New Roman"/>
          <w:noProof/>
          <w:sz w:val="24"/>
          <w:szCs w:val="24"/>
        </w:rPr>
        <w:tab/>
        <w:t>приемане на национално законодателство и определяне на компетентен(и) орган(и)</w:t>
      </w:r>
    </w:p>
    <w:p>
      <w:pPr>
        <w:spacing w:after="0" w:line="360" w:lineRule="auto"/>
        <w:ind w:left="567" w:hanging="567"/>
        <w:rPr>
          <w:rFonts w:ascii="Times New Roman" w:hAnsi="Times New Roman" w:cs="Times New Roman"/>
          <w:noProof/>
          <w:sz w:val="24"/>
          <w:szCs w:val="24"/>
        </w:rPr>
      </w:pPr>
    </w:p>
    <w:p>
      <w:pPr>
        <w:spacing w:after="0" w:line="360" w:lineRule="auto"/>
        <w:ind w:left="567" w:hanging="567"/>
        <w:rPr>
          <w:rFonts w:ascii="Times New Roman" w:hAnsi="Times New Roman" w:cs="Times New Roman"/>
          <w:noProof/>
          <w:sz w:val="24"/>
          <w:szCs w:val="24"/>
        </w:rPr>
      </w:pPr>
      <w:r>
        <w:rPr>
          <w:rFonts w:ascii="Times New Roman" w:hAnsi="Times New Roman" w:cs="Times New Roman"/>
          <w:noProof/>
          <w:sz w:val="24"/>
          <w:szCs w:val="24"/>
        </w:rPr>
        <w:t>–</w:t>
      </w:r>
      <w:r>
        <w:rPr>
          <w:rFonts w:ascii="Times New Roman" w:hAnsi="Times New Roman" w:cs="Times New Roman"/>
          <w:noProof/>
          <w:sz w:val="24"/>
          <w:szCs w:val="24"/>
        </w:rPr>
        <w:tab/>
        <w:t>установяване на процедура за определяне на това кои планове или програми се нуждаят от стратегическа екологична оценка и определяне на изисквания за това плановете и програмите, за които е задължителна стратегическа екологична оценка, да са предмет на такава оценка (член 3)</w:t>
      </w:r>
    </w:p>
    <w:p>
      <w:pPr>
        <w:spacing w:after="0" w:line="360" w:lineRule="auto"/>
        <w:ind w:left="567" w:hanging="567"/>
        <w:rPr>
          <w:rFonts w:ascii="Times New Roman" w:hAnsi="Times New Roman" w:cs="Times New Roman"/>
          <w:noProof/>
          <w:sz w:val="24"/>
          <w:szCs w:val="24"/>
        </w:rPr>
      </w:pPr>
    </w:p>
    <w:p>
      <w:pPr>
        <w:spacing w:after="0" w:line="360" w:lineRule="auto"/>
        <w:ind w:left="567" w:hanging="567"/>
        <w:rPr>
          <w:rFonts w:ascii="Times New Roman" w:hAnsi="Times New Roman" w:cs="Times New Roman"/>
          <w:noProof/>
          <w:sz w:val="24"/>
          <w:szCs w:val="24"/>
        </w:rPr>
      </w:pPr>
      <w:r>
        <w:rPr>
          <w:rFonts w:ascii="Times New Roman" w:hAnsi="Times New Roman" w:cs="Times New Roman"/>
          <w:noProof/>
          <w:sz w:val="24"/>
          <w:szCs w:val="24"/>
        </w:rPr>
        <w:t>–</w:t>
      </w:r>
      <w:r>
        <w:rPr>
          <w:rFonts w:ascii="Times New Roman" w:hAnsi="Times New Roman" w:cs="Times New Roman"/>
          <w:noProof/>
          <w:sz w:val="24"/>
          <w:szCs w:val="24"/>
        </w:rPr>
        <w:tab/>
        <w:t>установяване на процедура за консултации с органите с отговорности в областта на околната среда и процедура за обществена консултация (член 6)</w:t>
      </w:r>
    </w:p>
    <w:p>
      <w:pPr>
        <w:spacing w:after="0" w:line="360" w:lineRule="auto"/>
        <w:ind w:left="567" w:hanging="567"/>
        <w:rPr>
          <w:rFonts w:ascii="Times New Roman" w:hAnsi="Times New Roman" w:cs="Times New Roman"/>
          <w:noProof/>
          <w:sz w:val="24"/>
          <w:szCs w:val="24"/>
        </w:rPr>
      </w:pPr>
    </w:p>
    <w:p>
      <w:pPr>
        <w:rPr>
          <w:rFonts w:ascii="Times New Roman" w:hAnsi="Times New Roman" w:cs="Times New Roman"/>
          <w:noProof/>
          <w:sz w:val="24"/>
          <w:szCs w:val="24"/>
        </w:rPr>
      </w:pPr>
      <w:r>
        <w:rPr>
          <w:rFonts w:ascii="Times New Roman" w:hAnsi="Times New Roman" w:cs="Times New Roman"/>
          <w:noProof/>
          <w:sz w:val="24"/>
          <w:szCs w:val="24"/>
        </w:rPr>
        <w:br w:type="page"/>
      </w:r>
    </w:p>
    <w:p>
      <w:pPr>
        <w:spacing w:after="0" w:line="360" w:lineRule="auto"/>
        <w:ind w:left="567" w:hanging="567"/>
        <w:rPr>
          <w:rFonts w:ascii="Times New Roman" w:hAnsi="Times New Roman" w:cs="Times New Roman"/>
          <w:noProof/>
          <w:sz w:val="24"/>
          <w:szCs w:val="24"/>
        </w:rPr>
      </w:pPr>
      <w:r>
        <w:rPr>
          <w:rFonts w:ascii="Times New Roman" w:hAnsi="Times New Roman" w:cs="Times New Roman"/>
          <w:noProof/>
          <w:sz w:val="24"/>
          <w:szCs w:val="24"/>
        </w:rPr>
        <w:t>–</w:t>
      </w:r>
      <w:r>
        <w:rPr>
          <w:rFonts w:ascii="Times New Roman" w:hAnsi="Times New Roman" w:cs="Times New Roman"/>
          <w:noProof/>
          <w:sz w:val="24"/>
          <w:szCs w:val="24"/>
        </w:rPr>
        <w:tab/>
        <w:t>установяване на договорености за обмен на информация и консултации с държавите членки, чиято околна среда може да бъде значително засегната от даден план или програма (член 7)</w:t>
      </w:r>
    </w:p>
    <w:p>
      <w:pPr>
        <w:spacing w:after="0" w:line="360" w:lineRule="auto"/>
        <w:rPr>
          <w:rFonts w:ascii="Times New Roman" w:hAnsi="Times New Roman" w:cs="Times New Roman"/>
          <w:noProof/>
          <w:sz w:val="24"/>
          <w:szCs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Срокове: тези разпоредби от Директива 2001/42/ЕО започват да се прилагат в срок от 3 години след влизане в сила на настоящото споразумение.</w:t>
      </w:r>
    </w:p>
    <w:p>
      <w:pPr>
        <w:spacing w:after="0" w:line="360" w:lineRule="auto"/>
        <w:rPr>
          <w:rFonts w:ascii="Times New Roman" w:hAnsi="Times New Roman" w:cs="Times New Roman"/>
          <w:noProof/>
          <w:sz w:val="24"/>
          <w:szCs w:val="24"/>
        </w:rPr>
      </w:pPr>
    </w:p>
    <w:p>
      <w:pP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Директива 2003/4/ЕО на Европейския парламент и на Съвета от 28 януари 2003 г. относно обществения достъп до информация за околната среда и за отмяна на Директива 90/313/ЕИО на Съвета</w:t>
      </w:r>
    </w:p>
    <w:p>
      <w:pPr>
        <w:spacing w:after="0" w:line="360" w:lineRule="auto"/>
        <w:rPr>
          <w:rFonts w:ascii="Times New Roman" w:hAnsi="Times New Roman" w:cs="Times New Roman"/>
          <w:noProof/>
          <w:sz w:val="24"/>
          <w:szCs w:val="24"/>
        </w:rPr>
      </w:pPr>
    </w:p>
    <w:p>
      <w:pP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От тази директива се прилагат посочените по-долу разпоредби:</w:t>
      </w:r>
    </w:p>
    <w:p>
      <w:pPr>
        <w:spacing w:after="0" w:line="360" w:lineRule="auto"/>
        <w:rPr>
          <w:rFonts w:ascii="Times New Roman" w:hAnsi="Times New Roman" w:cs="Times New Roman"/>
          <w:noProof/>
          <w:sz w:val="24"/>
          <w:szCs w:val="24"/>
        </w:rPr>
      </w:pPr>
    </w:p>
    <w:p>
      <w:pPr>
        <w:spacing w:after="0" w:line="360" w:lineRule="auto"/>
        <w:ind w:left="567" w:hanging="567"/>
        <w:rPr>
          <w:rFonts w:ascii="Times New Roman" w:hAnsi="Times New Roman" w:cs="Times New Roman"/>
          <w:noProof/>
          <w:sz w:val="24"/>
          <w:szCs w:val="24"/>
        </w:rPr>
      </w:pPr>
      <w:r>
        <w:rPr>
          <w:rFonts w:ascii="Times New Roman" w:hAnsi="Times New Roman" w:cs="Times New Roman"/>
          <w:noProof/>
          <w:sz w:val="24"/>
          <w:szCs w:val="24"/>
        </w:rPr>
        <w:t>–</w:t>
      </w:r>
      <w:r>
        <w:rPr>
          <w:rFonts w:ascii="Times New Roman" w:hAnsi="Times New Roman" w:cs="Times New Roman"/>
          <w:noProof/>
          <w:sz w:val="24"/>
          <w:szCs w:val="24"/>
        </w:rPr>
        <w:tab/>
        <w:t>приемане на национално законодателство и определяне на компетентен(и) орган(и)</w:t>
      </w:r>
    </w:p>
    <w:p>
      <w:pPr>
        <w:spacing w:after="0" w:line="360" w:lineRule="auto"/>
        <w:ind w:left="567" w:hanging="567"/>
        <w:rPr>
          <w:rFonts w:ascii="Times New Roman" w:hAnsi="Times New Roman" w:cs="Times New Roman"/>
          <w:noProof/>
          <w:sz w:val="24"/>
          <w:szCs w:val="24"/>
        </w:rPr>
      </w:pPr>
    </w:p>
    <w:p>
      <w:pPr>
        <w:spacing w:after="0" w:line="360" w:lineRule="auto"/>
        <w:ind w:left="567" w:hanging="567"/>
        <w:rPr>
          <w:rFonts w:ascii="Times New Roman" w:hAnsi="Times New Roman" w:cs="Times New Roman"/>
          <w:noProof/>
          <w:sz w:val="24"/>
          <w:szCs w:val="24"/>
        </w:rPr>
      </w:pPr>
      <w:bookmarkStart w:id="10" w:name="bookmark37"/>
      <w:r>
        <w:rPr>
          <w:rFonts w:ascii="Times New Roman" w:hAnsi="Times New Roman" w:cs="Times New Roman"/>
          <w:noProof/>
          <w:sz w:val="24"/>
          <w:szCs w:val="24"/>
        </w:rPr>
        <w:t>–</w:t>
      </w:r>
      <w:r>
        <w:rPr>
          <w:rFonts w:ascii="Times New Roman" w:hAnsi="Times New Roman" w:cs="Times New Roman"/>
          <w:noProof/>
          <w:sz w:val="24"/>
          <w:szCs w:val="24"/>
        </w:rPr>
        <w:tab/>
        <w:t>установяване на практически договорености, съгласно които информацията за околната среда е обществено достъпна, и на приложимите изключения (членове 3 и 4)</w:t>
      </w:r>
      <w:bookmarkEnd w:id="10"/>
    </w:p>
    <w:p>
      <w:pPr>
        <w:spacing w:after="0" w:line="360" w:lineRule="auto"/>
        <w:ind w:left="567" w:hanging="567"/>
        <w:rPr>
          <w:rFonts w:ascii="Times New Roman" w:hAnsi="Times New Roman" w:cs="Times New Roman"/>
          <w:noProof/>
          <w:sz w:val="24"/>
          <w:szCs w:val="24"/>
        </w:rPr>
      </w:pPr>
    </w:p>
    <w:p>
      <w:pPr>
        <w:spacing w:after="0" w:line="360" w:lineRule="auto"/>
        <w:ind w:left="567" w:hanging="567"/>
        <w:rPr>
          <w:rFonts w:ascii="Times New Roman" w:hAnsi="Times New Roman" w:cs="Times New Roman"/>
          <w:noProof/>
          <w:sz w:val="24"/>
          <w:szCs w:val="24"/>
        </w:rPr>
      </w:pPr>
      <w:bookmarkStart w:id="11" w:name="bookmark38"/>
      <w:r>
        <w:rPr>
          <w:rFonts w:ascii="Times New Roman" w:hAnsi="Times New Roman" w:cs="Times New Roman"/>
          <w:noProof/>
          <w:sz w:val="24"/>
          <w:szCs w:val="24"/>
        </w:rPr>
        <w:t>–</w:t>
      </w:r>
      <w:r>
        <w:rPr>
          <w:rFonts w:ascii="Times New Roman" w:hAnsi="Times New Roman" w:cs="Times New Roman"/>
          <w:noProof/>
          <w:sz w:val="24"/>
          <w:szCs w:val="24"/>
        </w:rPr>
        <w:tab/>
        <w:t>гарантиране, че публичните власти предоставят на разположение информацията</w:t>
      </w:r>
      <w:bookmarkEnd w:id="11"/>
      <w:r>
        <w:rPr>
          <w:rFonts w:ascii="Times New Roman" w:hAnsi="Times New Roman" w:cs="Times New Roman"/>
          <w:noProof/>
          <w:sz w:val="24"/>
          <w:szCs w:val="24"/>
        </w:rPr>
        <w:t xml:space="preserve"> </w:t>
      </w:r>
      <w:bookmarkStart w:id="12" w:name="bookmark39"/>
      <w:r>
        <w:rPr>
          <w:rFonts w:ascii="Times New Roman" w:hAnsi="Times New Roman" w:cs="Times New Roman"/>
          <w:noProof/>
          <w:sz w:val="24"/>
          <w:szCs w:val="24"/>
        </w:rPr>
        <w:t>за околната среда (член 3, параграф 1)</w:t>
      </w:r>
      <w:bookmarkEnd w:id="12"/>
    </w:p>
    <w:p>
      <w:pPr>
        <w:spacing w:after="0" w:line="360" w:lineRule="auto"/>
        <w:ind w:left="567" w:hanging="567"/>
        <w:rPr>
          <w:rFonts w:ascii="Times New Roman" w:hAnsi="Times New Roman" w:cs="Times New Roman"/>
          <w:noProof/>
          <w:sz w:val="24"/>
          <w:szCs w:val="24"/>
        </w:rPr>
      </w:pPr>
    </w:p>
    <w:p>
      <w:pPr>
        <w:spacing w:after="0" w:line="360" w:lineRule="auto"/>
        <w:ind w:left="567" w:hanging="567"/>
        <w:rPr>
          <w:rFonts w:ascii="Times New Roman" w:hAnsi="Times New Roman" w:cs="Times New Roman"/>
          <w:noProof/>
          <w:spacing w:val="-4"/>
          <w:sz w:val="24"/>
          <w:szCs w:val="24"/>
        </w:rPr>
      </w:pPr>
      <w:bookmarkStart w:id="13" w:name="bookmark40"/>
      <w:r>
        <w:rPr>
          <w:rFonts w:ascii="Times New Roman" w:hAnsi="Times New Roman" w:cs="Times New Roman"/>
          <w:noProof/>
          <w:spacing w:val="-4"/>
          <w:sz w:val="24"/>
          <w:szCs w:val="24"/>
        </w:rPr>
        <w:t>–</w:t>
      </w:r>
      <w:r>
        <w:rPr>
          <w:rFonts w:ascii="Times New Roman" w:hAnsi="Times New Roman" w:cs="Times New Roman"/>
          <w:noProof/>
          <w:spacing w:val="-4"/>
          <w:sz w:val="24"/>
          <w:szCs w:val="24"/>
        </w:rPr>
        <w:tab/>
        <w:t>установяване на процедури за преразглеждане на решения за непредоставяне на информация за околната среда или за предоставяне само на частична информация (член 6)</w:t>
      </w:r>
      <w:bookmarkEnd w:id="13"/>
    </w:p>
    <w:p>
      <w:pPr>
        <w:spacing w:after="0" w:line="360" w:lineRule="auto"/>
        <w:ind w:left="567" w:hanging="567"/>
        <w:rPr>
          <w:rFonts w:ascii="Times New Roman" w:hAnsi="Times New Roman" w:cs="Times New Roman"/>
          <w:noProof/>
          <w:sz w:val="24"/>
          <w:szCs w:val="24"/>
        </w:rPr>
      </w:pPr>
    </w:p>
    <w:p>
      <w:pPr>
        <w:spacing w:after="0" w:line="360" w:lineRule="auto"/>
        <w:ind w:left="567" w:hanging="567"/>
        <w:rPr>
          <w:rFonts w:ascii="Times New Roman" w:hAnsi="Times New Roman" w:cs="Times New Roman"/>
          <w:noProof/>
          <w:sz w:val="24"/>
          <w:szCs w:val="24"/>
        </w:rPr>
      </w:pPr>
      <w:r>
        <w:rPr>
          <w:rFonts w:ascii="Times New Roman" w:hAnsi="Times New Roman" w:cs="Times New Roman"/>
          <w:noProof/>
          <w:sz w:val="24"/>
          <w:szCs w:val="24"/>
        </w:rPr>
        <w:t>–</w:t>
      </w:r>
      <w:r>
        <w:rPr>
          <w:rFonts w:ascii="Times New Roman" w:hAnsi="Times New Roman" w:cs="Times New Roman"/>
          <w:noProof/>
          <w:sz w:val="24"/>
          <w:szCs w:val="24"/>
        </w:rPr>
        <w:tab/>
        <w:t>установяване на система за разпространяване на информацията за околната среда до обществеността (член 7)</w:t>
      </w:r>
    </w:p>
    <w:p>
      <w:pPr>
        <w:spacing w:after="0" w:line="360" w:lineRule="auto"/>
        <w:rPr>
          <w:rFonts w:ascii="Times New Roman" w:hAnsi="Times New Roman" w:cs="Times New Roman"/>
          <w:noProof/>
          <w:sz w:val="24"/>
          <w:szCs w:val="24"/>
        </w:rPr>
      </w:pPr>
    </w:p>
    <w:p>
      <w:pPr>
        <w:rPr>
          <w:rFonts w:ascii="Times New Roman" w:hAnsi="Times New Roman" w:cs="Times New Roman"/>
          <w:noProof/>
          <w:sz w:val="24"/>
          <w:szCs w:val="24"/>
          <w:highlight w:val="yellow"/>
        </w:rPr>
      </w:pPr>
      <w:bookmarkStart w:id="14" w:name="bookmark41"/>
      <w:r>
        <w:rPr>
          <w:rFonts w:ascii="Times New Roman" w:hAnsi="Times New Roman" w:cs="Times New Roman"/>
          <w:noProof/>
          <w:sz w:val="24"/>
          <w:szCs w:val="24"/>
        </w:rPr>
        <w:br w:type="page"/>
      </w: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Срокове: тези разпоредби на Директива 2003/4/ЕО започват да се прилагат в срок от 2 години след влизане в сила на настоящото споразумение</w:t>
      </w:r>
      <w:bookmarkEnd w:id="14"/>
      <w:r>
        <w:rPr>
          <w:rFonts w:ascii="Times New Roman" w:hAnsi="Times New Roman" w:cs="Times New Roman"/>
          <w:noProof/>
          <w:sz w:val="24"/>
          <w:szCs w:val="24"/>
        </w:rPr>
        <w:t>.</w:t>
      </w:r>
    </w:p>
    <w:p>
      <w:pPr>
        <w:spacing w:after="0" w:line="360" w:lineRule="auto"/>
        <w:rPr>
          <w:rFonts w:ascii="Times New Roman" w:hAnsi="Times New Roman" w:cs="Times New Roman"/>
          <w:noProof/>
          <w:sz w:val="24"/>
          <w:szCs w:val="24"/>
        </w:rPr>
      </w:pPr>
    </w:p>
    <w:p>
      <w:pPr>
        <w:spacing w:after="0" w:line="360" w:lineRule="auto"/>
        <w:rPr>
          <w:rFonts w:ascii="Times New Roman" w:hAnsi="Times New Roman" w:cs="Times New Roman"/>
          <w:noProof/>
          <w:sz w:val="24"/>
          <w:szCs w:val="24"/>
        </w:rPr>
      </w:pPr>
      <w:bookmarkStart w:id="15" w:name="bookmark42"/>
      <w:r>
        <w:rPr>
          <w:rFonts w:ascii="Times New Roman" w:hAnsi="Times New Roman" w:cs="Times New Roman"/>
          <w:noProof/>
          <w:sz w:val="24"/>
          <w:szCs w:val="24"/>
        </w:rPr>
        <w:t xml:space="preserve">Директива 2003/35/ЕО на Европейския парламент и на Съвета от 26 май 2003 г. осигуряване участието на обществеността при изготвянето на определени планове и програми, отнасящи се до околната среда и за изменение по отношение на участието на обществеността и достъпа до правосъдие на Директиви 85/337/ЕИО и </w:t>
      </w:r>
      <w:bookmarkEnd w:id="15"/>
      <w:r>
        <w:rPr>
          <w:rFonts w:ascii="Times New Roman" w:hAnsi="Times New Roman" w:cs="Times New Roman"/>
          <w:noProof/>
          <w:sz w:val="24"/>
          <w:szCs w:val="24"/>
        </w:rPr>
        <w:t xml:space="preserve">96/61/ЕО на Съвета </w:t>
      </w:r>
    </w:p>
    <w:p>
      <w:pPr>
        <w:spacing w:after="0" w:line="360" w:lineRule="auto"/>
        <w:rPr>
          <w:rFonts w:ascii="Times New Roman" w:hAnsi="Times New Roman" w:cs="Times New Roman"/>
          <w:noProof/>
          <w:sz w:val="24"/>
          <w:szCs w:val="24"/>
        </w:rPr>
      </w:pPr>
    </w:p>
    <w:p>
      <w:pPr>
        <w:spacing w:after="0" w:line="360" w:lineRule="auto"/>
        <w:rPr>
          <w:rFonts w:ascii="Times New Roman" w:hAnsi="Times New Roman" w:cs="Times New Roman"/>
          <w:noProof/>
          <w:sz w:val="24"/>
          <w:szCs w:val="24"/>
        </w:rPr>
      </w:pPr>
      <w:bookmarkStart w:id="16" w:name="bookmark43"/>
      <w:r>
        <w:rPr>
          <w:rFonts w:ascii="Times New Roman" w:hAnsi="Times New Roman" w:cs="Times New Roman"/>
          <w:noProof/>
          <w:sz w:val="24"/>
          <w:szCs w:val="24"/>
        </w:rPr>
        <w:t>От тази директива се прилагат посочените по-долу разпоредби:</w:t>
      </w:r>
      <w:bookmarkEnd w:id="16"/>
    </w:p>
    <w:p>
      <w:pPr>
        <w:spacing w:after="0" w:line="360" w:lineRule="auto"/>
        <w:rPr>
          <w:rFonts w:ascii="Times New Roman" w:hAnsi="Times New Roman" w:cs="Times New Roman"/>
          <w:noProof/>
          <w:sz w:val="24"/>
          <w:szCs w:val="24"/>
        </w:rPr>
      </w:pPr>
    </w:p>
    <w:p>
      <w:pPr>
        <w:spacing w:after="0" w:line="360" w:lineRule="auto"/>
        <w:ind w:left="567" w:hanging="567"/>
        <w:rPr>
          <w:rFonts w:ascii="Times New Roman" w:hAnsi="Times New Roman" w:cs="Times New Roman"/>
          <w:noProof/>
          <w:sz w:val="24"/>
          <w:szCs w:val="24"/>
        </w:rPr>
      </w:pPr>
      <w:r>
        <w:rPr>
          <w:rFonts w:ascii="Times New Roman" w:hAnsi="Times New Roman" w:cs="Times New Roman"/>
          <w:noProof/>
          <w:sz w:val="24"/>
          <w:szCs w:val="24"/>
        </w:rPr>
        <w:t>–</w:t>
      </w:r>
      <w:r>
        <w:rPr>
          <w:rFonts w:ascii="Times New Roman" w:hAnsi="Times New Roman" w:cs="Times New Roman"/>
          <w:noProof/>
          <w:sz w:val="24"/>
          <w:szCs w:val="24"/>
        </w:rPr>
        <w:tab/>
        <w:t>приемане на национално законодателство и определяне на компетентен(и) орган(и)</w:t>
      </w:r>
    </w:p>
    <w:p>
      <w:pPr>
        <w:spacing w:after="0" w:line="360" w:lineRule="auto"/>
        <w:ind w:left="567" w:hanging="567"/>
        <w:rPr>
          <w:rFonts w:ascii="Times New Roman" w:hAnsi="Times New Roman" w:cs="Times New Roman"/>
          <w:noProof/>
          <w:sz w:val="24"/>
          <w:szCs w:val="24"/>
        </w:rPr>
      </w:pPr>
    </w:p>
    <w:p>
      <w:pPr>
        <w:spacing w:after="0" w:line="360" w:lineRule="auto"/>
        <w:ind w:left="567" w:hanging="567"/>
        <w:rPr>
          <w:rFonts w:ascii="Times New Roman" w:hAnsi="Times New Roman" w:cs="Times New Roman"/>
          <w:noProof/>
          <w:spacing w:val="-6"/>
          <w:sz w:val="24"/>
          <w:szCs w:val="24"/>
        </w:rPr>
      </w:pPr>
      <w:bookmarkStart w:id="17" w:name="bookmark44"/>
      <w:r>
        <w:rPr>
          <w:rFonts w:ascii="Times New Roman" w:hAnsi="Times New Roman" w:cs="Times New Roman"/>
          <w:noProof/>
          <w:spacing w:val="-6"/>
          <w:sz w:val="24"/>
          <w:szCs w:val="24"/>
        </w:rPr>
        <w:t>–</w:t>
      </w:r>
      <w:r>
        <w:rPr>
          <w:rFonts w:ascii="Times New Roman" w:hAnsi="Times New Roman" w:cs="Times New Roman"/>
          <w:noProof/>
          <w:spacing w:val="-6"/>
          <w:sz w:val="24"/>
          <w:szCs w:val="24"/>
        </w:rPr>
        <w:tab/>
        <w:t>създаване на механизъм за информиране на обществеността (член 2, параграф 2, букви а) и г)</w:t>
      </w:r>
      <w:bookmarkEnd w:id="17"/>
    </w:p>
    <w:p>
      <w:pPr>
        <w:spacing w:after="0" w:line="360" w:lineRule="auto"/>
        <w:ind w:left="567" w:hanging="567"/>
        <w:rPr>
          <w:rFonts w:ascii="Times New Roman" w:hAnsi="Times New Roman" w:cs="Times New Roman"/>
          <w:noProof/>
          <w:sz w:val="24"/>
          <w:szCs w:val="24"/>
        </w:rPr>
      </w:pPr>
    </w:p>
    <w:p>
      <w:pPr>
        <w:spacing w:after="0" w:line="360" w:lineRule="auto"/>
        <w:ind w:left="567" w:hanging="567"/>
        <w:rPr>
          <w:rFonts w:ascii="Times New Roman" w:hAnsi="Times New Roman" w:cs="Times New Roman"/>
          <w:noProof/>
          <w:sz w:val="24"/>
          <w:szCs w:val="24"/>
        </w:rPr>
      </w:pPr>
      <w:bookmarkStart w:id="18" w:name="bookmark45"/>
      <w:r>
        <w:rPr>
          <w:rFonts w:ascii="Times New Roman" w:hAnsi="Times New Roman" w:cs="Times New Roman"/>
          <w:noProof/>
          <w:sz w:val="24"/>
          <w:szCs w:val="24"/>
        </w:rPr>
        <w:t>–</w:t>
      </w:r>
      <w:r>
        <w:rPr>
          <w:rFonts w:ascii="Times New Roman" w:hAnsi="Times New Roman" w:cs="Times New Roman"/>
          <w:noProof/>
          <w:sz w:val="24"/>
          <w:szCs w:val="24"/>
        </w:rPr>
        <w:tab/>
        <w:t>установяване на механизъм за обществена консултация (член 2, параграф 2, буква б) и член 2, параграф 3)</w:t>
      </w:r>
      <w:bookmarkEnd w:id="18"/>
    </w:p>
    <w:p>
      <w:pPr>
        <w:spacing w:after="0" w:line="360" w:lineRule="auto"/>
        <w:ind w:left="567" w:hanging="567"/>
        <w:rPr>
          <w:rFonts w:ascii="Times New Roman" w:hAnsi="Times New Roman" w:cs="Times New Roman"/>
          <w:noProof/>
          <w:sz w:val="24"/>
          <w:szCs w:val="24"/>
        </w:rPr>
      </w:pPr>
    </w:p>
    <w:p>
      <w:pPr>
        <w:spacing w:after="0" w:line="360" w:lineRule="auto"/>
        <w:ind w:left="567" w:hanging="567"/>
        <w:rPr>
          <w:rFonts w:ascii="Times New Roman" w:hAnsi="Times New Roman" w:cs="Times New Roman"/>
          <w:noProof/>
          <w:sz w:val="24"/>
          <w:szCs w:val="24"/>
        </w:rPr>
      </w:pPr>
      <w:bookmarkStart w:id="19" w:name="bookmark46"/>
      <w:r>
        <w:rPr>
          <w:rFonts w:ascii="Times New Roman" w:hAnsi="Times New Roman" w:cs="Times New Roman"/>
          <w:noProof/>
          <w:sz w:val="24"/>
          <w:szCs w:val="24"/>
        </w:rPr>
        <w:t>–</w:t>
      </w:r>
      <w:r>
        <w:rPr>
          <w:rFonts w:ascii="Times New Roman" w:hAnsi="Times New Roman" w:cs="Times New Roman"/>
          <w:noProof/>
          <w:sz w:val="24"/>
          <w:szCs w:val="24"/>
        </w:rPr>
        <w:tab/>
        <w:t>установяване на механизъм за вземане предвид на коментарите и мненията, изразени от обществеността, в процеса на вземане на решения (член 2, параграф 2, буква в</w:t>
      </w:r>
      <w:bookmarkEnd w:id="19"/>
      <w:r>
        <w:rPr>
          <w:rFonts w:ascii="Times New Roman" w:hAnsi="Times New Roman" w:cs="Times New Roman"/>
          <w:noProof/>
          <w:sz w:val="24"/>
          <w:szCs w:val="24"/>
        </w:rPr>
        <w:t>)</w:t>
      </w:r>
    </w:p>
    <w:p>
      <w:pPr>
        <w:spacing w:after="0" w:line="360" w:lineRule="auto"/>
        <w:ind w:left="567" w:hanging="567"/>
        <w:rPr>
          <w:rFonts w:ascii="Times New Roman" w:hAnsi="Times New Roman" w:cs="Times New Roman"/>
          <w:noProof/>
          <w:sz w:val="24"/>
          <w:szCs w:val="24"/>
        </w:rPr>
      </w:pPr>
    </w:p>
    <w:p>
      <w:pPr>
        <w:spacing w:after="0" w:line="360" w:lineRule="auto"/>
        <w:ind w:left="567" w:hanging="567"/>
        <w:rPr>
          <w:rFonts w:ascii="Times New Roman" w:hAnsi="Times New Roman" w:cs="Times New Roman"/>
          <w:noProof/>
          <w:sz w:val="24"/>
          <w:szCs w:val="24"/>
        </w:rPr>
      </w:pPr>
      <w:bookmarkStart w:id="20" w:name="bookmark47"/>
      <w:r>
        <w:rPr>
          <w:rFonts w:ascii="Times New Roman" w:hAnsi="Times New Roman" w:cs="Times New Roman"/>
          <w:noProof/>
          <w:sz w:val="24"/>
          <w:szCs w:val="24"/>
        </w:rPr>
        <w:t>–</w:t>
      </w:r>
      <w:r>
        <w:rPr>
          <w:rFonts w:ascii="Times New Roman" w:hAnsi="Times New Roman" w:cs="Times New Roman"/>
          <w:noProof/>
          <w:sz w:val="24"/>
          <w:szCs w:val="24"/>
        </w:rPr>
        <w:tab/>
        <w:t>установяване на ефективен, своевременен и невъзпрепятстващо скъп достъп до правосъдие на административно и съдебно равнище за обществеността (включително за НПО) (член 3, параграф 7 и член 4, параграф 4, оценка на въздействието върху околната среда и интегрирано предотвратяване и контрол на замърсяването)</w:t>
      </w:r>
      <w:bookmarkEnd w:id="20"/>
    </w:p>
    <w:p>
      <w:pPr>
        <w:spacing w:after="0" w:line="360" w:lineRule="auto"/>
        <w:rPr>
          <w:rFonts w:ascii="Times New Roman" w:hAnsi="Times New Roman" w:cs="Times New Roman"/>
          <w:noProof/>
          <w:sz w:val="24"/>
          <w:szCs w:val="24"/>
        </w:rPr>
      </w:pPr>
    </w:p>
    <w:p>
      <w:pPr>
        <w:rPr>
          <w:rFonts w:ascii="Times New Roman" w:hAnsi="Times New Roman" w:cs="Times New Roman"/>
          <w:noProof/>
          <w:sz w:val="24"/>
          <w:szCs w:val="24"/>
          <w:highlight w:val="yellow"/>
        </w:rPr>
      </w:pPr>
      <w:r>
        <w:rPr>
          <w:rFonts w:ascii="Times New Roman" w:hAnsi="Times New Roman" w:cs="Times New Roman"/>
          <w:noProof/>
          <w:sz w:val="24"/>
          <w:szCs w:val="24"/>
        </w:rPr>
        <w:br w:type="page"/>
      </w: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Срокове: тези разпоредби от Директива 2003/35/ЕО започват да се прилагат в срок от 2 години след влизане в сила на настоящото споразумение.</w:t>
      </w:r>
    </w:p>
    <w:p>
      <w:pPr>
        <w:spacing w:after="0" w:line="360" w:lineRule="auto"/>
        <w:rPr>
          <w:rFonts w:ascii="Times New Roman" w:hAnsi="Times New Roman" w:cs="Times New Roman"/>
          <w:noProof/>
          <w:sz w:val="24"/>
          <w:szCs w:val="24"/>
        </w:rPr>
      </w:pPr>
    </w:p>
    <w:p>
      <w:pP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Директива 2004/35/ЕО на Европейския парламент и на Съвета от 21 април 2004 г. относно екологичната отговорност по отношение на предотвратяването и отстраняването на екологичните щети, изменена</w:t>
      </w:r>
    </w:p>
    <w:p>
      <w:pPr>
        <w:spacing w:after="0" w:line="360" w:lineRule="auto"/>
        <w:rPr>
          <w:rFonts w:ascii="Times New Roman" w:hAnsi="Times New Roman" w:cs="Times New Roman"/>
          <w:noProof/>
          <w:sz w:val="24"/>
          <w:szCs w:val="24"/>
        </w:rPr>
      </w:pPr>
    </w:p>
    <w:p>
      <w:pP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От Директива 2004/35/ЕО се прилагат посочените по-долу разпоредби:</w:t>
      </w:r>
    </w:p>
    <w:p>
      <w:pPr>
        <w:spacing w:after="0" w:line="360" w:lineRule="auto"/>
        <w:rPr>
          <w:rFonts w:ascii="Times New Roman" w:hAnsi="Times New Roman" w:cs="Times New Roman"/>
          <w:noProof/>
          <w:sz w:val="24"/>
          <w:szCs w:val="24"/>
        </w:rPr>
      </w:pPr>
    </w:p>
    <w:p>
      <w:pPr>
        <w:spacing w:after="0" w:line="360" w:lineRule="auto"/>
        <w:ind w:left="567" w:hanging="567"/>
        <w:rPr>
          <w:rFonts w:ascii="Times New Roman" w:hAnsi="Times New Roman" w:cs="Times New Roman"/>
          <w:noProof/>
          <w:sz w:val="24"/>
          <w:szCs w:val="24"/>
        </w:rPr>
      </w:pPr>
      <w:r>
        <w:rPr>
          <w:rFonts w:ascii="Times New Roman" w:hAnsi="Times New Roman" w:cs="Times New Roman"/>
          <w:noProof/>
          <w:sz w:val="24"/>
          <w:szCs w:val="24"/>
        </w:rPr>
        <w:t>–</w:t>
      </w:r>
      <w:r>
        <w:rPr>
          <w:rFonts w:ascii="Times New Roman" w:hAnsi="Times New Roman" w:cs="Times New Roman"/>
          <w:noProof/>
          <w:sz w:val="24"/>
          <w:szCs w:val="24"/>
        </w:rPr>
        <w:tab/>
        <w:t>приемане на национално законодателство и определяне на компетентни органи</w:t>
      </w:r>
    </w:p>
    <w:p>
      <w:pPr>
        <w:spacing w:after="0" w:line="360" w:lineRule="auto"/>
        <w:rPr>
          <w:rFonts w:ascii="Times New Roman" w:hAnsi="Times New Roman" w:cs="Times New Roman"/>
          <w:noProof/>
          <w:sz w:val="24"/>
          <w:szCs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Срокове: тези разпоредби от Директива 2004/35/ЕО започват да се прилагат в срок от 5 години след влизане в сила на настоящото споразумение.</w:t>
      </w:r>
    </w:p>
    <w:p>
      <w:pPr>
        <w:spacing w:after="0" w:line="360" w:lineRule="auto"/>
        <w:rPr>
          <w:rFonts w:ascii="Times New Roman" w:hAnsi="Times New Roman" w:cs="Times New Roman"/>
          <w:noProof/>
          <w:sz w:val="24"/>
          <w:szCs w:val="24"/>
        </w:rPr>
      </w:pPr>
    </w:p>
    <w:p>
      <w:pPr>
        <w:spacing w:after="0" w:line="360" w:lineRule="auto"/>
        <w:ind w:left="567" w:hanging="567"/>
        <w:rPr>
          <w:rFonts w:ascii="Times New Roman" w:hAnsi="Times New Roman" w:cs="Times New Roman"/>
          <w:noProof/>
          <w:sz w:val="24"/>
          <w:szCs w:val="24"/>
        </w:rPr>
      </w:pPr>
      <w:r>
        <w:rPr>
          <w:rFonts w:ascii="Times New Roman" w:hAnsi="Times New Roman" w:cs="Times New Roman"/>
          <w:noProof/>
          <w:sz w:val="24"/>
          <w:szCs w:val="24"/>
        </w:rPr>
        <w:t>–</w:t>
      </w:r>
      <w:r>
        <w:rPr>
          <w:rFonts w:ascii="Times New Roman" w:hAnsi="Times New Roman" w:cs="Times New Roman"/>
          <w:noProof/>
          <w:sz w:val="24"/>
          <w:szCs w:val="24"/>
        </w:rPr>
        <w:tab/>
        <w:t xml:space="preserve">установяване на правила и процедури за предотвратяването и отстраняването на екологични щети (вода, почва, защитени видове и естествени местообитания) въз основа на принципа „замърсителят плаща“ (членове 5, 6, 7, приложение II) </w:t>
      </w:r>
    </w:p>
    <w:p>
      <w:pPr>
        <w:spacing w:after="0" w:line="360" w:lineRule="auto"/>
        <w:ind w:left="567" w:hanging="567"/>
        <w:rPr>
          <w:rFonts w:ascii="Times New Roman" w:hAnsi="Times New Roman" w:cs="Times New Roman"/>
          <w:noProof/>
          <w:sz w:val="24"/>
          <w:szCs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Срокове: тези разпоредби от Директива 2004/35/ЕО започват да се прилагат в срок от 8 години след влизане в сила на настоящото споразумение.</w:t>
      </w:r>
    </w:p>
    <w:p>
      <w:pPr>
        <w:spacing w:after="0" w:line="360" w:lineRule="auto"/>
        <w:rPr>
          <w:rFonts w:ascii="Times New Roman" w:hAnsi="Times New Roman" w:cs="Times New Roman"/>
          <w:noProof/>
          <w:sz w:val="24"/>
          <w:szCs w:val="24"/>
        </w:rPr>
      </w:pPr>
    </w:p>
    <w:p>
      <w:pPr>
        <w:spacing w:after="0" w:line="360" w:lineRule="auto"/>
        <w:ind w:left="567" w:hanging="567"/>
        <w:rPr>
          <w:rFonts w:ascii="Times New Roman" w:hAnsi="Times New Roman" w:cs="Times New Roman"/>
          <w:noProof/>
          <w:sz w:val="24"/>
          <w:szCs w:val="24"/>
        </w:rPr>
      </w:pPr>
      <w:r>
        <w:rPr>
          <w:rFonts w:ascii="Times New Roman" w:hAnsi="Times New Roman" w:cs="Times New Roman"/>
          <w:noProof/>
          <w:sz w:val="24"/>
          <w:szCs w:val="24"/>
        </w:rPr>
        <w:t>–</w:t>
      </w:r>
      <w:r>
        <w:rPr>
          <w:rFonts w:ascii="Times New Roman" w:hAnsi="Times New Roman" w:cs="Times New Roman"/>
          <w:noProof/>
          <w:sz w:val="24"/>
          <w:szCs w:val="24"/>
        </w:rPr>
        <w:tab/>
        <w:t>установяване на обективна отговорност за опасни трудови дейности (член 3, параграф 1 и приложение III)</w:t>
      </w:r>
    </w:p>
    <w:p>
      <w:pPr>
        <w:spacing w:after="0" w:line="360" w:lineRule="auto"/>
        <w:rPr>
          <w:rFonts w:ascii="Times New Roman" w:hAnsi="Times New Roman" w:cs="Times New Roman"/>
          <w:noProof/>
          <w:sz w:val="24"/>
          <w:szCs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Срокове: тези разпоредби от Директива 2004/35/ЕО започват да се прилагат в срок от 7 години след влизане в сила на настоящото споразумение.</w:t>
      </w:r>
    </w:p>
    <w:p>
      <w:pPr>
        <w:spacing w:after="0" w:line="360" w:lineRule="auto"/>
        <w:ind w:left="567" w:hanging="567"/>
        <w:rPr>
          <w:rFonts w:ascii="Times New Roman" w:hAnsi="Times New Roman" w:cs="Times New Roman"/>
          <w:noProof/>
          <w:sz w:val="24"/>
          <w:szCs w:val="24"/>
        </w:rPr>
      </w:pPr>
    </w:p>
    <w:p>
      <w:pPr>
        <w:rPr>
          <w:rFonts w:ascii="Times New Roman" w:hAnsi="Times New Roman" w:cs="Times New Roman"/>
          <w:noProof/>
          <w:sz w:val="24"/>
          <w:szCs w:val="24"/>
          <w:highlight w:val="green"/>
        </w:rPr>
      </w:pPr>
      <w:r>
        <w:rPr>
          <w:rFonts w:ascii="Times New Roman" w:hAnsi="Times New Roman" w:cs="Times New Roman"/>
          <w:noProof/>
          <w:sz w:val="24"/>
          <w:szCs w:val="24"/>
        </w:rPr>
        <w:br w:type="page"/>
      </w:r>
    </w:p>
    <w:p>
      <w:pPr>
        <w:spacing w:after="0" w:line="360" w:lineRule="auto"/>
        <w:ind w:left="567" w:hanging="567"/>
        <w:rPr>
          <w:rFonts w:ascii="Times New Roman" w:hAnsi="Times New Roman" w:cs="Times New Roman"/>
          <w:noProof/>
          <w:sz w:val="24"/>
          <w:szCs w:val="24"/>
        </w:rPr>
      </w:pPr>
      <w:r>
        <w:rPr>
          <w:rFonts w:ascii="Times New Roman" w:hAnsi="Times New Roman" w:cs="Times New Roman"/>
          <w:noProof/>
          <w:sz w:val="24"/>
          <w:szCs w:val="24"/>
        </w:rPr>
        <w:t>–</w:t>
      </w:r>
      <w:r>
        <w:rPr>
          <w:rFonts w:ascii="Times New Roman" w:hAnsi="Times New Roman" w:cs="Times New Roman"/>
          <w:noProof/>
          <w:sz w:val="24"/>
          <w:szCs w:val="24"/>
        </w:rPr>
        <w:tab/>
        <w:t>установяване на задължения за операторите да предприемат необходимите мерки по предотвратяване и отстраняване, включително отговорност за разходите (членове 5, 6, 7, 8, 9 и 10)</w:t>
      </w:r>
    </w:p>
    <w:p>
      <w:pPr>
        <w:spacing w:after="0" w:line="360" w:lineRule="auto"/>
        <w:ind w:left="567" w:hanging="567"/>
        <w:rPr>
          <w:rFonts w:ascii="Times New Roman" w:hAnsi="Times New Roman" w:cs="Times New Roman"/>
          <w:noProof/>
          <w:sz w:val="24"/>
          <w:szCs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Срокове: тези разпоредби от Директива 2004/35/ЕО започват да се прилагат в срок от 7 години след влизане в сила на настоящото споразумение.</w:t>
      </w:r>
    </w:p>
    <w:p>
      <w:pPr>
        <w:spacing w:after="0" w:line="360" w:lineRule="auto"/>
        <w:rPr>
          <w:rFonts w:ascii="Times New Roman" w:hAnsi="Times New Roman" w:cs="Times New Roman"/>
          <w:noProof/>
          <w:sz w:val="24"/>
          <w:szCs w:val="24"/>
        </w:rPr>
      </w:pPr>
    </w:p>
    <w:p>
      <w:pPr>
        <w:spacing w:after="0" w:line="360" w:lineRule="auto"/>
        <w:ind w:left="567" w:hanging="567"/>
        <w:rPr>
          <w:rFonts w:ascii="Times New Roman" w:hAnsi="Times New Roman" w:cs="Times New Roman"/>
          <w:noProof/>
          <w:sz w:val="24"/>
          <w:szCs w:val="24"/>
        </w:rPr>
      </w:pPr>
      <w:r>
        <w:rPr>
          <w:rFonts w:ascii="Times New Roman" w:hAnsi="Times New Roman" w:cs="Times New Roman"/>
          <w:noProof/>
          <w:sz w:val="24"/>
          <w:szCs w:val="24"/>
        </w:rPr>
        <w:t>–</w:t>
      </w:r>
      <w:r>
        <w:rPr>
          <w:rFonts w:ascii="Times New Roman" w:hAnsi="Times New Roman" w:cs="Times New Roman"/>
          <w:noProof/>
          <w:sz w:val="24"/>
          <w:szCs w:val="24"/>
        </w:rPr>
        <w:tab/>
        <w:t>установяване на механизми за засегнатите лица, включително екологичните НПО, чрез които да могат да поискат от компетентните органи да предприемат действия в случай на екологични вреди, в това число независима проверка (членове 12 и 13)</w:t>
      </w:r>
    </w:p>
    <w:p>
      <w:pPr>
        <w:spacing w:after="0" w:line="360" w:lineRule="auto"/>
        <w:ind w:left="567" w:hanging="567"/>
        <w:rPr>
          <w:rFonts w:ascii="Times New Roman" w:hAnsi="Times New Roman" w:cs="Times New Roman"/>
          <w:noProof/>
          <w:sz w:val="24"/>
          <w:szCs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Срокове: тези разпоредби от Директива 2004/35/ЕО започват да се прилагат в срок от 5 години след влизане в сила на настоящото споразумение.</w:t>
      </w:r>
    </w:p>
    <w:p>
      <w:pPr>
        <w:spacing w:after="0" w:line="360" w:lineRule="auto"/>
        <w:rPr>
          <w:rFonts w:ascii="Times New Roman" w:hAnsi="Times New Roman" w:cs="Times New Roman"/>
          <w:noProof/>
          <w:sz w:val="24"/>
          <w:szCs w:val="24"/>
        </w:rPr>
      </w:pPr>
    </w:p>
    <w:p>
      <w:pPr>
        <w:spacing w:after="0" w:line="360" w:lineRule="auto"/>
        <w:rPr>
          <w:rFonts w:ascii="Times New Roman" w:hAnsi="Times New Roman" w:cs="Times New Roman"/>
          <w:noProof/>
          <w:sz w:val="24"/>
          <w:szCs w:val="24"/>
        </w:rPr>
      </w:pPr>
      <w:bookmarkStart w:id="21" w:name="bookmark48"/>
      <w:r>
        <w:rPr>
          <w:rFonts w:ascii="Times New Roman" w:hAnsi="Times New Roman" w:cs="Times New Roman"/>
          <w:noProof/>
          <w:sz w:val="24"/>
          <w:szCs w:val="24"/>
        </w:rPr>
        <w:t>Качество на въздуха</w:t>
      </w:r>
      <w:bookmarkEnd w:id="21"/>
    </w:p>
    <w:p>
      <w:pPr>
        <w:spacing w:after="0" w:line="360" w:lineRule="auto"/>
        <w:rPr>
          <w:rFonts w:ascii="Times New Roman" w:hAnsi="Times New Roman" w:cs="Times New Roman"/>
          <w:noProof/>
          <w:sz w:val="24"/>
          <w:szCs w:val="24"/>
        </w:rPr>
      </w:pPr>
    </w:p>
    <w:p>
      <w:pPr>
        <w:spacing w:after="0" w:line="360" w:lineRule="auto"/>
        <w:rPr>
          <w:rFonts w:ascii="Times New Roman" w:hAnsi="Times New Roman" w:cs="Times New Roman"/>
          <w:noProof/>
          <w:sz w:val="24"/>
          <w:szCs w:val="24"/>
        </w:rPr>
      </w:pPr>
      <w:bookmarkStart w:id="22" w:name="bookmark49"/>
      <w:r>
        <w:rPr>
          <w:rFonts w:ascii="Times New Roman" w:hAnsi="Times New Roman" w:cs="Times New Roman"/>
          <w:noProof/>
          <w:sz w:val="24"/>
          <w:szCs w:val="24"/>
        </w:rPr>
        <w:t>Директива 2008/50/ЕО на Европейския парламент и на Съвета от 21 май 2008 г. относно качеството на атмосферния въздух и за по-чист въздух за Европа</w:t>
      </w:r>
    </w:p>
    <w:p>
      <w:pPr>
        <w:spacing w:after="0" w:line="360" w:lineRule="auto"/>
        <w:rPr>
          <w:rFonts w:ascii="Times New Roman" w:hAnsi="Times New Roman" w:cs="Times New Roman"/>
          <w:noProof/>
          <w:sz w:val="24"/>
          <w:szCs w:val="24"/>
        </w:rPr>
      </w:pPr>
    </w:p>
    <w:p>
      <w:pP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От тази директива се прилагат посочените по-долу разпоредби:</w:t>
      </w:r>
      <w:bookmarkEnd w:id="22"/>
    </w:p>
    <w:p>
      <w:pPr>
        <w:spacing w:after="0" w:line="360" w:lineRule="auto"/>
        <w:rPr>
          <w:rFonts w:ascii="Times New Roman" w:hAnsi="Times New Roman" w:cs="Times New Roman"/>
          <w:noProof/>
          <w:sz w:val="24"/>
          <w:szCs w:val="24"/>
        </w:rPr>
      </w:pPr>
    </w:p>
    <w:p>
      <w:pPr>
        <w:spacing w:after="0" w:line="360" w:lineRule="auto"/>
        <w:ind w:left="567" w:hanging="567"/>
        <w:rPr>
          <w:rFonts w:ascii="Times New Roman" w:hAnsi="Times New Roman" w:cs="Times New Roman"/>
          <w:noProof/>
          <w:sz w:val="24"/>
          <w:szCs w:val="24"/>
        </w:rPr>
      </w:pPr>
      <w:bookmarkStart w:id="23" w:name="bookmark50"/>
      <w:r>
        <w:rPr>
          <w:rFonts w:ascii="Times New Roman" w:hAnsi="Times New Roman" w:cs="Times New Roman"/>
          <w:noProof/>
          <w:sz w:val="24"/>
          <w:szCs w:val="24"/>
        </w:rPr>
        <w:t>–</w:t>
      </w:r>
      <w:r>
        <w:rPr>
          <w:rFonts w:ascii="Times New Roman" w:hAnsi="Times New Roman" w:cs="Times New Roman"/>
          <w:noProof/>
          <w:sz w:val="24"/>
          <w:szCs w:val="24"/>
        </w:rPr>
        <w:tab/>
        <w:t>приемане на национално законодателство и определяне на компетентен(и) орган(и)</w:t>
      </w:r>
      <w:bookmarkEnd w:id="23"/>
    </w:p>
    <w:p>
      <w:pPr>
        <w:spacing w:after="0" w:line="360" w:lineRule="auto"/>
        <w:rPr>
          <w:rFonts w:ascii="Times New Roman" w:hAnsi="Times New Roman" w:cs="Times New Roman"/>
          <w:noProof/>
          <w:sz w:val="24"/>
          <w:szCs w:val="24"/>
          <w:highlight w:val="green"/>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noProof/>
          <w:sz w:val="24"/>
          <w:szCs w:val="24"/>
        </w:rPr>
      </w:pPr>
      <w:bookmarkStart w:id="24" w:name="bookmark51"/>
      <w:r>
        <w:rPr>
          <w:rFonts w:ascii="Times New Roman" w:hAnsi="Times New Roman" w:cs="Times New Roman"/>
          <w:noProof/>
          <w:sz w:val="24"/>
          <w:szCs w:val="24"/>
        </w:rPr>
        <w:t>Срокове: тези разпоредби от Директива 2008/50/ЕО започват да се прилагат в срок от 4 години след влизане в сила на настоящото споразумение.</w:t>
      </w:r>
      <w:bookmarkEnd w:id="24"/>
    </w:p>
    <w:p>
      <w:pPr>
        <w:spacing w:after="0" w:line="360" w:lineRule="auto"/>
        <w:rPr>
          <w:rFonts w:ascii="Times New Roman" w:hAnsi="Times New Roman" w:cs="Times New Roman"/>
          <w:noProof/>
          <w:sz w:val="24"/>
          <w:szCs w:val="24"/>
        </w:rPr>
      </w:pPr>
    </w:p>
    <w:p>
      <w:pPr>
        <w:rPr>
          <w:rFonts w:ascii="Times New Roman" w:hAnsi="Times New Roman" w:cs="Times New Roman"/>
          <w:noProof/>
          <w:sz w:val="24"/>
          <w:szCs w:val="24"/>
          <w:highlight w:val="green"/>
        </w:rPr>
      </w:pPr>
      <w:r>
        <w:rPr>
          <w:rFonts w:ascii="Times New Roman" w:hAnsi="Times New Roman" w:cs="Times New Roman"/>
          <w:noProof/>
          <w:sz w:val="24"/>
          <w:szCs w:val="24"/>
        </w:rPr>
        <w:br w:type="page"/>
      </w:r>
    </w:p>
    <w:p>
      <w:pPr>
        <w:spacing w:after="0" w:line="360" w:lineRule="auto"/>
        <w:ind w:left="567" w:hanging="567"/>
        <w:rPr>
          <w:rFonts w:ascii="Times New Roman" w:hAnsi="Times New Roman" w:cs="Times New Roman"/>
          <w:noProof/>
          <w:sz w:val="24"/>
          <w:szCs w:val="24"/>
        </w:rPr>
      </w:pPr>
      <w:r>
        <w:rPr>
          <w:rFonts w:ascii="Times New Roman" w:hAnsi="Times New Roman" w:cs="Times New Roman"/>
          <w:noProof/>
          <w:sz w:val="24"/>
          <w:szCs w:val="24"/>
        </w:rPr>
        <w:t>–</w:t>
      </w:r>
      <w:r>
        <w:rPr>
          <w:rFonts w:ascii="Times New Roman" w:hAnsi="Times New Roman" w:cs="Times New Roman"/>
          <w:noProof/>
          <w:sz w:val="24"/>
          <w:szCs w:val="24"/>
        </w:rPr>
        <w:tab/>
        <w:t>определяне и класификация на зони и агломерации (членове 4 и 5)</w:t>
      </w:r>
    </w:p>
    <w:p>
      <w:pPr>
        <w:spacing w:after="0" w:line="360" w:lineRule="auto"/>
        <w:rPr>
          <w:rFonts w:ascii="Times New Roman" w:hAnsi="Times New Roman" w:cs="Times New Roman"/>
          <w:noProof/>
          <w:sz w:val="24"/>
          <w:szCs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noProof/>
          <w:sz w:val="24"/>
          <w:szCs w:val="24"/>
        </w:rPr>
      </w:pPr>
      <w:bookmarkStart w:id="25" w:name="bookmark52"/>
      <w:r>
        <w:rPr>
          <w:rFonts w:ascii="Times New Roman" w:hAnsi="Times New Roman" w:cs="Times New Roman"/>
          <w:noProof/>
          <w:sz w:val="24"/>
          <w:szCs w:val="24"/>
        </w:rPr>
        <w:t>Срокове: тези разпоредби на Директива 2008/50/ЕО започват да се прилагат в срок от 7 години след влизане в сила на настоящото споразумение</w:t>
      </w:r>
      <w:bookmarkEnd w:id="25"/>
      <w:r>
        <w:rPr>
          <w:rFonts w:ascii="Times New Roman" w:hAnsi="Times New Roman" w:cs="Times New Roman"/>
          <w:noProof/>
          <w:sz w:val="24"/>
          <w:szCs w:val="24"/>
        </w:rPr>
        <w:t>.</w:t>
      </w:r>
    </w:p>
    <w:p>
      <w:pPr>
        <w:spacing w:after="0" w:line="360" w:lineRule="auto"/>
        <w:rPr>
          <w:rFonts w:ascii="Times New Roman" w:hAnsi="Times New Roman" w:cs="Times New Roman"/>
          <w:noProof/>
          <w:sz w:val="24"/>
          <w:szCs w:val="24"/>
        </w:rPr>
      </w:pPr>
    </w:p>
    <w:p>
      <w:pPr>
        <w:spacing w:after="0" w:line="360" w:lineRule="auto"/>
        <w:ind w:left="567" w:hanging="567"/>
        <w:rPr>
          <w:rFonts w:ascii="Times New Roman" w:hAnsi="Times New Roman" w:cs="Times New Roman"/>
          <w:noProof/>
          <w:sz w:val="24"/>
          <w:szCs w:val="24"/>
        </w:rPr>
      </w:pPr>
      <w:bookmarkStart w:id="26" w:name="bookmark53"/>
      <w:r>
        <w:rPr>
          <w:rFonts w:ascii="Times New Roman" w:hAnsi="Times New Roman" w:cs="Times New Roman"/>
          <w:noProof/>
          <w:sz w:val="24"/>
          <w:szCs w:val="24"/>
        </w:rPr>
        <w:t>–</w:t>
      </w:r>
      <w:r>
        <w:rPr>
          <w:rFonts w:ascii="Times New Roman" w:hAnsi="Times New Roman" w:cs="Times New Roman"/>
          <w:noProof/>
          <w:sz w:val="24"/>
          <w:szCs w:val="24"/>
        </w:rPr>
        <w:tab/>
        <w:t xml:space="preserve">установяване на горни и долни оценъчни прагове и пределно допустими стойности (членове 5 и 13) </w:t>
      </w:r>
      <w:bookmarkEnd w:id="26"/>
    </w:p>
    <w:p>
      <w:pPr>
        <w:spacing w:after="0" w:line="360" w:lineRule="auto"/>
        <w:rPr>
          <w:rFonts w:ascii="Times New Roman" w:hAnsi="Times New Roman" w:cs="Times New Roman"/>
          <w:noProof/>
          <w:sz w:val="24"/>
          <w:szCs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noProof/>
          <w:sz w:val="24"/>
          <w:szCs w:val="24"/>
        </w:rPr>
      </w:pPr>
      <w:bookmarkStart w:id="27" w:name="bookmark54"/>
      <w:r>
        <w:rPr>
          <w:rFonts w:ascii="Times New Roman" w:hAnsi="Times New Roman" w:cs="Times New Roman"/>
          <w:noProof/>
          <w:sz w:val="24"/>
          <w:szCs w:val="24"/>
        </w:rPr>
        <w:t>Срокове: тези разпоредби от Директива 2008/50/ЕО започват да се прилагат в срок от 7 години след влизане в сила на настоящото споразумение.</w:t>
      </w:r>
      <w:bookmarkEnd w:id="27"/>
    </w:p>
    <w:p>
      <w:pPr>
        <w:spacing w:after="0" w:line="360" w:lineRule="auto"/>
        <w:rPr>
          <w:rFonts w:ascii="Times New Roman" w:hAnsi="Times New Roman" w:cs="Times New Roman"/>
          <w:noProof/>
          <w:sz w:val="24"/>
          <w:szCs w:val="24"/>
        </w:rPr>
      </w:pPr>
    </w:p>
    <w:p>
      <w:pPr>
        <w:spacing w:after="0" w:line="360" w:lineRule="auto"/>
        <w:ind w:left="567" w:hanging="567"/>
        <w:rPr>
          <w:rFonts w:ascii="Times New Roman" w:hAnsi="Times New Roman" w:cs="Times New Roman"/>
          <w:noProof/>
          <w:sz w:val="24"/>
          <w:szCs w:val="24"/>
        </w:rPr>
      </w:pPr>
      <w:bookmarkStart w:id="28" w:name="bookmark55"/>
      <w:r>
        <w:rPr>
          <w:rFonts w:ascii="Times New Roman" w:hAnsi="Times New Roman" w:cs="Times New Roman"/>
          <w:noProof/>
          <w:sz w:val="24"/>
          <w:szCs w:val="24"/>
        </w:rPr>
        <w:t>–</w:t>
      </w:r>
      <w:r>
        <w:rPr>
          <w:rFonts w:ascii="Times New Roman" w:hAnsi="Times New Roman" w:cs="Times New Roman"/>
          <w:noProof/>
          <w:sz w:val="24"/>
          <w:szCs w:val="24"/>
        </w:rPr>
        <w:tab/>
        <w:t>създаване на система за извършване на оценка на атмосферния въздух по отношение на замърсители на въздуха (членове 5, 6 и 9)</w:t>
      </w:r>
      <w:bookmarkEnd w:id="28"/>
    </w:p>
    <w:p>
      <w:pPr>
        <w:spacing w:after="0" w:line="360" w:lineRule="auto"/>
        <w:rPr>
          <w:rFonts w:ascii="Times New Roman" w:hAnsi="Times New Roman" w:cs="Times New Roman"/>
          <w:noProof/>
          <w:sz w:val="24"/>
          <w:szCs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noProof/>
          <w:sz w:val="24"/>
          <w:szCs w:val="24"/>
        </w:rPr>
      </w:pPr>
      <w:bookmarkStart w:id="29" w:name="bookmark56"/>
      <w:r>
        <w:rPr>
          <w:rFonts w:ascii="Times New Roman" w:hAnsi="Times New Roman" w:cs="Times New Roman"/>
          <w:noProof/>
          <w:sz w:val="24"/>
          <w:szCs w:val="24"/>
        </w:rPr>
        <w:t>Срокове: тези разпоредби на Директива 2008/50/ЕО започват да се прилагат в срок от 8 години след влизане в сила на настоящото споразумение</w:t>
      </w:r>
      <w:bookmarkEnd w:id="29"/>
      <w:r>
        <w:rPr>
          <w:rFonts w:ascii="Times New Roman" w:hAnsi="Times New Roman" w:cs="Times New Roman"/>
          <w:noProof/>
          <w:sz w:val="24"/>
          <w:szCs w:val="24"/>
        </w:rPr>
        <w:t>.</w:t>
      </w:r>
    </w:p>
    <w:p>
      <w:pPr>
        <w:spacing w:after="0" w:line="360" w:lineRule="auto"/>
        <w:rPr>
          <w:rFonts w:ascii="Times New Roman" w:hAnsi="Times New Roman" w:cs="Times New Roman"/>
          <w:noProof/>
          <w:sz w:val="24"/>
          <w:szCs w:val="24"/>
        </w:rPr>
      </w:pPr>
      <w:bookmarkStart w:id="30" w:name="bookmark57"/>
    </w:p>
    <w:p>
      <w:pPr>
        <w:spacing w:after="0" w:line="360" w:lineRule="auto"/>
        <w:ind w:left="567" w:hanging="567"/>
        <w:rPr>
          <w:rFonts w:ascii="Times New Roman" w:hAnsi="Times New Roman" w:cs="Times New Roman"/>
          <w:noProof/>
          <w:sz w:val="24"/>
          <w:szCs w:val="24"/>
        </w:rPr>
      </w:pPr>
      <w:r>
        <w:rPr>
          <w:rFonts w:ascii="Times New Roman" w:hAnsi="Times New Roman" w:cs="Times New Roman"/>
          <w:noProof/>
          <w:sz w:val="24"/>
          <w:szCs w:val="24"/>
        </w:rPr>
        <w:t>–</w:t>
      </w:r>
      <w:r>
        <w:rPr>
          <w:rFonts w:ascii="Times New Roman" w:hAnsi="Times New Roman" w:cs="Times New Roman"/>
          <w:noProof/>
          <w:sz w:val="24"/>
          <w:szCs w:val="24"/>
        </w:rPr>
        <w:tab/>
        <w:t>изготвяне на планове за качество на въздуха за зони и агломерации, където нивата на замърсителите превишават която и да е пределно допустима стойност или целева стойност (член 23)</w:t>
      </w:r>
      <w:bookmarkEnd w:id="30"/>
    </w:p>
    <w:p>
      <w:pPr>
        <w:spacing w:after="0" w:line="360" w:lineRule="auto"/>
        <w:rPr>
          <w:rFonts w:ascii="Times New Roman" w:hAnsi="Times New Roman" w:cs="Times New Roman"/>
          <w:noProof/>
          <w:sz w:val="24"/>
          <w:szCs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Срокове: тези разпоредби от Директива 2008/50/ЕО започват да се прилагат в срок от 8 години след влизане в сила на настоящото споразумение.</w:t>
      </w:r>
    </w:p>
    <w:p>
      <w:pPr>
        <w:spacing w:after="0" w:line="360" w:lineRule="auto"/>
        <w:rPr>
          <w:rFonts w:ascii="Times New Roman" w:hAnsi="Times New Roman" w:cs="Times New Roman"/>
          <w:noProof/>
          <w:sz w:val="24"/>
          <w:szCs w:val="24"/>
        </w:rPr>
      </w:pPr>
    </w:p>
    <w:p>
      <w:pPr>
        <w:spacing w:after="0" w:line="360" w:lineRule="auto"/>
        <w:ind w:left="567" w:hanging="567"/>
        <w:rPr>
          <w:rFonts w:ascii="Times New Roman" w:hAnsi="Times New Roman" w:cs="Times New Roman"/>
          <w:noProof/>
          <w:sz w:val="24"/>
          <w:szCs w:val="24"/>
        </w:rPr>
      </w:pPr>
      <w:r>
        <w:rPr>
          <w:rFonts w:ascii="Times New Roman" w:hAnsi="Times New Roman" w:cs="Times New Roman"/>
          <w:noProof/>
          <w:sz w:val="24"/>
          <w:szCs w:val="24"/>
        </w:rPr>
        <w:t>–</w:t>
      </w:r>
      <w:r>
        <w:rPr>
          <w:rFonts w:ascii="Times New Roman" w:hAnsi="Times New Roman" w:cs="Times New Roman"/>
          <w:noProof/>
          <w:sz w:val="24"/>
          <w:szCs w:val="24"/>
        </w:rPr>
        <w:tab/>
        <w:t>изготвяне на краткосрочни планове за действие за зони и агломерации, в които има риск нивата на замърсителите да превишат алармените прагове (член 24)</w:t>
      </w:r>
    </w:p>
    <w:p>
      <w:pPr>
        <w:spacing w:after="0" w:line="360" w:lineRule="auto"/>
        <w:ind w:left="567" w:hanging="567"/>
        <w:rPr>
          <w:rFonts w:ascii="Times New Roman" w:hAnsi="Times New Roman" w:cs="Times New Roman"/>
          <w:noProof/>
          <w:sz w:val="24"/>
          <w:szCs w:val="24"/>
        </w:rPr>
      </w:pPr>
    </w:p>
    <w:p>
      <w:pPr>
        <w:rPr>
          <w:rFonts w:ascii="Times New Roman" w:hAnsi="Times New Roman" w:cs="Times New Roman"/>
          <w:noProof/>
          <w:sz w:val="24"/>
          <w:szCs w:val="24"/>
          <w:highlight w:val="yellow"/>
        </w:rPr>
      </w:pPr>
      <w:r>
        <w:rPr>
          <w:rFonts w:ascii="Times New Roman" w:hAnsi="Times New Roman" w:cs="Times New Roman"/>
          <w:noProof/>
          <w:sz w:val="24"/>
          <w:szCs w:val="24"/>
        </w:rPr>
        <w:br w:type="page"/>
      </w: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Срокове: тези разпоредби от Директива 2008/50/ЕО започват да се прилагат в срок от 8 години след влизане в сила на настоящото споразумение.</w:t>
      </w:r>
    </w:p>
    <w:p>
      <w:pPr>
        <w:spacing w:after="0" w:line="360" w:lineRule="auto"/>
        <w:rPr>
          <w:rFonts w:ascii="Times New Roman" w:hAnsi="Times New Roman" w:cs="Times New Roman"/>
          <w:noProof/>
          <w:sz w:val="24"/>
          <w:szCs w:val="24"/>
        </w:rPr>
      </w:pPr>
    </w:p>
    <w:p>
      <w:pPr>
        <w:spacing w:after="0" w:line="360" w:lineRule="auto"/>
        <w:ind w:left="567" w:hanging="567"/>
        <w:rPr>
          <w:rFonts w:ascii="Times New Roman" w:hAnsi="Times New Roman" w:cs="Times New Roman"/>
          <w:noProof/>
          <w:sz w:val="24"/>
          <w:szCs w:val="24"/>
        </w:rPr>
      </w:pPr>
      <w:r>
        <w:rPr>
          <w:rFonts w:ascii="Times New Roman" w:hAnsi="Times New Roman" w:cs="Times New Roman"/>
          <w:noProof/>
          <w:sz w:val="24"/>
          <w:szCs w:val="24"/>
        </w:rPr>
        <w:t>–</w:t>
      </w:r>
      <w:r>
        <w:rPr>
          <w:rFonts w:ascii="Times New Roman" w:hAnsi="Times New Roman" w:cs="Times New Roman"/>
          <w:noProof/>
          <w:sz w:val="24"/>
          <w:szCs w:val="24"/>
        </w:rPr>
        <w:tab/>
        <w:t>установяване на система за информиране на обществеността (член 26)</w:t>
      </w:r>
    </w:p>
    <w:p>
      <w:pPr>
        <w:spacing w:after="0" w:line="360" w:lineRule="auto"/>
        <w:ind w:left="567" w:hanging="567"/>
        <w:rPr>
          <w:rFonts w:ascii="Times New Roman" w:hAnsi="Times New Roman" w:cs="Times New Roman"/>
          <w:noProof/>
          <w:sz w:val="24"/>
          <w:szCs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Срокове: тези разпоредби от Директива 2008/50/ЕО започват да се прилагат в срок от 6 години след влизане в сила на настоящото споразумение.</w:t>
      </w:r>
    </w:p>
    <w:p>
      <w:pPr>
        <w:spacing w:after="0" w:line="360" w:lineRule="auto"/>
        <w:rPr>
          <w:rFonts w:ascii="Times New Roman" w:hAnsi="Times New Roman" w:cs="Times New Roman"/>
          <w:noProof/>
          <w:sz w:val="24"/>
          <w:szCs w:val="24"/>
        </w:rPr>
      </w:pPr>
    </w:p>
    <w:p>
      <w:pP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Директива 2004/107/EО на Европейския парламент и на Съвета от 15 декември 2014 г. относно съдържанието на арсен, кадмий, живак, никел и полициклични ароматни въглеводороди в атмосферния въздух</w:t>
      </w:r>
    </w:p>
    <w:p>
      <w:pPr>
        <w:spacing w:after="0" w:line="360" w:lineRule="auto"/>
        <w:rPr>
          <w:rFonts w:ascii="Times New Roman" w:hAnsi="Times New Roman" w:cs="Times New Roman"/>
          <w:noProof/>
          <w:sz w:val="24"/>
          <w:szCs w:val="24"/>
        </w:rPr>
      </w:pPr>
    </w:p>
    <w:p>
      <w:pP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От тази директива се прилагат посочените по-долу разпоредби:</w:t>
      </w:r>
    </w:p>
    <w:p>
      <w:pPr>
        <w:spacing w:after="0" w:line="360" w:lineRule="auto"/>
        <w:rPr>
          <w:rFonts w:ascii="Times New Roman" w:hAnsi="Times New Roman" w:cs="Times New Roman"/>
          <w:noProof/>
          <w:sz w:val="24"/>
          <w:szCs w:val="24"/>
        </w:rPr>
      </w:pPr>
    </w:p>
    <w:p>
      <w:pPr>
        <w:spacing w:after="0" w:line="360" w:lineRule="auto"/>
        <w:ind w:left="567" w:hanging="567"/>
        <w:rPr>
          <w:rFonts w:ascii="Times New Roman" w:hAnsi="Times New Roman" w:cs="Times New Roman"/>
          <w:noProof/>
          <w:sz w:val="24"/>
          <w:szCs w:val="24"/>
        </w:rPr>
      </w:pPr>
      <w:r>
        <w:rPr>
          <w:rFonts w:ascii="Times New Roman" w:hAnsi="Times New Roman" w:cs="Times New Roman"/>
          <w:noProof/>
          <w:sz w:val="24"/>
          <w:szCs w:val="24"/>
        </w:rPr>
        <w:t>–</w:t>
      </w:r>
      <w:r>
        <w:rPr>
          <w:rFonts w:ascii="Times New Roman" w:hAnsi="Times New Roman" w:cs="Times New Roman"/>
          <w:noProof/>
          <w:sz w:val="24"/>
          <w:szCs w:val="24"/>
        </w:rPr>
        <w:tab/>
        <w:t>приемане на национално законодателство и определяне на компетентен(и) орган(и)</w:t>
      </w:r>
    </w:p>
    <w:p>
      <w:pPr>
        <w:spacing w:after="0" w:line="360" w:lineRule="auto"/>
        <w:ind w:left="567" w:hanging="567"/>
        <w:rPr>
          <w:rFonts w:ascii="Times New Roman" w:hAnsi="Times New Roman" w:cs="Times New Roman"/>
          <w:noProof/>
          <w:sz w:val="24"/>
          <w:szCs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Срокове: тези разпоредби от Директива 2004/107/ЕО започват да се прилагат в срок от 5 години след влизане в сила на настоящото споразумение.</w:t>
      </w:r>
    </w:p>
    <w:p>
      <w:pPr>
        <w:spacing w:after="0" w:line="360" w:lineRule="auto"/>
        <w:rPr>
          <w:rFonts w:ascii="Times New Roman" w:hAnsi="Times New Roman" w:cs="Times New Roman"/>
          <w:noProof/>
          <w:sz w:val="24"/>
          <w:szCs w:val="24"/>
        </w:rPr>
      </w:pPr>
    </w:p>
    <w:p>
      <w:pPr>
        <w:spacing w:after="0" w:line="360" w:lineRule="auto"/>
        <w:ind w:left="567" w:hanging="567"/>
        <w:rPr>
          <w:rFonts w:ascii="Times New Roman" w:hAnsi="Times New Roman" w:cs="Times New Roman"/>
          <w:noProof/>
          <w:sz w:val="24"/>
          <w:szCs w:val="24"/>
        </w:rPr>
      </w:pPr>
      <w:r>
        <w:rPr>
          <w:rFonts w:ascii="Times New Roman" w:hAnsi="Times New Roman" w:cs="Times New Roman"/>
          <w:noProof/>
          <w:sz w:val="24"/>
          <w:szCs w:val="24"/>
        </w:rPr>
        <w:t>–</w:t>
      </w:r>
      <w:r>
        <w:rPr>
          <w:rFonts w:ascii="Times New Roman" w:hAnsi="Times New Roman" w:cs="Times New Roman"/>
          <w:noProof/>
          <w:sz w:val="24"/>
          <w:szCs w:val="24"/>
        </w:rPr>
        <w:tab/>
        <w:t>установяване на максимални и минимални оценъчни прагове (член 4, параграф 6) и целеви стойности (член 3)</w:t>
      </w:r>
    </w:p>
    <w:p>
      <w:pPr>
        <w:spacing w:after="0" w:line="360" w:lineRule="auto"/>
        <w:rPr>
          <w:rFonts w:ascii="Times New Roman" w:hAnsi="Times New Roman" w:cs="Times New Roman"/>
          <w:noProof/>
          <w:sz w:val="24"/>
          <w:szCs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Срокове: тези разпоредби от Директива 2004/107/ЕО започват да се прилагат в срок от 6 години след влизане в сила на настоящото споразумение.</w:t>
      </w:r>
    </w:p>
    <w:p>
      <w:pPr>
        <w:spacing w:after="0" w:line="360" w:lineRule="auto"/>
        <w:rPr>
          <w:rFonts w:ascii="Times New Roman" w:hAnsi="Times New Roman" w:cs="Times New Roman"/>
          <w:noProof/>
          <w:sz w:val="24"/>
          <w:szCs w:val="24"/>
        </w:rPr>
      </w:pPr>
    </w:p>
    <w:p>
      <w:pPr>
        <w:rPr>
          <w:rFonts w:ascii="Times New Roman" w:hAnsi="Times New Roman" w:cs="Times New Roman"/>
          <w:noProof/>
          <w:sz w:val="24"/>
          <w:szCs w:val="24"/>
          <w:highlight w:val="green"/>
        </w:rPr>
      </w:pPr>
      <w:r>
        <w:rPr>
          <w:rFonts w:ascii="Times New Roman" w:hAnsi="Times New Roman" w:cs="Times New Roman"/>
          <w:noProof/>
          <w:sz w:val="24"/>
          <w:szCs w:val="24"/>
        </w:rPr>
        <w:br w:type="page"/>
      </w:r>
    </w:p>
    <w:p>
      <w:pP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w:t>
      </w:r>
      <w:r>
        <w:rPr>
          <w:rFonts w:ascii="Times New Roman" w:hAnsi="Times New Roman" w:cs="Times New Roman"/>
          <w:noProof/>
          <w:sz w:val="24"/>
          <w:szCs w:val="24"/>
        </w:rPr>
        <w:tab/>
        <w:t>определяне и класификация на зони и агломерации (член 3 и член 4, параграф 6)</w:t>
      </w:r>
    </w:p>
    <w:p>
      <w:pPr>
        <w:spacing w:after="0" w:line="360" w:lineRule="auto"/>
        <w:rPr>
          <w:rFonts w:ascii="Times New Roman" w:hAnsi="Times New Roman" w:cs="Times New Roman"/>
          <w:noProof/>
          <w:sz w:val="24"/>
          <w:szCs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Срокове: тези разпоредби от Директива 2004/107/ЕО започват да се прилагат в срок от 6 години след влизане в сила на настоящото споразумение.</w:t>
      </w:r>
    </w:p>
    <w:p>
      <w:pPr>
        <w:spacing w:after="0" w:line="360" w:lineRule="auto"/>
        <w:rPr>
          <w:rFonts w:ascii="Times New Roman" w:hAnsi="Times New Roman" w:cs="Times New Roman"/>
          <w:noProof/>
          <w:sz w:val="24"/>
          <w:szCs w:val="24"/>
        </w:rPr>
      </w:pPr>
      <w:bookmarkStart w:id="31" w:name="bookmark58"/>
    </w:p>
    <w:p>
      <w:pPr>
        <w:spacing w:after="0" w:line="360" w:lineRule="auto"/>
        <w:ind w:left="567" w:hanging="567"/>
        <w:rPr>
          <w:rFonts w:ascii="Times New Roman" w:hAnsi="Times New Roman" w:cs="Times New Roman"/>
          <w:noProof/>
          <w:sz w:val="24"/>
          <w:szCs w:val="24"/>
        </w:rPr>
      </w:pPr>
      <w:r>
        <w:rPr>
          <w:rFonts w:ascii="Times New Roman" w:hAnsi="Times New Roman" w:cs="Times New Roman"/>
          <w:noProof/>
          <w:sz w:val="24"/>
          <w:szCs w:val="24"/>
        </w:rPr>
        <w:t>–</w:t>
      </w:r>
      <w:r>
        <w:rPr>
          <w:rFonts w:ascii="Times New Roman" w:hAnsi="Times New Roman" w:cs="Times New Roman"/>
          <w:noProof/>
          <w:sz w:val="24"/>
          <w:szCs w:val="24"/>
        </w:rPr>
        <w:tab/>
        <w:t>създаване на система за извършване на оценка на атмосферния въздух по отношение на замърсители на въздуха</w:t>
      </w:r>
      <w:bookmarkEnd w:id="31"/>
      <w:r>
        <w:rPr>
          <w:rFonts w:ascii="Times New Roman" w:hAnsi="Times New Roman" w:cs="Times New Roman"/>
          <w:noProof/>
          <w:sz w:val="24"/>
          <w:szCs w:val="24"/>
        </w:rPr>
        <w:t xml:space="preserve"> (член 4)</w:t>
      </w:r>
    </w:p>
    <w:p>
      <w:pPr>
        <w:spacing w:after="0" w:line="360" w:lineRule="auto"/>
        <w:rPr>
          <w:rFonts w:ascii="Times New Roman" w:hAnsi="Times New Roman" w:cs="Times New Roman"/>
          <w:noProof/>
          <w:sz w:val="24"/>
          <w:szCs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noProof/>
          <w:sz w:val="24"/>
          <w:szCs w:val="24"/>
        </w:rPr>
      </w:pPr>
      <w:bookmarkStart w:id="32" w:name="bookmark59"/>
      <w:r>
        <w:rPr>
          <w:rFonts w:ascii="Times New Roman" w:hAnsi="Times New Roman" w:cs="Times New Roman"/>
          <w:noProof/>
          <w:sz w:val="24"/>
          <w:szCs w:val="24"/>
        </w:rPr>
        <w:t>Срокове: тези разпоредби от Директива 2004/107/ЕО започват да се прилагат в срок от 8 години</w:t>
      </w:r>
      <w:bookmarkEnd w:id="32"/>
      <w:r>
        <w:rPr>
          <w:rFonts w:ascii="Times New Roman" w:hAnsi="Times New Roman" w:cs="Times New Roman"/>
          <w:noProof/>
          <w:sz w:val="24"/>
          <w:szCs w:val="24"/>
        </w:rPr>
        <w:t xml:space="preserve"> след влизане в сила на настоящото споразумение.</w:t>
      </w:r>
    </w:p>
    <w:p>
      <w:pPr>
        <w:spacing w:after="0" w:line="360" w:lineRule="auto"/>
        <w:rPr>
          <w:rFonts w:ascii="Times New Roman" w:hAnsi="Times New Roman" w:cs="Times New Roman"/>
          <w:noProof/>
          <w:sz w:val="24"/>
          <w:szCs w:val="24"/>
        </w:rPr>
      </w:pPr>
    </w:p>
    <w:p>
      <w:pPr>
        <w:spacing w:after="0" w:line="360" w:lineRule="auto"/>
        <w:ind w:left="567" w:hanging="567"/>
        <w:rPr>
          <w:rFonts w:ascii="Times New Roman" w:hAnsi="Times New Roman" w:cs="Times New Roman"/>
          <w:noProof/>
          <w:sz w:val="24"/>
          <w:szCs w:val="24"/>
        </w:rPr>
      </w:pPr>
      <w:r>
        <w:rPr>
          <w:rFonts w:ascii="Times New Roman" w:hAnsi="Times New Roman" w:cs="Times New Roman"/>
          <w:noProof/>
          <w:sz w:val="24"/>
          <w:szCs w:val="24"/>
        </w:rPr>
        <w:t>–</w:t>
      </w:r>
      <w:r>
        <w:rPr>
          <w:rFonts w:ascii="Times New Roman" w:hAnsi="Times New Roman" w:cs="Times New Roman"/>
          <w:noProof/>
          <w:sz w:val="24"/>
          <w:szCs w:val="24"/>
        </w:rPr>
        <w:tab/>
        <w:t>предприемане на мерки с цел поддържане/подобряване на качеството на въздуха по отношение на съответните замърсители (член 3)</w:t>
      </w:r>
    </w:p>
    <w:p>
      <w:pPr>
        <w:spacing w:after="0" w:line="360" w:lineRule="auto"/>
        <w:rPr>
          <w:rFonts w:ascii="Times New Roman" w:hAnsi="Times New Roman" w:cs="Times New Roman"/>
          <w:noProof/>
          <w:sz w:val="24"/>
          <w:szCs w:val="24"/>
          <w:highlight w:val="green"/>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Срокове: тези разпоредби от Директива 2004/107/ЕО започват да се прилагат в срок от 8 години след влизане в сила на настоящото споразумение.</w:t>
      </w:r>
    </w:p>
    <w:p>
      <w:pPr>
        <w:spacing w:after="0" w:line="360" w:lineRule="auto"/>
        <w:rPr>
          <w:rFonts w:ascii="Times New Roman" w:hAnsi="Times New Roman" w:cs="Times New Roman"/>
          <w:noProof/>
          <w:sz w:val="24"/>
          <w:szCs w:val="24"/>
        </w:rPr>
      </w:pPr>
    </w:p>
    <w:p>
      <w:pP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Директива 1999/32/ЕО на Съвета от 26 април 1999 г. относно намаляването на съдържанието на сяра в определени течни горива и за изменение на Директива 93/12/ЕИО, изменена</w:t>
      </w:r>
    </w:p>
    <w:p>
      <w:pPr>
        <w:spacing w:after="0" w:line="360" w:lineRule="auto"/>
        <w:rPr>
          <w:rFonts w:ascii="Times New Roman" w:hAnsi="Times New Roman" w:cs="Times New Roman"/>
          <w:noProof/>
          <w:sz w:val="24"/>
          <w:szCs w:val="24"/>
        </w:rPr>
      </w:pPr>
    </w:p>
    <w:p>
      <w:pP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От тази директива се прилагат посочените по-долу разпоредби:</w:t>
      </w:r>
    </w:p>
    <w:p>
      <w:pPr>
        <w:spacing w:after="0" w:line="360" w:lineRule="auto"/>
        <w:rPr>
          <w:rFonts w:ascii="Times New Roman" w:hAnsi="Times New Roman" w:cs="Times New Roman"/>
          <w:noProof/>
          <w:sz w:val="24"/>
          <w:szCs w:val="24"/>
        </w:rPr>
      </w:pPr>
    </w:p>
    <w:p>
      <w:pPr>
        <w:spacing w:after="0" w:line="360" w:lineRule="auto"/>
        <w:ind w:left="567" w:hanging="567"/>
        <w:rPr>
          <w:rFonts w:ascii="Times New Roman" w:hAnsi="Times New Roman" w:cs="Times New Roman"/>
          <w:noProof/>
          <w:sz w:val="24"/>
          <w:szCs w:val="24"/>
        </w:rPr>
      </w:pPr>
      <w:r>
        <w:rPr>
          <w:rFonts w:ascii="Times New Roman" w:hAnsi="Times New Roman" w:cs="Times New Roman"/>
          <w:noProof/>
          <w:sz w:val="24"/>
          <w:szCs w:val="24"/>
        </w:rPr>
        <w:t>–</w:t>
      </w:r>
      <w:r>
        <w:rPr>
          <w:rFonts w:ascii="Times New Roman" w:hAnsi="Times New Roman" w:cs="Times New Roman"/>
          <w:noProof/>
          <w:sz w:val="24"/>
          <w:szCs w:val="24"/>
        </w:rPr>
        <w:tab/>
        <w:t>приемане на национално законодателство и определяне на компетентен(и) орган(и)</w:t>
      </w:r>
    </w:p>
    <w:p>
      <w:pPr>
        <w:spacing w:after="0" w:line="360" w:lineRule="auto"/>
        <w:ind w:left="567" w:hanging="567"/>
        <w:rPr>
          <w:rFonts w:ascii="Times New Roman" w:hAnsi="Times New Roman" w:cs="Times New Roman"/>
          <w:noProof/>
          <w:sz w:val="24"/>
          <w:szCs w:val="24"/>
        </w:rPr>
      </w:pPr>
    </w:p>
    <w:p>
      <w:pPr>
        <w:spacing w:after="0" w:line="360" w:lineRule="auto"/>
        <w:ind w:left="567" w:hanging="567"/>
        <w:rPr>
          <w:rFonts w:ascii="Times New Roman" w:hAnsi="Times New Roman" w:cs="Times New Roman"/>
          <w:noProof/>
          <w:sz w:val="24"/>
          <w:szCs w:val="24"/>
        </w:rPr>
      </w:pPr>
      <w:r>
        <w:rPr>
          <w:rFonts w:ascii="Times New Roman" w:hAnsi="Times New Roman" w:cs="Times New Roman"/>
          <w:noProof/>
          <w:sz w:val="24"/>
          <w:szCs w:val="24"/>
        </w:rPr>
        <w:t>–</w:t>
      </w:r>
      <w:r>
        <w:rPr>
          <w:rFonts w:ascii="Times New Roman" w:hAnsi="Times New Roman" w:cs="Times New Roman"/>
          <w:noProof/>
          <w:sz w:val="24"/>
          <w:szCs w:val="24"/>
        </w:rPr>
        <w:tab/>
        <w:t>създаване на ефективна система за вземане на проби от горивата и подходящи методи за анализ за определяне на съдържанието на сяра (член 6)</w:t>
      </w:r>
    </w:p>
    <w:p>
      <w:pPr>
        <w:spacing w:after="0" w:line="360" w:lineRule="auto"/>
        <w:ind w:left="567" w:hanging="567"/>
        <w:rPr>
          <w:rFonts w:ascii="Times New Roman" w:hAnsi="Times New Roman" w:cs="Times New Roman"/>
          <w:noProof/>
          <w:sz w:val="24"/>
          <w:szCs w:val="24"/>
        </w:rPr>
      </w:pPr>
    </w:p>
    <w:p>
      <w:pPr>
        <w:rPr>
          <w:rFonts w:ascii="Times New Roman" w:hAnsi="Times New Roman" w:cs="Times New Roman"/>
          <w:noProof/>
          <w:sz w:val="24"/>
          <w:szCs w:val="24"/>
          <w:highlight w:val="green"/>
        </w:rPr>
      </w:pPr>
      <w:r>
        <w:rPr>
          <w:rFonts w:ascii="Times New Roman" w:hAnsi="Times New Roman" w:cs="Times New Roman"/>
          <w:noProof/>
          <w:sz w:val="24"/>
          <w:szCs w:val="24"/>
        </w:rPr>
        <w:br w:type="page"/>
      </w:r>
    </w:p>
    <w:p>
      <w:pPr>
        <w:spacing w:after="0" w:line="360" w:lineRule="auto"/>
        <w:ind w:left="567" w:hanging="567"/>
        <w:rPr>
          <w:rFonts w:ascii="Times New Roman" w:hAnsi="Times New Roman" w:cs="Times New Roman"/>
          <w:noProof/>
          <w:sz w:val="24"/>
          <w:szCs w:val="24"/>
        </w:rPr>
      </w:pPr>
      <w:r>
        <w:rPr>
          <w:rFonts w:ascii="Times New Roman" w:hAnsi="Times New Roman" w:cs="Times New Roman"/>
          <w:noProof/>
          <w:sz w:val="24"/>
          <w:szCs w:val="24"/>
        </w:rPr>
        <w:t>–</w:t>
      </w:r>
      <w:r>
        <w:rPr>
          <w:rFonts w:ascii="Times New Roman" w:hAnsi="Times New Roman" w:cs="Times New Roman"/>
          <w:noProof/>
          <w:sz w:val="24"/>
          <w:szCs w:val="24"/>
        </w:rPr>
        <w:tab/>
        <w:t>забрана за използването на тежко гориво и газьол за наземни приложения със съдържание на сяра, по-високо от определените пределно допустими стойности (член 3, параграф 1 — освен ако не се прилагат изключения както в член 3, параграф 2 — и член 4, параграф 1)</w:t>
      </w:r>
    </w:p>
    <w:p>
      <w:pPr>
        <w:spacing w:after="0" w:line="360" w:lineRule="auto"/>
        <w:rPr>
          <w:rFonts w:ascii="Times New Roman" w:hAnsi="Times New Roman" w:cs="Times New Roman"/>
          <w:noProof/>
          <w:sz w:val="24"/>
          <w:szCs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Срокове: тези разпоредби от Директива 1999/32/ЕО започват да се прилагат в срок от 2 години след влизане в сила на настоящото споразумение.</w:t>
      </w:r>
    </w:p>
    <w:p>
      <w:pPr>
        <w:spacing w:after="0" w:line="360" w:lineRule="auto"/>
        <w:rPr>
          <w:rFonts w:ascii="Times New Roman" w:hAnsi="Times New Roman" w:cs="Times New Roman"/>
          <w:noProof/>
          <w:sz w:val="24"/>
          <w:szCs w:val="24"/>
        </w:rPr>
      </w:pPr>
    </w:p>
    <w:p>
      <w:pP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Директива 94/63/ЕО на Европейския парламент и на Съвета от 20 декември 1994 г. относно ограничаването на емисиите на летливи органични съединения (ЛОС), изпускани при съхранението и превоза на бензини от терминали до бензиностанции, изменена</w:t>
      </w:r>
    </w:p>
    <w:p>
      <w:pPr>
        <w:spacing w:after="0" w:line="360" w:lineRule="auto"/>
        <w:rPr>
          <w:rFonts w:ascii="Times New Roman" w:hAnsi="Times New Roman" w:cs="Times New Roman"/>
          <w:noProof/>
          <w:sz w:val="24"/>
          <w:szCs w:val="24"/>
        </w:rPr>
      </w:pPr>
    </w:p>
    <w:p>
      <w:pP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От тази директива се прилагат посочените по-долу разпоредби:</w:t>
      </w:r>
    </w:p>
    <w:p>
      <w:pPr>
        <w:spacing w:after="0" w:line="360" w:lineRule="auto"/>
        <w:rPr>
          <w:rFonts w:ascii="Times New Roman" w:hAnsi="Times New Roman" w:cs="Times New Roman"/>
          <w:noProof/>
          <w:sz w:val="24"/>
          <w:szCs w:val="24"/>
        </w:rPr>
      </w:pPr>
    </w:p>
    <w:p>
      <w:pPr>
        <w:spacing w:after="0" w:line="360" w:lineRule="auto"/>
        <w:ind w:left="567" w:hanging="567"/>
        <w:rPr>
          <w:rFonts w:ascii="Times New Roman" w:hAnsi="Times New Roman" w:cs="Times New Roman"/>
          <w:noProof/>
          <w:sz w:val="24"/>
          <w:szCs w:val="24"/>
        </w:rPr>
      </w:pPr>
      <w:r>
        <w:rPr>
          <w:rFonts w:ascii="Times New Roman" w:hAnsi="Times New Roman" w:cs="Times New Roman"/>
          <w:noProof/>
          <w:sz w:val="24"/>
          <w:szCs w:val="24"/>
        </w:rPr>
        <w:t>–</w:t>
      </w:r>
      <w:r>
        <w:rPr>
          <w:rFonts w:ascii="Times New Roman" w:hAnsi="Times New Roman" w:cs="Times New Roman"/>
          <w:noProof/>
          <w:sz w:val="24"/>
          <w:szCs w:val="24"/>
        </w:rPr>
        <w:tab/>
        <w:t>приемане на национално законодателство и определяне на компетентен(и) орган(и)</w:t>
      </w:r>
    </w:p>
    <w:p>
      <w:pPr>
        <w:spacing w:after="0" w:line="360" w:lineRule="auto"/>
        <w:ind w:left="567" w:hanging="567"/>
        <w:rPr>
          <w:rFonts w:ascii="Times New Roman" w:hAnsi="Times New Roman" w:cs="Times New Roman"/>
          <w:noProof/>
          <w:sz w:val="24"/>
          <w:szCs w:val="24"/>
        </w:rPr>
      </w:pPr>
    </w:p>
    <w:p>
      <w:pPr>
        <w:spacing w:after="0" w:line="360" w:lineRule="auto"/>
        <w:ind w:left="567" w:hanging="567"/>
        <w:rPr>
          <w:rFonts w:ascii="Times New Roman" w:hAnsi="Times New Roman" w:cs="Times New Roman"/>
          <w:noProof/>
          <w:sz w:val="24"/>
          <w:szCs w:val="24"/>
        </w:rPr>
      </w:pPr>
      <w:r>
        <w:rPr>
          <w:rFonts w:ascii="Times New Roman" w:hAnsi="Times New Roman" w:cs="Times New Roman"/>
          <w:noProof/>
          <w:sz w:val="24"/>
          <w:szCs w:val="24"/>
        </w:rPr>
        <w:t>–</w:t>
      </w:r>
      <w:r>
        <w:rPr>
          <w:rFonts w:ascii="Times New Roman" w:hAnsi="Times New Roman" w:cs="Times New Roman"/>
          <w:noProof/>
          <w:sz w:val="24"/>
          <w:szCs w:val="24"/>
        </w:rPr>
        <w:tab/>
        <w:t>определяне на всички терминали за съхранение и товарене/разтоварване на бензин (член 2)</w:t>
      </w:r>
    </w:p>
    <w:p>
      <w:pPr>
        <w:spacing w:after="0" w:line="360" w:lineRule="auto"/>
        <w:ind w:left="567" w:hanging="567"/>
        <w:rPr>
          <w:rFonts w:ascii="Times New Roman" w:hAnsi="Times New Roman" w:cs="Times New Roman"/>
          <w:noProof/>
          <w:sz w:val="24"/>
          <w:szCs w:val="24"/>
        </w:rPr>
      </w:pPr>
    </w:p>
    <w:p>
      <w:pPr>
        <w:spacing w:after="0" w:line="360" w:lineRule="auto"/>
        <w:ind w:left="567" w:hanging="567"/>
        <w:rPr>
          <w:rFonts w:ascii="Times New Roman" w:hAnsi="Times New Roman" w:cs="Times New Roman"/>
          <w:noProof/>
          <w:sz w:val="24"/>
          <w:szCs w:val="24"/>
        </w:rPr>
      </w:pPr>
      <w:r>
        <w:rPr>
          <w:rFonts w:ascii="Times New Roman" w:hAnsi="Times New Roman" w:cs="Times New Roman"/>
          <w:noProof/>
          <w:sz w:val="24"/>
          <w:szCs w:val="24"/>
        </w:rPr>
        <w:t>–</w:t>
      </w:r>
      <w:r>
        <w:rPr>
          <w:rFonts w:ascii="Times New Roman" w:hAnsi="Times New Roman" w:cs="Times New Roman"/>
          <w:noProof/>
          <w:sz w:val="24"/>
          <w:szCs w:val="24"/>
        </w:rPr>
        <w:tab/>
        <w:t>изготвяне на технически мерки за намаляване на загубите на бензин от инсталациите за съхранение в терминали и бензиностанции и по време на товарене/разтоварване на подвижни цистерни в терминали (членове 3, 4 и 6 и приложение III)</w:t>
      </w:r>
    </w:p>
    <w:p>
      <w:pPr>
        <w:spacing w:after="0" w:line="360" w:lineRule="auto"/>
        <w:ind w:left="567" w:hanging="567"/>
        <w:rPr>
          <w:rFonts w:ascii="Times New Roman" w:hAnsi="Times New Roman" w:cs="Times New Roman"/>
          <w:noProof/>
          <w:sz w:val="24"/>
          <w:szCs w:val="24"/>
        </w:rPr>
      </w:pPr>
    </w:p>
    <w:p>
      <w:pPr>
        <w:spacing w:after="0" w:line="360" w:lineRule="auto"/>
        <w:ind w:left="567" w:hanging="567"/>
        <w:rPr>
          <w:rFonts w:ascii="Times New Roman" w:hAnsi="Times New Roman" w:cs="Times New Roman"/>
          <w:noProof/>
          <w:sz w:val="24"/>
          <w:szCs w:val="24"/>
        </w:rPr>
      </w:pPr>
      <w:r>
        <w:rPr>
          <w:rFonts w:ascii="Times New Roman" w:hAnsi="Times New Roman" w:cs="Times New Roman"/>
          <w:noProof/>
          <w:sz w:val="24"/>
          <w:szCs w:val="24"/>
        </w:rPr>
        <w:t>–</w:t>
      </w:r>
      <w:r>
        <w:rPr>
          <w:rFonts w:ascii="Times New Roman" w:hAnsi="Times New Roman" w:cs="Times New Roman"/>
          <w:noProof/>
          <w:sz w:val="24"/>
          <w:szCs w:val="24"/>
        </w:rPr>
        <w:tab/>
        <w:t>изискване всички товарни площадки в действащи инсталации за товарене или разтоварване на автоцистерни и подвижни цистерни да отговарят на изискванията (членове 4 и 5)</w:t>
      </w:r>
    </w:p>
    <w:p>
      <w:pPr>
        <w:spacing w:after="0" w:line="360" w:lineRule="auto"/>
        <w:ind w:left="567" w:hanging="567"/>
        <w:rPr>
          <w:rFonts w:ascii="Times New Roman" w:hAnsi="Times New Roman" w:cs="Times New Roman"/>
          <w:noProof/>
          <w:sz w:val="24"/>
          <w:szCs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Срокове: тези разпоредби от Директива 94/63/ЕО започват да се прилагат в срок от 8 години след влизане в сила на настоящото споразумение.</w:t>
      </w:r>
    </w:p>
    <w:p>
      <w:pPr>
        <w:spacing w:after="0" w:line="360" w:lineRule="auto"/>
        <w:rPr>
          <w:rFonts w:ascii="Times New Roman" w:hAnsi="Times New Roman" w:cs="Times New Roman"/>
          <w:noProof/>
          <w:sz w:val="24"/>
          <w:szCs w:val="24"/>
        </w:rPr>
      </w:pPr>
    </w:p>
    <w:p>
      <w:pPr>
        <w:rPr>
          <w:rFonts w:ascii="Times New Roman" w:hAnsi="Times New Roman" w:cs="Times New Roman"/>
          <w:noProof/>
          <w:sz w:val="24"/>
          <w:szCs w:val="24"/>
        </w:rPr>
      </w:pPr>
      <w:r>
        <w:rPr>
          <w:rFonts w:ascii="Times New Roman" w:hAnsi="Times New Roman" w:cs="Times New Roman"/>
          <w:noProof/>
          <w:sz w:val="24"/>
          <w:szCs w:val="24"/>
        </w:rPr>
        <w:br w:type="page"/>
      </w:r>
    </w:p>
    <w:p>
      <w:pP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Директива 2004/42/ЕО на Европейския парламент и на Съвета от 21 април 2004 г. относно намаляването на емисиите от летливи органични съединения, които се дължат на използването на органични разтворители в някои лакове и бои и в продукти за пребоядисване на превозните средства и за изменение на Директива 1999/13/ЕО</w:t>
      </w:r>
    </w:p>
    <w:p>
      <w:pPr>
        <w:spacing w:after="0" w:line="360" w:lineRule="auto"/>
        <w:rPr>
          <w:rFonts w:ascii="Times New Roman" w:hAnsi="Times New Roman" w:cs="Times New Roman"/>
          <w:noProof/>
          <w:sz w:val="24"/>
          <w:szCs w:val="24"/>
        </w:rPr>
      </w:pPr>
    </w:p>
    <w:p>
      <w:pP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От тази директива се прилагат посочените по-долу разпоредби:</w:t>
      </w:r>
    </w:p>
    <w:p>
      <w:pPr>
        <w:spacing w:after="0" w:line="360" w:lineRule="auto"/>
        <w:rPr>
          <w:rFonts w:ascii="Times New Roman" w:hAnsi="Times New Roman" w:cs="Times New Roman"/>
          <w:noProof/>
          <w:sz w:val="24"/>
          <w:szCs w:val="24"/>
        </w:rPr>
      </w:pPr>
    </w:p>
    <w:p>
      <w:pPr>
        <w:spacing w:after="0" w:line="360" w:lineRule="auto"/>
        <w:ind w:left="567" w:hanging="567"/>
        <w:rPr>
          <w:rFonts w:ascii="Times New Roman" w:hAnsi="Times New Roman" w:cs="Times New Roman"/>
          <w:noProof/>
          <w:sz w:val="24"/>
          <w:szCs w:val="24"/>
        </w:rPr>
      </w:pPr>
      <w:r>
        <w:rPr>
          <w:rFonts w:ascii="Times New Roman" w:hAnsi="Times New Roman" w:cs="Times New Roman"/>
          <w:noProof/>
          <w:sz w:val="24"/>
          <w:szCs w:val="24"/>
        </w:rPr>
        <w:t>–</w:t>
      </w:r>
      <w:r>
        <w:rPr>
          <w:rFonts w:ascii="Times New Roman" w:hAnsi="Times New Roman" w:cs="Times New Roman"/>
          <w:noProof/>
          <w:sz w:val="24"/>
          <w:szCs w:val="24"/>
        </w:rPr>
        <w:tab/>
        <w:t>приемане на национално законодателство и определяне на компетентен(и) орган(и)</w:t>
      </w:r>
    </w:p>
    <w:p>
      <w:pPr>
        <w:spacing w:after="0" w:line="360" w:lineRule="auto"/>
        <w:ind w:left="567" w:hanging="567"/>
        <w:rPr>
          <w:rFonts w:ascii="Times New Roman" w:hAnsi="Times New Roman" w:cs="Times New Roman"/>
          <w:noProof/>
          <w:sz w:val="24"/>
          <w:szCs w:val="24"/>
        </w:rPr>
      </w:pPr>
    </w:p>
    <w:p>
      <w:pPr>
        <w:spacing w:after="0" w:line="360" w:lineRule="auto"/>
        <w:ind w:left="567" w:hanging="567"/>
        <w:rPr>
          <w:rFonts w:ascii="Times New Roman" w:hAnsi="Times New Roman" w:cs="Times New Roman"/>
          <w:noProof/>
          <w:sz w:val="24"/>
          <w:szCs w:val="24"/>
        </w:rPr>
      </w:pPr>
      <w:bookmarkStart w:id="33" w:name="bookmark60"/>
      <w:r>
        <w:rPr>
          <w:rFonts w:ascii="Times New Roman" w:hAnsi="Times New Roman" w:cs="Times New Roman"/>
          <w:noProof/>
          <w:sz w:val="24"/>
          <w:szCs w:val="24"/>
        </w:rPr>
        <w:t>–</w:t>
      </w:r>
      <w:r>
        <w:rPr>
          <w:rFonts w:ascii="Times New Roman" w:hAnsi="Times New Roman" w:cs="Times New Roman"/>
          <w:noProof/>
          <w:sz w:val="24"/>
          <w:szCs w:val="24"/>
        </w:rPr>
        <w:tab/>
        <w:t>определяне на максимални стойности за съдържанието на ЛОС за бои и лакове (член 3 и приложение II)</w:t>
      </w:r>
      <w:bookmarkEnd w:id="33"/>
    </w:p>
    <w:p>
      <w:pPr>
        <w:spacing w:after="0" w:line="360" w:lineRule="auto"/>
        <w:ind w:left="567" w:hanging="567"/>
        <w:rPr>
          <w:rFonts w:ascii="Times New Roman" w:hAnsi="Times New Roman" w:cs="Times New Roman"/>
          <w:noProof/>
          <w:sz w:val="24"/>
          <w:szCs w:val="24"/>
        </w:rPr>
      </w:pPr>
    </w:p>
    <w:p>
      <w:pPr>
        <w:spacing w:after="0" w:line="360" w:lineRule="auto"/>
        <w:ind w:left="567" w:hanging="567"/>
        <w:rPr>
          <w:rFonts w:ascii="Times New Roman" w:hAnsi="Times New Roman" w:cs="Times New Roman"/>
          <w:noProof/>
          <w:sz w:val="24"/>
          <w:szCs w:val="24"/>
        </w:rPr>
      </w:pPr>
      <w:bookmarkStart w:id="34" w:name="bookmark61"/>
      <w:r>
        <w:rPr>
          <w:rFonts w:ascii="Times New Roman" w:hAnsi="Times New Roman" w:cs="Times New Roman"/>
          <w:noProof/>
          <w:sz w:val="24"/>
          <w:szCs w:val="24"/>
        </w:rPr>
        <w:t>–</w:t>
      </w:r>
      <w:r>
        <w:rPr>
          <w:rFonts w:ascii="Times New Roman" w:hAnsi="Times New Roman" w:cs="Times New Roman"/>
          <w:noProof/>
          <w:sz w:val="24"/>
          <w:szCs w:val="24"/>
        </w:rPr>
        <w:tab/>
        <w:t>определяне на изисквания, с които се гарантира, че етикетирането на продуктите при пускането им</w:t>
      </w:r>
      <w:bookmarkEnd w:id="34"/>
      <w:r>
        <w:rPr>
          <w:rFonts w:ascii="Times New Roman" w:hAnsi="Times New Roman" w:cs="Times New Roman"/>
          <w:noProof/>
          <w:sz w:val="24"/>
          <w:szCs w:val="24"/>
        </w:rPr>
        <w:t xml:space="preserve"> на пазара и пускането на пазара на продуктите отговарят на съответните изисквания (членове 3 и 4)</w:t>
      </w:r>
    </w:p>
    <w:p>
      <w:pPr>
        <w:spacing w:after="0" w:line="360" w:lineRule="auto"/>
        <w:rPr>
          <w:rFonts w:ascii="Times New Roman" w:hAnsi="Times New Roman" w:cs="Times New Roman"/>
          <w:noProof/>
          <w:sz w:val="24"/>
          <w:szCs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noProof/>
          <w:sz w:val="24"/>
          <w:szCs w:val="24"/>
        </w:rPr>
      </w:pPr>
      <w:bookmarkStart w:id="35" w:name="bookmark62"/>
      <w:r>
        <w:rPr>
          <w:rFonts w:ascii="Times New Roman" w:hAnsi="Times New Roman" w:cs="Times New Roman"/>
          <w:noProof/>
          <w:sz w:val="24"/>
          <w:szCs w:val="24"/>
        </w:rPr>
        <w:t>Срокове: тези разпоредби от Конвенцията започват да се прилагат в срок от 5 години след влизане в сила на настоящото споразумение</w:t>
      </w:r>
      <w:bookmarkEnd w:id="35"/>
      <w:r>
        <w:rPr>
          <w:rFonts w:ascii="Times New Roman" w:hAnsi="Times New Roman" w:cs="Times New Roman"/>
          <w:noProof/>
          <w:sz w:val="24"/>
          <w:szCs w:val="24"/>
        </w:rPr>
        <w:t>.</w:t>
      </w:r>
    </w:p>
    <w:p>
      <w:pPr>
        <w:spacing w:after="0" w:line="360" w:lineRule="auto"/>
        <w:rPr>
          <w:rFonts w:ascii="Times New Roman" w:hAnsi="Times New Roman" w:cs="Times New Roman"/>
          <w:noProof/>
          <w:sz w:val="24"/>
          <w:szCs w:val="24"/>
        </w:rPr>
      </w:pPr>
    </w:p>
    <w:p>
      <w:pP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Качество на водата и управление на ресурсите</w:t>
      </w:r>
    </w:p>
    <w:p>
      <w:pPr>
        <w:spacing w:after="0" w:line="360" w:lineRule="auto"/>
        <w:rPr>
          <w:rFonts w:ascii="Times New Roman" w:hAnsi="Times New Roman" w:cs="Times New Roman"/>
          <w:noProof/>
          <w:sz w:val="24"/>
          <w:szCs w:val="24"/>
        </w:rPr>
      </w:pPr>
    </w:p>
    <w:p>
      <w:pP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Директива 2000/60/ЕО на Европейския парламент и на Съвета от 23 октомври 2000 г. за установяване на рамка за действията на Общността в областта на политиката за водите, изменена</w:t>
      </w:r>
    </w:p>
    <w:p>
      <w:pPr>
        <w:spacing w:after="0" w:line="360" w:lineRule="auto"/>
        <w:rPr>
          <w:rFonts w:ascii="Times New Roman" w:hAnsi="Times New Roman" w:cs="Times New Roman"/>
          <w:noProof/>
          <w:sz w:val="24"/>
          <w:szCs w:val="24"/>
        </w:rPr>
      </w:pPr>
    </w:p>
    <w:p>
      <w:pP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От тази директива се прилагат посочените по-долу разпоредби:</w:t>
      </w:r>
    </w:p>
    <w:p>
      <w:pPr>
        <w:spacing w:after="0" w:line="360" w:lineRule="auto"/>
        <w:rPr>
          <w:rFonts w:ascii="Times New Roman" w:hAnsi="Times New Roman" w:cs="Times New Roman"/>
          <w:noProof/>
          <w:sz w:val="24"/>
          <w:szCs w:val="24"/>
        </w:rPr>
      </w:pPr>
    </w:p>
    <w:p>
      <w:pPr>
        <w:spacing w:after="0" w:line="360" w:lineRule="auto"/>
        <w:ind w:left="567" w:hanging="567"/>
        <w:rPr>
          <w:rFonts w:ascii="Times New Roman" w:hAnsi="Times New Roman" w:cs="Times New Roman"/>
          <w:noProof/>
          <w:sz w:val="24"/>
          <w:szCs w:val="24"/>
        </w:rPr>
      </w:pPr>
      <w:r>
        <w:rPr>
          <w:rFonts w:ascii="Times New Roman" w:hAnsi="Times New Roman" w:cs="Times New Roman"/>
          <w:noProof/>
          <w:sz w:val="24"/>
          <w:szCs w:val="24"/>
        </w:rPr>
        <w:t>–</w:t>
      </w:r>
      <w:r>
        <w:rPr>
          <w:rFonts w:ascii="Times New Roman" w:hAnsi="Times New Roman" w:cs="Times New Roman"/>
          <w:noProof/>
          <w:sz w:val="24"/>
          <w:szCs w:val="24"/>
        </w:rPr>
        <w:tab/>
        <w:t>приемане на национално законодателство и определяне на компетентен(и) орган(и)</w:t>
      </w:r>
    </w:p>
    <w:p>
      <w:pPr>
        <w:spacing w:after="0" w:line="360" w:lineRule="auto"/>
        <w:ind w:left="567" w:hanging="567"/>
        <w:rPr>
          <w:rFonts w:ascii="Times New Roman" w:hAnsi="Times New Roman" w:cs="Times New Roman"/>
          <w:noProof/>
          <w:sz w:val="24"/>
          <w:szCs w:val="24"/>
        </w:rPr>
      </w:pPr>
    </w:p>
    <w:p>
      <w:pPr>
        <w:rPr>
          <w:rFonts w:ascii="Times New Roman" w:hAnsi="Times New Roman" w:cs="Times New Roman"/>
          <w:noProof/>
          <w:sz w:val="24"/>
          <w:szCs w:val="24"/>
          <w:highlight w:val="green"/>
        </w:rPr>
      </w:pPr>
      <w:r>
        <w:rPr>
          <w:rFonts w:ascii="Times New Roman" w:hAnsi="Times New Roman" w:cs="Times New Roman"/>
          <w:noProof/>
          <w:sz w:val="24"/>
          <w:szCs w:val="24"/>
        </w:rPr>
        <w:br w:type="page"/>
      </w:r>
    </w:p>
    <w:p>
      <w:pPr>
        <w:spacing w:after="0" w:line="360" w:lineRule="auto"/>
        <w:ind w:left="567" w:hanging="567"/>
        <w:rPr>
          <w:rFonts w:ascii="Times New Roman" w:hAnsi="Times New Roman" w:cs="Times New Roman"/>
          <w:noProof/>
          <w:sz w:val="24"/>
          <w:szCs w:val="24"/>
        </w:rPr>
      </w:pPr>
      <w:r>
        <w:rPr>
          <w:rFonts w:ascii="Times New Roman" w:hAnsi="Times New Roman" w:cs="Times New Roman"/>
          <w:noProof/>
          <w:sz w:val="24"/>
          <w:szCs w:val="24"/>
        </w:rPr>
        <w:t>–</w:t>
      </w:r>
      <w:r>
        <w:rPr>
          <w:rFonts w:ascii="Times New Roman" w:hAnsi="Times New Roman" w:cs="Times New Roman"/>
          <w:noProof/>
          <w:sz w:val="24"/>
          <w:szCs w:val="24"/>
        </w:rPr>
        <w:tab/>
        <w:t>определяне на райони на речни басейни и установяване на административни разпоредби за международни реки, езера и крайбрежни води (член 3, параграфи 1—7)</w:t>
      </w:r>
    </w:p>
    <w:p>
      <w:pPr>
        <w:spacing w:after="0" w:line="360" w:lineRule="auto"/>
        <w:ind w:left="567" w:hanging="567"/>
        <w:rPr>
          <w:rFonts w:ascii="Times New Roman" w:hAnsi="Times New Roman" w:cs="Times New Roman"/>
          <w:noProof/>
          <w:sz w:val="24"/>
          <w:szCs w:val="24"/>
        </w:rPr>
      </w:pPr>
    </w:p>
    <w:p>
      <w:pPr>
        <w:spacing w:after="0" w:line="360" w:lineRule="auto"/>
        <w:ind w:left="567" w:hanging="567"/>
        <w:rPr>
          <w:rFonts w:ascii="Times New Roman" w:hAnsi="Times New Roman" w:cs="Times New Roman"/>
          <w:noProof/>
          <w:sz w:val="24"/>
          <w:szCs w:val="24"/>
        </w:rPr>
      </w:pPr>
      <w:r>
        <w:rPr>
          <w:rFonts w:ascii="Times New Roman" w:hAnsi="Times New Roman" w:cs="Times New Roman"/>
          <w:noProof/>
          <w:sz w:val="24"/>
          <w:szCs w:val="24"/>
        </w:rPr>
        <w:t>–</w:t>
      </w:r>
      <w:r>
        <w:rPr>
          <w:rFonts w:ascii="Times New Roman" w:hAnsi="Times New Roman" w:cs="Times New Roman"/>
          <w:noProof/>
          <w:sz w:val="24"/>
          <w:szCs w:val="24"/>
        </w:rPr>
        <w:tab/>
        <w:t>анализ на характеристиките на районите на речните басейни (член 5)</w:t>
      </w:r>
    </w:p>
    <w:p>
      <w:pPr>
        <w:spacing w:after="0" w:line="360" w:lineRule="auto"/>
        <w:ind w:left="567" w:hanging="567"/>
        <w:rPr>
          <w:rFonts w:ascii="Times New Roman" w:hAnsi="Times New Roman" w:cs="Times New Roman"/>
          <w:noProof/>
          <w:sz w:val="24"/>
          <w:szCs w:val="24"/>
        </w:rPr>
      </w:pPr>
    </w:p>
    <w:p>
      <w:pPr>
        <w:spacing w:after="0" w:line="360" w:lineRule="auto"/>
        <w:ind w:left="567" w:hanging="567"/>
        <w:rPr>
          <w:rFonts w:ascii="Times New Roman" w:hAnsi="Times New Roman" w:cs="Times New Roman"/>
          <w:noProof/>
          <w:sz w:val="24"/>
          <w:szCs w:val="24"/>
        </w:rPr>
      </w:pPr>
      <w:r>
        <w:rPr>
          <w:rFonts w:ascii="Times New Roman" w:hAnsi="Times New Roman" w:cs="Times New Roman"/>
          <w:noProof/>
          <w:sz w:val="24"/>
          <w:szCs w:val="24"/>
        </w:rPr>
        <w:t>–</w:t>
      </w:r>
      <w:r>
        <w:rPr>
          <w:rFonts w:ascii="Times New Roman" w:hAnsi="Times New Roman" w:cs="Times New Roman"/>
          <w:noProof/>
          <w:sz w:val="24"/>
          <w:szCs w:val="24"/>
        </w:rPr>
        <w:tab/>
        <w:t>създаване на програми за мониторинг на качеството на водите (член 8)</w:t>
      </w:r>
    </w:p>
    <w:p>
      <w:pPr>
        <w:spacing w:after="0" w:line="360" w:lineRule="auto"/>
        <w:ind w:left="567" w:hanging="567"/>
        <w:rPr>
          <w:rFonts w:ascii="Times New Roman" w:hAnsi="Times New Roman" w:cs="Times New Roman"/>
          <w:noProof/>
          <w:sz w:val="24"/>
          <w:szCs w:val="24"/>
        </w:rPr>
      </w:pPr>
    </w:p>
    <w:p>
      <w:pPr>
        <w:spacing w:after="0" w:line="360" w:lineRule="auto"/>
        <w:ind w:left="567" w:hanging="567"/>
        <w:rPr>
          <w:rFonts w:ascii="Times New Roman" w:hAnsi="Times New Roman" w:cs="Times New Roman"/>
          <w:noProof/>
          <w:sz w:val="24"/>
          <w:szCs w:val="24"/>
        </w:rPr>
      </w:pPr>
      <w:bookmarkStart w:id="36" w:name="bookmark63"/>
      <w:r>
        <w:rPr>
          <w:rFonts w:ascii="Times New Roman" w:hAnsi="Times New Roman" w:cs="Times New Roman"/>
          <w:noProof/>
          <w:sz w:val="24"/>
          <w:szCs w:val="24"/>
        </w:rPr>
        <w:t>–</w:t>
      </w:r>
      <w:r>
        <w:rPr>
          <w:rFonts w:ascii="Times New Roman" w:hAnsi="Times New Roman" w:cs="Times New Roman"/>
          <w:noProof/>
          <w:sz w:val="24"/>
          <w:szCs w:val="24"/>
        </w:rPr>
        <w:tab/>
        <w:t>изготвяне на планове за управление на речни басейни, консултации с обществеността</w:t>
      </w:r>
      <w:bookmarkEnd w:id="36"/>
      <w:r>
        <w:rPr>
          <w:rFonts w:ascii="Times New Roman" w:hAnsi="Times New Roman" w:cs="Times New Roman"/>
          <w:noProof/>
          <w:sz w:val="24"/>
          <w:szCs w:val="24"/>
        </w:rPr>
        <w:t xml:space="preserve"> и публикуване на тези планове (членове 13 и 14)</w:t>
      </w:r>
    </w:p>
    <w:p>
      <w:pPr>
        <w:spacing w:after="0" w:line="360" w:lineRule="auto"/>
        <w:rPr>
          <w:rFonts w:ascii="Times New Roman" w:hAnsi="Times New Roman" w:cs="Times New Roman"/>
          <w:noProof/>
          <w:sz w:val="24"/>
          <w:szCs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noProof/>
          <w:sz w:val="24"/>
          <w:szCs w:val="24"/>
        </w:rPr>
      </w:pPr>
      <w:bookmarkStart w:id="37" w:name="bookmark64"/>
      <w:r>
        <w:rPr>
          <w:rFonts w:ascii="Times New Roman" w:hAnsi="Times New Roman" w:cs="Times New Roman"/>
          <w:noProof/>
          <w:sz w:val="24"/>
          <w:szCs w:val="24"/>
        </w:rPr>
        <w:t>Срокове: тези разпоредби от Директива 2000/60/ЕО започват да се прилагат в срок от 5 години след влизане в сила на настоящото споразумение.</w:t>
      </w:r>
      <w:bookmarkEnd w:id="37"/>
    </w:p>
    <w:p>
      <w:pPr>
        <w:spacing w:after="0" w:line="360" w:lineRule="auto"/>
        <w:rPr>
          <w:rFonts w:ascii="Times New Roman" w:hAnsi="Times New Roman" w:cs="Times New Roman"/>
          <w:noProof/>
          <w:sz w:val="24"/>
          <w:szCs w:val="24"/>
        </w:rPr>
      </w:pPr>
      <w:bookmarkStart w:id="38" w:name="bookmark65"/>
    </w:p>
    <w:p>
      <w:pP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Директива 2007/60/ЕО на Европейския парламент и на Съвета от 23 октомври 2007 г. относно оценката и управлението на риска от наводнения</w:t>
      </w:r>
    </w:p>
    <w:p>
      <w:pPr>
        <w:spacing w:after="0" w:line="360" w:lineRule="auto"/>
        <w:rPr>
          <w:rFonts w:ascii="Times New Roman" w:hAnsi="Times New Roman" w:cs="Times New Roman"/>
          <w:noProof/>
          <w:sz w:val="24"/>
          <w:szCs w:val="24"/>
        </w:rPr>
      </w:pPr>
    </w:p>
    <w:p>
      <w:pP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От тази директива се прилагат посочените по-долу разпоредби:</w:t>
      </w:r>
      <w:bookmarkEnd w:id="38"/>
    </w:p>
    <w:p>
      <w:pPr>
        <w:spacing w:after="0" w:line="360" w:lineRule="auto"/>
        <w:rPr>
          <w:rFonts w:ascii="Times New Roman" w:hAnsi="Times New Roman" w:cs="Times New Roman"/>
          <w:noProof/>
          <w:sz w:val="24"/>
          <w:szCs w:val="24"/>
        </w:rPr>
      </w:pPr>
    </w:p>
    <w:p>
      <w:pPr>
        <w:spacing w:after="0" w:line="360" w:lineRule="auto"/>
        <w:ind w:left="567" w:hanging="567"/>
        <w:rPr>
          <w:rFonts w:ascii="Times New Roman" w:hAnsi="Times New Roman" w:cs="Times New Roman"/>
          <w:noProof/>
          <w:sz w:val="24"/>
          <w:szCs w:val="24"/>
        </w:rPr>
      </w:pPr>
      <w:bookmarkStart w:id="39" w:name="bookmark66"/>
      <w:r>
        <w:rPr>
          <w:rFonts w:ascii="Times New Roman" w:hAnsi="Times New Roman" w:cs="Times New Roman"/>
          <w:noProof/>
          <w:sz w:val="24"/>
          <w:szCs w:val="24"/>
        </w:rPr>
        <w:t>–</w:t>
      </w:r>
      <w:r>
        <w:rPr>
          <w:rFonts w:ascii="Times New Roman" w:hAnsi="Times New Roman" w:cs="Times New Roman"/>
          <w:noProof/>
          <w:sz w:val="24"/>
          <w:szCs w:val="24"/>
        </w:rPr>
        <w:tab/>
        <w:t>приемане на национално законодателство и определяне на компетентен(и) орган(и)</w:t>
      </w:r>
      <w:bookmarkEnd w:id="39"/>
    </w:p>
    <w:p>
      <w:pPr>
        <w:spacing w:after="0" w:line="360" w:lineRule="auto"/>
        <w:ind w:left="567" w:hanging="567"/>
        <w:rPr>
          <w:rFonts w:ascii="Times New Roman" w:hAnsi="Times New Roman" w:cs="Times New Roman"/>
          <w:noProof/>
          <w:sz w:val="24"/>
          <w:szCs w:val="24"/>
        </w:rPr>
      </w:pPr>
    </w:p>
    <w:p>
      <w:pPr>
        <w:spacing w:after="0" w:line="360" w:lineRule="auto"/>
        <w:ind w:left="567" w:hanging="567"/>
        <w:rPr>
          <w:rFonts w:ascii="Times New Roman" w:hAnsi="Times New Roman" w:cs="Times New Roman"/>
          <w:noProof/>
          <w:sz w:val="24"/>
          <w:szCs w:val="24"/>
        </w:rPr>
      </w:pPr>
      <w:bookmarkStart w:id="40" w:name="bookmark67"/>
      <w:r>
        <w:rPr>
          <w:rFonts w:ascii="Times New Roman" w:hAnsi="Times New Roman" w:cs="Times New Roman"/>
          <w:noProof/>
          <w:sz w:val="24"/>
          <w:szCs w:val="24"/>
        </w:rPr>
        <w:t>–</w:t>
      </w:r>
      <w:r>
        <w:rPr>
          <w:rFonts w:ascii="Times New Roman" w:hAnsi="Times New Roman" w:cs="Times New Roman"/>
          <w:noProof/>
          <w:sz w:val="24"/>
          <w:szCs w:val="24"/>
        </w:rPr>
        <w:tab/>
        <w:t>извършване на предварителна оценка на риска от наводнения (членове 4 и 5)</w:t>
      </w:r>
      <w:bookmarkEnd w:id="40"/>
    </w:p>
    <w:p>
      <w:pPr>
        <w:spacing w:after="0" w:line="360" w:lineRule="auto"/>
        <w:ind w:left="567" w:hanging="567"/>
        <w:rPr>
          <w:rFonts w:ascii="Times New Roman" w:hAnsi="Times New Roman" w:cs="Times New Roman"/>
          <w:noProof/>
          <w:sz w:val="24"/>
          <w:szCs w:val="24"/>
        </w:rPr>
      </w:pPr>
    </w:p>
    <w:p>
      <w:pPr>
        <w:spacing w:after="0" w:line="360" w:lineRule="auto"/>
        <w:ind w:left="567" w:hanging="567"/>
        <w:rPr>
          <w:rFonts w:ascii="Times New Roman" w:hAnsi="Times New Roman" w:cs="Times New Roman"/>
          <w:noProof/>
          <w:sz w:val="24"/>
          <w:szCs w:val="24"/>
        </w:rPr>
      </w:pPr>
      <w:bookmarkStart w:id="41" w:name="bookmark68"/>
      <w:r>
        <w:rPr>
          <w:rFonts w:ascii="Times New Roman" w:hAnsi="Times New Roman" w:cs="Times New Roman"/>
          <w:noProof/>
          <w:sz w:val="24"/>
          <w:szCs w:val="24"/>
        </w:rPr>
        <w:t>–</w:t>
      </w:r>
      <w:r>
        <w:rPr>
          <w:rFonts w:ascii="Times New Roman" w:hAnsi="Times New Roman" w:cs="Times New Roman"/>
          <w:noProof/>
          <w:sz w:val="24"/>
          <w:szCs w:val="24"/>
        </w:rPr>
        <w:tab/>
        <w:t>изготвяне на карти на районите под заплаха от наводнения и карти на районите с риск от наводнения (член 6)</w:t>
      </w:r>
    </w:p>
    <w:p>
      <w:pPr>
        <w:spacing w:after="0" w:line="360" w:lineRule="auto"/>
        <w:ind w:left="567" w:hanging="567"/>
        <w:rPr>
          <w:rFonts w:ascii="Times New Roman" w:hAnsi="Times New Roman" w:cs="Times New Roman"/>
          <w:noProof/>
          <w:sz w:val="24"/>
          <w:szCs w:val="24"/>
        </w:rPr>
      </w:pPr>
    </w:p>
    <w:p>
      <w:pPr>
        <w:spacing w:after="0" w:line="360" w:lineRule="auto"/>
        <w:ind w:left="567" w:hanging="567"/>
        <w:rPr>
          <w:rFonts w:ascii="Times New Roman" w:hAnsi="Times New Roman" w:cs="Times New Roman"/>
          <w:noProof/>
          <w:sz w:val="24"/>
          <w:szCs w:val="24"/>
        </w:rPr>
      </w:pPr>
      <w:r>
        <w:rPr>
          <w:rFonts w:ascii="Times New Roman" w:hAnsi="Times New Roman" w:cs="Times New Roman"/>
          <w:noProof/>
          <w:sz w:val="24"/>
          <w:szCs w:val="24"/>
        </w:rPr>
        <w:t>–</w:t>
      </w:r>
      <w:r>
        <w:rPr>
          <w:rFonts w:ascii="Times New Roman" w:hAnsi="Times New Roman" w:cs="Times New Roman"/>
          <w:noProof/>
          <w:sz w:val="24"/>
          <w:szCs w:val="24"/>
        </w:rPr>
        <w:tab/>
        <w:t>изготвяне на планове за управление на риска от наводнения (член 7)</w:t>
      </w:r>
      <w:bookmarkEnd w:id="41"/>
    </w:p>
    <w:p>
      <w:pPr>
        <w:spacing w:after="0" w:line="360" w:lineRule="auto"/>
        <w:rPr>
          <w:rFonts w:ascii="Times New Roman" w:hAnsi="Times New Roman" w:cs="Times New Roman"/>
          <w:noProof/>
          <w:sz w:val="24"/>
          <w:szCs w:val="24"/>
        </w:rPr>
      </w:pPr>
    </w:p>
    <w:p>
      <w:pPr>
        <w:rPr>
          <w:rFonts w:ascii="Times New Roman" w:hAnsi="Times New Roman" w:cs="Times New Roman"/>
          <w:noProof/>
          <w:sz w:val="24"/>
          <w:szCs w:val="24"/>
          <w:highlight w:val="yellow"/>
        </w:rPr>
      </w:pPr>
      <w:bookmarkStart w:id="42" w:name="bookmark69"/>
      <w:r>
        <w:rPr>
          <w:rFonts w:ascii="Times New Roman" w:hAnsi="Times New Roman" w:cs="Times New Roman"/>
          <w:noProof/>
          <w:sz w:val="24"/>
          <w:szCs w:val="24"/>
        </w:rPr>
        <w:br w:type="page"/>
      </w: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Срокове: тези разпоредби от Директива 2007/60/ЕО започват да се прилагат в срок от 5 години след влизане в сила на настоящото споразумение.</w:t>
      </w:r>
      <w:bookmarkEnd w:id="42"/>
    </w:p>
    <w:p>
      <w:pPr>
        <w:spacing w:after="0" w:line="360" w:lineRule="auto"/>
        <w:rPr>
          <w:rFonts w:ascii="Times New Roman" w:hAnsi="Times New Roman" w:cs="Times New Roman"/>
          <w:noProof/>
          <w:sz w:val="24"/>
          <w:szCs w:val="24"/>
        </w:rPr>
      </w:pPr>
    </w:p>
    <w:p>
      <w:pP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Директива 91/271/EИО на Съвета от 21 май 1991 г. за пречистването на градските отпадъчни води, изменена</w:t>
      </w:r>
    </w:p>
    <w:p>
      <w:pPr>
        <w:spacing w:after="0" w:line="360" w:lineRule="auto"/>
        <w:rPr>
          <w:rFonts w:ascii="Times New Roman" w:hAnsi="Times New Roman" w:cs="Times New Roman"/>
          <w:noProof/>
          <w:sz w:val="24"/>
          <w:szCs w:val="24"/>
        </w:rPr>
      </w:pPr>
    </w:p>
    <w:p>
      <w:pPr>
        <w:spacing w:after="0" w:line="360" w:lineRule="auto"/>
        <w:rPr>
          <w:rFonts w:ascii="Times New Roman" w:hAnsi="Times New Roman" w:cs="Times New Roman"/>
          <w:noProof/>
          <w:sz w:val="24"/>
          <w:szCs w:val="24"/>
        </w:rPr>
      </w:pPr>
      <w:bookmarkStart w:id="43" w:name="bookmark70"/>
      <w:r>
        <w:rPr>
          <w:rFonts w:ascii="Times New Roman" w:hAnsi="Times New Roman" w:cs="Times New Roman"/>
          <w:noProof/>
          <w:sz w:val="24"/>
          <w:szCs w:val="24"/>
        </w:rPr>
        <w:t>От тази директива се прилагат посочените по-долу разпоредби:</w:t>
      </w:r>
      <w:bookmarkEnd w:id="43"/>
    </w:p>
    <w:p>
      <w:pPr>
        <w:spacing w:after="0" w:line="360" w:lineRule="auto"/>
        <w:rPr>
          <w:rFonts w:ascii="Times New Roman" w:hAnsi="Times New Roman" w:cs="Times New Roman"/>
          <w:noProof/>
          <w:sz w:val="24"/>
          <w:szCs w:val="24"/>
        </w:rPr>
      </w:pPr>
    </w:p>
    <w:p>
      <w:pPr>
        <w:spacing w:after="0" w:line="360" w:lineRule="auto"/>
        <w:ind w:left="567" w:hanging="567"/>
        <w:rPr>
          <w:rFonts w:ascii="Times New Roman" w:hAnsi="Times New Roman" w:cs="Times New Roman"/>
          <w:noProof/>
          <w:sz w:val="24"/>
          <w:szCs w:val="24"/>
        </w:rPr>
      </w:pPr>
      <w:bookmarkStart w:id="44" w:name="bookmark71"/>
      <w:r>
        <w:rPr>
          <w:rFonts w:ascii="Times New Roman" w:hAnsi="Times New Roman" w:cs="Times New Roman"/>
          <w:noProof/>
          <w:sz w:val="24"/>
          <w:szCs w:val="24"/>
        </w:rPr>
        <w:t>–</w:t>
      </w:r>
      <w:r>
        <w:rPr>
          <w:rFonts w:ascii="Times New Roman" w:hAnsi="Times New Roman" w:cs="Times New Roman"/>
          <w:noProof/>
          <w:sz w:val="24"/>
          <w:szCs w:val="24"/>
        </w:rPr>
        <w:tab/>
        <w:t>приемане на национално законодателство и определяне на компетентен(и) орган(и)</w:t>
      </w:r>
      <w:bookmarkEnd w:id="44"/>
    </w:p>
    <w:p>
      <w:pPr>
        <w:spacing w:after="0" w:line="360" w:lineRule="auto"/>
        <w:ind w:left="567" w:hanging="567"/>
        <w:rPr>
          <w:rFonts w:ascii="Times New Roman" w:hAnsi="Times New Roman" w:cs="Times New Roman"/>
          <w:noProof/>
          <w:sz w:val="24"/>
          <w:szCs w:val="24"/>
        </w:rPr>
      </w:pPr>
    </w:p>
    <w:p>
      <w:pPr>
        <w:spacing w:after="0" w:line="360" w:lineRule="auto"/>
        <w:ind w:left="567" w:hanging="567"/>
        <w:rPr>
          <w:rFonts w:ascii="Times New Roman" w:hAnsi="Times New Roman" w:cs="Times New Roman"/>
          <w:noProof/>
          <w:sz w:val="24"/>
          <w:szCs w:val="24"/>
        </w:rPr>
      </w:pPr>
      <w:r>
        <w:rPr>
          <w:rFonts w:ascii="Times New Roman" w:hAnsi="Times New Roman" w:cs="Times New Roman"/>
          <w:noProof/>
          <w:sz w:val="24"/>
          <w:szCs w:val="24"/>
        </w:rPr>
        <w:t>–</w:t>
      </w:r>
      <w:r>
        <w:rPr>
          <w:rFonts w:ascii="Times New Roman" w:hAnsi="Times New Roman" w:cs="Times New Roman"/>
          <w:noProof/>
          <w:sz w:val="24"/>
          <w:szCs w:val="24"/>
        </w:rPr>
        <w:tab/>
        <w:t>оценка на състоянието на събирането и обработката на градски отпадъчни води</w:t>
      </w:r>
    </w:p>
    <w:p>
      <w:pPr>
        <w:spacing w:after="0" w:line="360" w:lineRule="auto"/>
        <w:rPr>
          <w:rFonts w:ascii="Times New Roman" w:hAnsi="Times New Roman" w:cs="Times New Roman"/>
          <w:noProof/>
          <w:sz w:val="24"/>
          <w:szCs w:val="24"/>
        </w:rPr>
      </w:pPr>
    </w:p>
    <w:p>
      <w:pPr>
        <w:spacing w:after="0" w:line="360" w:lineRule="auto"/>
        <w:ind w:left="567" w:hanging="567"/>
        <w:rPr>
          <w:rFonts w:ascii="Times New Roman" w:hAnsi="Times New Roman" w:cs="Times New Roman"/>
          <w:noProof/>
          <w:sz w:val="24"/>
          <w:szCs w:val="24"/>
        </w:rPr>
      </w:pPr>
      <w:r>
        <w:rPr>
          <w:rFonts w:ascii="Times New Roman" w:hAnsi="Times New Roman" w:cs="Times New Roman"/>
          <w:noProof/>
          <w:sz w:val="24"/>
          <w:szCs w:val="24"/>
        </w:rPr>
        <w:t>–</w:t>
      </w:r>
      <w:r>
        <w:rPr>
          <w:rFonts w:ascii="Times New Roman" w:hAnsi="Times New Roman" w:cs="Times New Roman"/>
          <w:noProof/>
          <w:sz w:val="24"/>
          <w:szCs w:val="24"/>
        </w:rPr>
        <w:tab/>
        <w:t>идентифициране на чувствителни зони и агломерации (член 5, параграф 1 и приложение II)</w:t>
      </w:r>
    </w:p>
    <w:p>
      <w:pPr>
        <w:spacing w:after="0" w:line="360" w:lineRule="auto"/>
        <w:rPr>
          <w:rFonts w:ascii="Times New Roman" w:hAnsi="Times New Roman" w:cs="Times New Roman"/>
          <w:noProof/>
          <w:sz w:val="24"/>
          <w:szCs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Срокове: тези разпоредби от Директива 91/271/ЕИО започват да се прилагат в срок от 5 години след влизане в сила на настоящото споразумение.</w:t>
      </w:r>
    </w:p>
    <w:p>
      <w:pPr>
        <w:spacing w:after="0" w:line="360" w:lineRule="auto"/>
        <w:rPr>
          <w:rFonts w:ascii="Times New Roman" w:hAnsi="Times New Roman" w:cs="Times New Roman"/>
          <w:noProof/>
          <w:sz w:val="24"/>
          <w:szCs w:val="24"/>
        </w:rPr>
      </w:pPr>
    </w:p>
    <w:p>
      <w:pPr>
        <w:spacing w:after="0" w:line="360" w:lineRule="auto"/>
        <w:ind w:left="567" w:hanging="567"/>
        <w:rPr>
          <w:rFonts w:ascii="Times New Roman" w:hAnsi="Times New Roman" w:cs="Times New Roman"/>
          <w:noProof/>
          <w:sz w:val="24"/>
          <w:szCs w:val="24"/>
        </w:rPr>
      </w:pPr>
      <w:r>
        <w:rPr>
          <w:rFonts w:ascii="Times New Roman" w:hAnsi="Times New Roman" w:cs="Times New Roman"/>
          <w:noProof/>
          <w:sz w:val="24"/>
          <w:szCs w:val="24"/>
        </w:rPr>
        <w:t>–</w:t>
      </w:r>
      <w:r>
        <w:rPr>
          <w:rFonts w:ascii="Times New Roman" w:hAnsi="Times New Roman" w:cs="Times New Roman"/>
          <w:noProof/>
          <w:sz w:val="24"/>
          <w:szCs w:val="24"/>
        </w:rPr>
        <w:tab/>
        <w:t>изготвяне на техническа и инвестиционна програма за изпълнение на изискванията за обработка на градските отпадъчни води (член 17, параграф 1)</w:t>
      </w:r>
    </w:p>
    <w:p>
      <w:pPr>
        <w:spacing w:after="0" w:line="360" w:lineRule="auto"/>
        <w:rPr>
          <w:rFonts w:ascii="Times New Roman" w:hAnsi="Times New Roman" w:cs="Times New Roman"/>
          <w:noProof/>
          <w:sz w:val="24"/>
          <w:szCs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Срокове: тези разпоредби от Директива 91/271/ЕИО започват да се прилагат в срок от 6 години след влизане в сила на настоящото споразумение.</w:t>
      </w:r>
    </w:p>
    <w:p>
      <w:pPr>
        <w:spacing w:after="0" w:line="360" w:lineRule="auto"/>
        <w:rPr>
          <w:rFonts w:ascii="Times New Roman" w:hAnsi="Times New Roman" w:cs="Times New Roman"/>
          <w:noProof/>
          <w:sz w:val="24"/>
          <w:szCs w:val="24"/>
        </w:rPr>
      </w:pPr>
    </w:p>
    <w:p>
      <w:pP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Директива 98/83/ЕО на Съвета от 3 ноември 1998 г. относно качеството на водите, предназначени за консумация от човека, изменена</w:t>
      </w:r>
    </w:p>
    <w:p>
      <w:pPr>
        <w:spacing w:after="0" w:line="360" w:lineRule="auto"/>
        <w:rPr>
          <w:rFonts w:ascii="Times New Roman" w:hAnsi="Times New Roman" w:cs="Times New Roman"/>
          <w:noProof/>
          <w:sz w:val="24"/>
          <w:szCs w:val="24"/>
        </w:rPr>
      </w:pPr>
    </w:p>
    <w:p>
      <w:pPr>
        <w:rPr>
          <w:rFonts w:ascii="Times New Roman" w:hAnsi="Times New Roman" w:cs="Times New Roman"/>
          <w:noProof/>
          <w:sz w:val="24"/>
          <w:szCs w:val="24"/>
        </w:rPr>
      </w:pPr>
      <w:r>
        <w:rPr>
          <w:rFonts w:ascii="Times New Roman" w:hAnsi="Times New Roman" w:cs="Times New Roman"/>
          <w:noProof/>
          <w:sz w:val="24"/>
          <w:szCs w:val="24"/>
        </w:rPr>
        <w:br w:type="page"/>
      </w:r>
    </w:p>
    <w:p>
      <w:pP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От тази директива се прилагат посочените по-долу разпоредби:</w:t>
      </w:r>
    </w:p>
    <w:p>
      <w:pPr>
        <w:spacing w:after="0" w:line="360" w:lineRule="auto"/>
        <w:rPr>
          <w:rFonts w:ascii="Times New Roman" w:hAnsi="Times New Roman" w:cs="Times New Roman"/>
          <w:noProof/>
          <w:sz w:val="24"/>
          <w:szCs w:val="24"/>
        </w:rPr>
      </w:pPr>
    </w:p>
    <w:p>
      <w:pPr>
        <w:spacing w:after="0" w:line="360" w:lineRule="auto"/>
        <w:ind w:left="567" w:hanging="567"/>
        <w:rPr>
          <w:rFonts w:ascii="Times New Roman" w:hAnsi="Times New Roman" w:cs="Times New Roman"/>
          <w:noProof/>
          <w:sz w:val="24"/>
          <w:szCs w:val="24"/>
        </w:rPr>
      </w:pPr>
      <w:r>
        <w:rPr>
          <w:rFonts w:ascii="Times New Roman" w:hAnsi="Times New Roman" w:cs="Times New Roman"/>
          <w:noProof/>
          <w:sz w:val="24"/>
          <w:szCs w:val="24"/>
        </w:rPr>
        <w:t>–</w:t>
      </w:r>
      <w:r>
        <w:rPr>
          <w:rFonts w:ascii="Times New Roman" w:hAnsi="Times New Roman" w:cs="Times New Roman"/>
          <w:noProof/>
          <w:sz w:val="24"/>
          <w:szCs w:val="24"/>
        </w:rPr>
        <w:tab/>
        <w:t>приемане на национално законодателство и определяне на компетентен(и) орган(и)</w:t>
      </w:r>
    </w:p>
    <w:p>
      <w:pPr>
        <w:spacing w:after="0" w:line="360" w:lineRule="auto"/>
        <w:ind w:left="567" w:hanging="567"/>
        <w:rPr>
          <w:rFonts w:ascii="Times New Roman" w:hAnsi="Times New Roman" w:cs="Times New Roman"/>
          <w:noProof/>
          <w:sz w:val="24"/>
          <w:szCs w:val="24"/>
        </w:rPr>
      </w:pPr>
    </w:p>
    <w:p>
      <w:pPr>
        <w:spacing w:after="0" w:line="360" w:lineRule="auto"/>
        <w:ind w:left="567" w:hanging="567"/>
        <w:rPr>
          <w:rFonts w:ascii="Times New Roman" w:hAnsi="Times New Roman" w:cs="Times New Roman"/>
          <w:noProof/>
          <w:sz w:val="24"/>
          <w:szCs w:val="24"/>
        </w:rPr>
      </w:pPr>
      <w:r>
        <w:rPr>
          <w:rFonts w:ascii="Times New Roman" w:hAnsi="Times New Roman" w:cs="Times New Roman"/>
          <w:noProof/>
          <w:sz w:val="24"/>
          <w:szCs w:val="24"/>
        </w:rPr>
        <w:t>–</w:t>
      </w:r>
      <w:r>
        <w:rPr>
          <w:rFonts w:ascii="Times New Roman" w:hAnsi="Times New Roman" w:cs="Times New Roman"/>
          <w:noProof/>
          <w:sz w:val="24"/>
          <w:szCs w:val="24"/>
        </w:rPr>
        <w:tab/>
        <w:t>определяне на стандарти за качество на питейната вода (членове 4 и 5)</w:t>
      </w:r>
    </w:p>
    <w:p>
      <w:pPr>
        <w:spacing w:after="0" w:line="360" w:lineRule="auto"/>
        <w:ind w:left="567" w:hanging="567"/>
        <w:rPr>
          <w:rFonts w:ascii="Times New Roman" w:hAnsi="Times New Roman" w:cs="Times New Roman"/>
          <w:noProof/>
          <w:sz w:val="24"/>
          <w:szCs w:val="24"/>
        </w:rPr>
      </w:pPr>
    </w:p>
    <w:p>
      <w:pPr>
        <w:spacing w:after="0" w:line="360" w:lineRule="auto"/>
        <w:ind w:left="567" w:hanging="567"/>
        <w:rPr>
          <w:rFonts w:ascii="Times New Roman" w:hAnsi="Times New Roman" w:cs="Times New Roman"/>
          <w:noProof/>
          <w:sz w:val="24"/>
          <w:szCs w:val="24"/>
        </w:rPr>
      </w:pPr>
      <w:r>
        <w:rPr>
          <w:rFonts w:ascii="Times New Roman" w:hAnsi="Times New Roman" w:cs="Times New Roman"/>
          <w:noProof/>
          <w:sz w:val="24"/>
          <w:szCs w:val="24"/>
        </w:rPr>
        <w:t>–</w:t>
      </w:r>
      <w:r>
        <w:rPr>
          <w:rFonts w:ascii="Times New Roman" w:hAnsi="Times New Roman" w:cs="Times New Roman"/>
          <w:noProof/>
          <w:sz w:val="24"/>
          <w:szCs w:val="24"/>
        </w:rPr>
        <w:tab/>
        <w:t>създаване на система за контрол (членове 6 и 7)</w:t>
      </w:r>
    </w:p>
    <w:p>
      <w:pPr>
        <w:spacing w:after="0" w:line="360" w:lineRule="auto"/>
        <w:ind w:left="567" w:hanging="567"/>
        <w:rPr>
          <w:rFonts w:ascii="Times New Roman" w:hAnsi="Times New Roman" w:cs="Times New Roman"/>
          <w:noProof/>
          <w:sz w:val="24"/>
          <w:szCs w:val="24"/>
        </w:rPr>
      </w:pPr>
    </w:p>
    <w:p>
      <w:pPr>
        <w:spacing w:after="0" w:line="360" w:lineRule="auto"/>
        <w:ind w:left="567" w:hanging="567"/>
        <w:rPr>
          <w:rFonts w:ascii="Times New Roman" w:hAnsi="Times New Roman" w:cs="Times New Roman"/>
          <w:noProof/>
          <w:sz w:val="24"/>
          <w:szCs w:val="24"/>
        </w:rPr>
      </w:pPr>
      <w:bookmarkStart w:id="45" w:name="bookmark72"/>
      <w:r>
        <w:rPr>
          <w:rFonts w:ascii="Times New Roman" w:hAnsi="Times New Roman" w:cs="Times New Roman"/>
          <w:noProof/>
          <w:sz w:val="24"/>
          <w:szCs w:val="24"/>
        </w:rPr>
        <w:t>–</w:t>
      </w:r>
      <w:r>
        <w:rPr>
          <w:rFonts w:ascii="Times New Roman" w:hAnsi="Times New Roman" w:cs="Times New Roman"/>
          <w:noProof/>
          <w:sz w:val="24"/>
          <w:szCs w:val="24"/>
        </w:rPr>
        <w:tab/>
        <w:t>установяване на механизъм за информиране на потребителите (член 13)</w:t>
      </w:r>
      <w:bookmarkEnd w:id="45"/>
    </w:p>
    <w:p>
      <w:pPr>
        <w:spacing w:after="0" w:line="360" w:lineRule="auto"/>
        <w:rPr>
          <w:rFonts w:ascii="Times New Roman" w:hAnsi="Times New Roman" w:cs="Times New Roman"/>
          <w:noProof/>
          <w:sz w:val="24"/>
          <w:szCs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Срокове: тези разпоредби от Директива 98/83/ЕО започват да се прилагат в срок от 4 години след влизане в сила на настоящото споразумение.</w:t>
      </w:r>
    </w:p>
    <w:p>
      <w:pPr>
        <w:spacing w:after="0" w:line="360" w:lineRule="auto"/>
        <w:rPr>
          <w:rFonts w:ascii="Times New Roman" w:hAnsi="Times New Roman" w:cs="Times New Roman"/>
          <w:noProof/>
          <w:sz w:val="24"/>
          <w:szCs w:val="24"/>
        </w:rPr>
      </w:pPr>
    </w:p>
    <w:p>
      <w:pP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Директива 91/676/EО на Съвета от 12 декември 1991 г. за опазване на водите от замърсяване с нитрати от селскостопански източници, изменена</w:t>
      </w:r>
    </w:p>
    <w:p>
      <w:pPr>
        <w:spacing w:after="0" w:line="360" w:lineRule="auto"/>
        <w:rPr>
          <w:rFonts w:ascii="Times New Roman" w:hAnsi="Times New Roman" w:cs="Times New Roman"/>
          <w:noProof/>
          <w:sz w:val="24"/>
          <w:szCs w:val="24"/>
        </w:rPr>
      </w:pPr>
    </w:p>
    <w:p>
      <w:pP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От тази директива се прилагат посочените по-долу разпоредби:</w:t>
      </w:r>
    </w:p>
    <w:p>
      <w:pPr>
        <w:spacing w:after="0" w:line="360" w:lineRule="auto"/>
        <w:rPr>
          <w:rFonts w:ascii="Times New Roman" w:hAnsi="Times New Roman" w:cs="Times New Roman"/>
          <w:noProof/>
          <w:sz w:val="24"/>
          <w:szCs w:val="24"/>
        </w:rPr>
      </w:pPr>
    </w:p>
    <w:p>
      <w:pPr>
        <w:spacing w:after="0" w:line="360" w:lineRule="auto"/>
        <w:ind w:left="567" w:hanging="567"/>
        <w:rPr>
          <w:rFonts w:ascii="Times New Roman" w:hAnsi="Times New Roman" w:cs="Times New Roman"/>
          <w:noProof/>
          <w:sz w:val="24"/>
          <w:szCs w:val="24"/>
        </w:rPr>
      </w:pPr>
      <w:bookmarkStart w:id="46" w:name="bookmark73"/>
      <w:r>
        <w:rPr>
          <w:rFonts w:ascii="Times New Roman" w:hAnsi="Times New Roman" w:cs="Times New Roman"/>
          <w:noProof/>
          <w:sz w:val="24"/>
          <w:szCs w:val="24"/>
        </w:rPr>
        <w:t>–</w:t>
      </w:r>
      <w:r>
        <w:rPr>
          <w:rFonts w:ascii="Times New Roman" w:hAnsi="Times New Roman" w:cs="Times New Roman"/>
          <w:noProof/>
          <w:sz w:val="24"/>
          <w:szCs w:val="24"/>
        </w:rPr>
        <w:tab/>
        <w:t>приемане на национално законодателство и определяне на компетентен(и) орган(и)</w:t>
      </w:r>
      <w:bookmarkEnd w:id="46"/>
    </w:p>
    <w:p>
      <w:pPr>
        <w:spacing w:after="0" w:line="360" w:lineRule="auto"/>
        <w:ind w:left="567" w:hanging="567"/>
        <w:rPr>
          <w:rFonts w:ascii="Times New Roman" w:hAnsi="Times New Roman" w:cs="Times New Roman"/>
          <w:noProof/>
          <w:sz w:val="24"/>
          <w:szCs w:val="24"/>
        </w:rPr>
      </w:pPr>
    </w:p>
    <w:p>
      <w:pPr>
        <w:spacing w:after="0" w:line="360" w:lineRule="auto"/>
        <w:ind w:left="567" w:hanging="567"/>
        <w:rPr>
          <w:rFonts w:ascii="Times New Roman" w:hAnsi="Times New Roman" w:cs="Times New Roman"/>
          <w:noProof/>
          <w:sz w:val="24"/>
          <w:szCs w:val="24"/>
        </w:rPr>
      </w:pPr>
      <w:r>
        <w:rPr>
          <w:rFonts w:ascii="Times New Roman" w:hAnsi="Times New Roman" w:cs="Times New Roman"/>
          <w:noProof/>
          <w:sz w:val="24"/>
          <w:szCs w:val="24"/>
        </w:rPr>
        <w:t>–</w:t>
      </w:r>
      <w:r>
        <w:rPr>
          <w:rFonts w:ascii="Times New Roman" w:hAnsi="Times New Roman" w:cs="Times New Roman"/>
          <w:noProof/>
          <w:sz w:val="24"/>
          <w:szCs w:val="24"/>
        </w:rPr>
        <w:tab/>
        <w:t xml:space="preserve">създаване на програми за наблюдение (член 6) </w:t>
      </w:r>
    </w:p>
    <w:p>
      <w:pPr>
        <w:spacing w:after="0" w:line="360" w:lineRule="auto"/>
        <w:ind w:left="567" w:hanging="567"/>
        <w:rPr>
          <w:rFonts w:ascii="Times New Roman" w:hAnsi="Times New Roman" w:cs="Times New Roman"/>
          <w:noProof/>
          <w:sz w:val="24"/>
          <w:szCs w:val="24"/>
        </w:rPr>
      </w:pPr>
    </w:p>
    <w:p>
      <w:pPr>
        <w:spacing w:after="0" w:line="360" w:lineRule="auto"/>
        <w:ind w:left="567" w:hanging="567"/>
        <w:rPr>
          <w:rFonts w:ascii="Times New Roman" w:hAnsi="Times New Roman" w:cs="Times New Roman"/>
          <w:noProof/>
          <w:sz w:val="24"/>
          <w:szCs w:val="24"/>
        </w:rPr>
      </w:pPr>
      <w:r>
        <w:rPr>
          <w:rFonts w:ascii="Times New Roman" w:hAnsi="Times New Roman" w:cs="Times New Roman"/>
          <w:noProof/>
          <w:sz w:val="24"/>
          <w:szCs w:val="24"/>
        </w:rPr>
        <w:t>–</w:t>
      </w:r>
      <w:r>
        <w:rPr>
          <w:rFonts w:ascii="Times New Roman" w:hAnsi="Times New Roman" w:cs="Times New Roman"/>
          <w:noProof/>
          <w:sz w:val="24"/>
          <w:szCs w:val="24"/>
        </w:rPr>
        <w:tab/>
        <w:t>набелязване на замърсени води или води, изложени на риск от замърсяване, и определяне на зони, уязвими по отношение на нитрати (член 3)</w:t>
      </w:r>
    </w:p>
    <w:p>
      <w:pPr>
        <w:spacing w:after="0" w:line="360" w:lineRule="auto"/>
        <w:rPr>
          <w:rFonts w:ascii="Times New Roman" w:hAnsi="Times New Roman" w:cs="Times New Roman"/>
          <w:noProof/>
          <w:sz w:val="24"/>
          <w:szCs w:val="24"/>
        </w:rPr>
      </w:pPr>
    </w:p>
    <w:p>
      <w:pPr>
        <w:rPr>
          <w:rFonts w:ascii="Times New Roman" w:hAnsi="Times New Roman" w:cs="Times New Roman"/>
          <w:noProof/>
          <w:sz w:val="24"/>
          <w:szCs w:val="24"/>
          <w:highlight w:val="yellow"/>
        </w:rPr>
      </w:pPr>
      <w:r>
        <w:rPr>
          <w:rFonts w:ascii="Times New Roman" w:hAnsi="Times New Roman" w:cs="Times New Roman"/>
          <w:noProof/>
          <w:sz w:val="24"/>
          <w:szCs w:val="24"/>
        </w:rPr>
        <w:br w:type="page"/>
      </w: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Срокове: тези разпоредби от Директива 91/676/ЕИО започват да се прилагат в срок от 4 години след влизане в сила на настоящото споразумение.</w:t>
      </w:r>
    </w:p>
    <w:p>
      <w:pPr>
        <w:spacing w:after="0" w:line="360" w:lineRule="auto"/>
        <w:rPr>
          <w:rFonts w:ascii="Times New Roman" w:hAnsi="Times New Roman" w:cs="Times New Roman"/>
          <w:noProof/>
          <w:sz w:val="24"/>
          <w:szCs w:val="24"/>
        </w:rPr>
      </w:pPr>
    </w:p>
    <w:p>
      <w:pPr>
        <w:spacing w:after="0" w:line="360" w:lineRule="auto"/>
        <w:ind w:left="567" w:hanging="567"/>
        <w:rPr>
          <w:rFonts w:ascii="Times New Roman" w:hAnsi="Times New Roman" w:cs="Times New Roman"/>
          <w:noProof/>
          <w:sz w:val="24"/>
          <w:szCs w:val="24"/>
        </w:rPr>
      </w:pPr>
      <w:r>
        <w:rPr>
          <w:rFonts w:ascii="Times New Roman" w:hAnsi="Times New Roman" w:cs="Times New Roman"/>
          <w:noProof/>
          <w:sz w:val="24"/>
          <w:szCs w:val="24"/>
        </w:rPr>
        <w:t>–</w:t>
      </w:r>
      <w:r>
        <w:rPr>
          <w:rFonts w:ascii="Times New Roman" w:hAnsi="Times New Roman" w:cs="Times New Roman"/>
          <w:noProof/>
          <w:sz w:val="24"/>
          <w:szCs w:val="24"/>
        </w:rPr>
        <w:tab/>
        <w:t>изготвяне на планове за действие и на кодекси за добри селскостопански практики за зони, уязвими по отношение на нитрати (членове 4 и 5)</w:t>
      </w:r>
    </w:p>
    <w:p>
      <w:pPr>
        <w:spacing w:after="0" w:line="360" w:lineRule="auto"/>
        <w:rPr>
          <w:rFonts w:ascii="Times New Roman" w:hAnsi="Times New Roman" w:cs="Times New Roman"/>
          <w:noProof/>
          <w:sz w:val="24"/>
          <w:szCs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Срокове: тези разпоредби от Директива 91/676/ЕИО започват да се прилагат в срок от 8 години след влизане в сила на настоящото споразумение.</w:t>
      </w:r>
    </w:p>
    <w:p>
      <w:pPr>
        <w:spacing w:after="0" w:line="360" w:lineRule="auto"/>
        <w:rPr>
          <w:rFonts w:ascii="Times New Roman" w:hAnsi="Times New Roman" w:cs="Times New Roman"/>
          <w:noProof/>
          <w:sz w:val="24"/>
          <w:szCs w:val="24"/>
        </w:rPr>
      </w:pPr>
    </w:p>
    <w:p>
      <w:pP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Управление на водите</w:t>
      </w:r>
    </w:p>
    <w:p>
      <w:pPr>
        <w:spacing w:after="0" w:line="360" w:lineRule="auto"/>
        <w:rPr>
          <w:rFonts w:ascii="Times New Roman" w:hAnsi="Times New Roman" w:cs="Times New Roman"/>
          <w:noProof/>
          <w:sz w:val="24"/>
          <w:szCs w:val="24"/>
        </w:rPr>
      </w:pPr>
    </w:p>
    <w:p>
      <w:pP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Директива 2008/98/ЕО на Европейския парламент и на Съвета от 19 ноември 2008 г. относно отпадъците и за отмяна на определени директиви</w:t>
      </w:r>
    </w:p>
    <w:p>
      <w:pPr>
        <w:spacing w:after="0" w:line="360" w:lineRule="auto"/>
        <w:rPr>
          <w:rFonts w:ascii="Times New Roman" w:hAnsi="Times New Roman" w:cs="Times New Roman"/>
          <w:noProof/>
          <w:sz w:val="24"/>
          <w:szCs w:val="24"/>
        </w:rPr>
      </w:pPr>
    </w:p>
    <w:p>
      <w:pP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От тази директива се прилагат посочените по-долу разпоредби:</w:t>
      </w:r>
    </w:p>
    <w:p>
      <w:pPr>
        <w:spacing w:after="0" w:line="360" w:lineRule="auto"/>
        <w:rPr>
          <w:rFonts w:ascii="Times New Roman" w:hAnsi="Times New Roman" w:cs="Times New Roman"/>
          <w:noProof/>
          <w:sz w:val="24"/>
          <w:szCs w:val="24"/>
        </w:rPr>
      </w:pPr>
    </w:p>
    <w:p>
      <w:pPr>
        <w:spacing w:after="0" w:line="360" w:lineRule="auto"/>
        <w:ind w:left="567" w:hanging="567"/>
        <w:rPr>
          <w:rFonts w:ascii="Times New Roman" w:hAnsi="Times New Roman" w:cs="Times New Roman"/>
          <w:noProof/>
          <w:sz w:val="24"/>
          <w:szCs w:val="24"/>
        </w:rPr>
      </w:pPr>
      <w:r>
        <w:rPr>
          <w:rFonts w:ascii="Times New Roman" w:hAnsi="Times New Roman" w:cs="Times New Roman"/>
          <w:noProof/>
          <w:sz w:val="24"/>
          <w:szCs w:val="24"/>
        </w:rPr>
        <w:t>–</w:t>
      </w:r>
      <w:r>
        <w:rPr>
          <w:rFonts w:ascii="Times New Roman" w:hAnsi="Times New Roman" w:cs="Times New Roman"/>
          <w:noProof/>
          <w:sz w:val="24"/>
          <w:szCs w:val="24"/>
        </w:rPr>
        <w:tab/>
        <w:t>приемане на национално законодателство и определяне на компетентен(и) орган(и)</w:t>
      </w:r>
    </w:p>
    <w:p>
      <w:pPr>
        <w:spacing w:after="0" w:line="360" w:lineRule="auto"/>
        <w:ind w:left="567" w:hanging="567"/>
        <w:rPr>
          <w:rFonts w:ascii="Times New Roman" w:hAnsi="Times New Roman" w:cs="Times New Roman"/>
          <w:noProof/>
          <w:sz w:val="24"/>
          <w:szCs w:val="24"/>
        </w:rPr>
      </w:pPr>
    </w:p>
    <w:p>
      <w:pPr>
        <w:spacing w:after="0" w:line="360" w:lineRule="auto"/>
        <w:ind w:left="567" w:hanging="567"/>
        <w:rPr>
          <w:rFonts w:ascii="Times New Roman" w:hAnsi="Times New Roman" w:cs="Times New Roman"/>
          <w:noProof/>
          <w:sz w:val="24"/>
          <w:szCs w:val="24"/>
        </w:rPr>
      </w:pPr>
      <w:bookmarkStart w:id="47" w:name="bookmark74"/>
      <w:r>
        <w:rPr>
          <w:rFonts w:ascii="Times New Roman" w:hAnsi="Times New Roman" w:cs="Times New Roman"/>
          <w:noProof/>
          <w:sz w:val="24"/>
          <w:szCs w:val="24"/>
        </w:rPr>
        <w:t>–</w:t>
      </w:r>
      <w:r>
        <w:rPr>
          <w:rFonts w:ascii="Times New Roman" w:hAnsi="Times New Roman" w:cs="Times New Roman"/>
          <w:noProof/>
          <w:sz w:val="24"/>
          <w:szCs w:val="24"/>
        </w:rPr>
        <w:tab/>
        <w:t>изготвяне на планове за управление на отпадъците в съответствие с петстепенната йерархия на отпадъците и на програми за предотвратяване на образуването на отпадъци (глава V)</w:t>
      </w:r>
      <w:bookmarkEnd w:id="47"/>
    </w:p>
    <w:p>
      <w:pPr>
        <w:spacing w:after="0" w:line="360" w:lineRule="auto"/>
        <w:rPr>
          <w:rFonts w:ascii="Times New Roman" w:hAnsi="Times New Roman" w:cs="Times New Roman"/>
          <w:noProof/>
          <w:sz w:val="24"/>
          <w:szCs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Срокове: тези разпоредби от Директива 2008/98/ЕО започват да се прилагат в срок от 4 години след влизане в сила на настоящото споразумение.</w:t>
      </w:r>
    </w:p>
    <w:p>
      <w:pPr>
        <w:spacing w:after="0" w:line="360" w:lineRule="auto"/>
        <w:rPr>
          <w:rFonts w:ascii="Times New Roman" w:hAnsi="Times New Roman" w:cs="Times New Roman"/>
          <w:noProof/>
          <w:sz w:val="24"/>
          <w:szCs w:val="24"/>
        </w:rPr>
      </w:pPr>
    </w:p>
    <w:p>
      <w:pPr>
        <w:spacing w:after="0" w:line="360" w:lineRule="auto"/>
        <w:ind w:left="567" w:hanging="567"/>
        <w:rPr>
          <w:rFonts w:ascii="Times New Roman" w:hAnsi="Times New Roman" w:cs="Times New Roman"/>
          <w:noProof/>
          <w:sz w:val="24"/>
          <w:szCs w:val="24"/>
        </w:rPr>
      </w:pPr>
      <w:r>
        <w:rPr>
          <w:rFonts w:ascii="Times New Roman" w:hAnsi="Times New Roman" w:cs="Times New Roman"/>
          <w:noProof/>
          <w:sz w:val="24"/>
          <w:szCs w:val="24"/>
        </w:rPr>
        <w:t>–</w:t>
      </w:r>
      <w:r>
        <w:rPr>
          <w:rFonts w:ascii="Times New Roman" w:hAnsi="Times New Roman" w:cs="Times New Roman"/>
          <w:noProof/>
          <w:sz w:val="24"/>
          <w:szCs w:val="24"/>
        </w:rPr>
        <w:tab/>
        <w:t>изготвяне на механизъм за пълно възстановяване на разходите за управление на отпадъците в съответствие с принципа „замърсителят плаща“ и принципа на разширена отговорност на производителя (член 14)</w:t>
      </w:r>
    </w:p>
    <w:p>
      <w:pPr>
        <w:spacing w:after="0" w:line="360" w:lineRule="auto"/>
        <w:ind w:left="567" w:hanging="567"/>
        <w:rPr>
          <w:rFonts w:ascii="Times New Roman" w:hAnsi="Times New Roman" w:cs="Times New Roman"/>
          <w:noProof/>
          <w:sz w:val="24"/>
          <w:szCs w:val="24"/>
          <w:highlight w:val="green"/>
        </w:rPr>
      </w:pPr>
    </w:p>
    <w:p>
      <w:pPr>
        <w:rPr>
          <w:rFonts w:ascii="Times New Roman" w:hAnsi="Times New Roman" w:cs="Times New Roman"/>
          <w:noProof/>
          <w:sz w:val="24"/>
          <w:szCs w:val="24"/>
          <w:highlight w:val="yellow"/>
        </w:rPr>
      </w:pPr>
      <w:r>
        <w:rPr>
          <w:rFonts w:ascii="Times New Roman" w:hAnsi="Times New Roman" w:cs="Times New Roman"/>
          <w:noProof/>
          <w:sz w:val="24"/>
          <w:szCs w:val="24"/>
        </w:rPr>
        <w:br w:type="page"/>
      </w: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Срокове: тези разпоредби от Директива 2008/98/ЕО започват да се прилагат в срок от 6 години след влизане в сила на настоящото споразумение.</w:t>
      </w:r>
    </w:p>
    <w:p>
      <w:pPr>
        <w:spacing w:after="0" w:line="360" w:lineRule="auto"/>
        <w:ind w:left="567" w:hanging="567"/>
        <w:rPr>
          <w:rFonts w:ascii="Times New Roman" w:hAnsi="Times New Roman" w:cs="Times New Roman"/>
          <w:noProof/>
          <w:sz w:val="24"/>
          <w:szCs w:val="24"/>
        </w:rPr>
      </w:pPr>
    </w:p>
    <w:p>
      <w:pPr>
        <w:spacing w:after="0" w:line="360" w:lineRule="auto"/>
        <w:ind w:left="567" w:hanging="567"/>
        <w:rPr>
          <w:rFonts w:ascii="Times New Roman" w:hAnsi="Times New Roman" w:cs="Times New Roman"/>
          <w:noProof/>
          <w:sz w:val="24"/>
          <w:szCs w:val="24"/>
        </w:rPr>
      </w:pPr>
      <w:r>
        <w:rPr>
          <w:rFonts w:ascii="Times New Roman" w:hAnsi="Times New Roman" w:cs="Times New Roman"/>
          <w:noProof/>
          <w:sz w:val="24"/>
          <w:szCs w:val="24"/>
        </w:rPr>
        <w:t>–</w:t>
      </w:r>
      <w:r>
        <w:rPr>
          <w:rFonts w:ascii="Times New Roman" w:hAnsi="Times New Roman" w:cs="Times New Roman"/>
          <w:noProof/>
          <w:sz w:val="24"/>
          <w:szCs w:val="24"/>
        </w:rPr>
        <w:tab/>
        <w:t>изготвяне на система за предоставяне на разрешения на организации/предприятия, извършващи операции за обезвреждане или оползотворяване, със специални задължения за управление на опасни отпадъци (глава IV)</w:t>
      </w:r>
    </w:p>
    <w:p>
      <w:pPr>
        <w:spacing w:after="0" w:line="360" w:lineRule="auto"/>
        <w:ind w:left="567" w:hanging="567"/>
        <w:rPr>
          <w:rFonts w:ascii="Times New Roman" w:hAnsi="Times New Roman" w:cs="Times New Roman"/>
          <w:noProof/>
          <w:sz w:val="24"/>
          <w:szCs w:val="24"/>
        </w:rPr>
      </w:pPr>
    </w:p>
    <w:p>
      <w:pPr>
        <w:spacing w:after="0" w:line="360" w:lineRule="auto"/>
        <w:ind w:left="567" w:hanging="567"/>
        <w:rPr>
          <w:rFonts w:ascii="Times New Roman" w:hAnsi="Times New Roman" w:cs="Times New Roman"/>
          <w:noProof/>
          <w:sz w:val="24"/>
          <w:szCs w:val="24"/>
        </w:rPr>
      </w:pPr>
      <w:r>
        <w:rPr>
          <w:rFonts w:ascii="Times New Roman" w:hAnsi="Times New Roman" w:cs="Times New Roman"/>
          <w:noProof/>
          <w:sz w:val="24"/>
          <w:szCs w:val="24"/>
        </w:rPr>
        <w:t>–</w:t>
      </w:r>
      <w:r>
        <w:rPr>
          <w:rFonts w:ascii="Times New Roman" w:hAnsi="Times New Roman" w:cs="Times New Roman"/>
          <w:noProof/>
          <w:sz w:val="24"/>
          <w:szCs w:val="24"/>
        </w:rPr>
        <w:tab/>
        <w:t>създаване на регистър на организации или предприятия, които събират или превозват отпадъци (глава IV)</w:t>
      </w:r>
    </w:p>
    <w:p>
      <w:pPr>
        <w:spacing w:after="0" w:line="360" w:lineRule="auto"/>
        <w:ind w:left="567" w:hanging="567"/>
        <w:rPr>
          <w:rFonts w:ascii="Times New Roman" w:hAnsi="Times New Roman" w:cs="Times New Roman"/>
          <w:noProof/>
          <w:sz w:val="24"/>
          <w:szCs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Срокове: тези разпоредби от Директива 2008/98/ЕО започват да се прилагат в срок от 4 години след влизане в сила на настоящото споразумение.</w:t>
      </w:r>
    </w:p>
    <w:p>
      <w:pPr>
        <w:spacing w:after="0" w:line="360" w:lineRule="auto"/>
        <w:rPr>
          <w:rFonts w:ascii="Times New Roman" w:hAnsi="Times New Roman" w:cs="Times New Roman"/>
          <w:noProof/>
          <w:sz w:val="24"/>
          <w:szCs w:val="24"/>
        </w:rPr>
      </w:pPr>
    </w:p>
    <w:p>
      <w:pP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Директива 1999/31/ЕО на Съвета от 26 април 1999 г. относно депонирането на отпадъци, изменена</w:t>
      </w:r>
    </w:p>
    <w:p>
      <w:pPr>
        <w:spacing w:after="0" w:line="360" w:lineRule="auto"/>
        <w:rPr>
          <w:rFonts w:ascii="Times New Roman" w:hAnsi="Times New Roman" w:cs="Times New Roman"/>
          <w:noProof/>
          <w:sz w:val="24"/>
          <w:szCs w:val="24"/>
        </w:rPr>
      </w:pPr>
    </w:p>
    <w:p>
      <w:pP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От тази директива се прилагат посочените по-долу разпоредби:</w:t>
      </w:r>
    </w:p>
    <w:p>
      <w:pPr>
        <w:spacing w:after="0" w:line="360" w:lineRule="auto"/>
        <w:rPr>
          <w:rFonts w:ascii="Times New Roman" w:hAnsi="Times New Roman" w:cs="Times New Roman"/>
          <w:noProof/>
          <w:sz w:val="24"/>
          <w:szCs w:val="24"/>
        </w:rPr>
      </w:pPr>
    </w:p>
    <w:p>
      <w:pPr>
        <w:spacing w:after="0" w:line="360" w:lineRule="auto"/>
        <w:ind w:left="567" w:hanging="567"/>
        <w:rPr>
          <w:rFonts w:ascii="Times New Roman" w:hAnsi="Times New Roman" w:cs="Times New Roman"/>
          <w:noProof/>
          <w:sz w:val="24"/>
          <w:szCs w:val="24"/>
        </w:rPr>
      </w:pPr>
      <w:r>
        <w:rPr>
          <w:rFonts w:ascii="Times New Roman" w:hAnsi="Times New Roman" w:cs="Times New Roman"/>
          <w:noProof/>
          <w:sz w:val="24"/>
          <w:szCs w:val="24"/>
        </w:rPr>
        <w:t>–</w:t>
      </w:r>
      <w:r>
        <w:rPr>
          <w:rFonts w:ascii="Times New Roman" w:hAnsi="Times New Roman" w:cs="Times New Roman"/>
          <w:noProof/>
          <w:sz w:val="24"/>
          <w:szCs w:val="24"/>
        </w:rPr>
        <w:tab/>
        <w:t>приемане на национално законодателство и определяне на компетентен(и) орган(и)</w:t>
      </w:r>
    </w:p>
    <w:p>
      <w:pPr>
        <w:spacing w:after="0" w:line="360" w:lineRule="auto"/>
        <w:ind w:left="567" w:hanging="567"/>
        <w:rPr>
          <w:rFonts w:ascii="Times New Roman" w:hAnsi="Times New Roman" w:cs="Times New Roman"/>
          <w:noProof/>
          <w:sz w:val="24"/>
          <w:szCs w:val="24"/>
        </w:rPr>
      </w:pPr>
    </w:p>
    <w:p>
      <w:pPr>
        <w:spacing w:after="0" w:line="360" w:lineRule="auto"/>
        <w:ind w:left="567" w:hanging="567"/>
        <w:rPr>
          <w:rFonts w:ascii="Times New Roman" w:hAnsi="Times New Roman" w:cs="Times New Roman"/>
          <w:noProof/>
          <w:sz w:val="24"/>
          <w:szCs w:val="24"/>
        </w:rPr>
      </w:pPr>
      <w:r>
        <w:rPr>
          <w:rFonts w:ascii="Times New Roman" w:hAnsi="Times New Roman" w:cs="Times New Roman"/>
          <w:noProof/>
          <w:sz w:val="24"/>
          <w:szCs w:val="24"/>
        </w:rPr>
        <w:t>–</w:t>
      </w:r>
      <w:r>
        <w:rPr>
          <w:rFonts w:ascii="Times New Roman" w:hAnsi="Times New Roman" w:cs="Times New Roman"/>
          <w:noProof/>
          <w:sz w:val="24"/>
          <w:szCs w:val="24"/>
        </w:rPr>
        <w:tab/>
        <w:t>класификация на категории депа (член 4)</w:t>
      </w:r>
    </w:p>
    <w:p>
      <w:pPr>
        <w:spacing w:after="0" w:line="360" w:lineRule="auto"/>
        <w:ind w:left="567" w:hanging="567"/>
        <w:rPr>
          <w:rFonts w:ascii="Times New Roman" w:hAnsi="Times New Roman" w:cs="Times New Roman"/>
          <w:noProof/>
          <w:sz w:val="24"/>
          <w:szCs w:val="24"/>
        </w:rPr>
      </w:pPr>
    </w:p>
    <w:p>
      <w:pPr>
        <w:spacing w:after="0" w:line="360" w:lineRule="auto"/>
        <w:ind w:left="567" w:hanging="567"/>
        <w:rPr>
          <w:rFonts w:ascii="Times New Roman" w:hAnsi="Times New Roman" w:cs="Times New Roman"/>
          <w:noProof/>
          <w:sz w:val="24"/>
          <w:szCs w:val="24"/>
        </w:rPr>
      </w:pPr>
      <w:r>
        <w:rPr>
          <w:rFonts w:ascii="Times New Roman" w:hAnsi="Times New Roman" w:cs="Times New Roman"/>
          <w:noProof/>
          <w:sz w:val="24"/>
          <w:szCs w:val="24"/>
        </w:rPr>
        <w:t>–</w:t>
      </w:r>
      <w:r>
        <w:rPr>
          <w:rFonts w:ascii="Times New Roman" w:hAnsi="Times New Roman" w:cs="Times New Roman"/>
          <w:noProof/>
          <w:sz w:val="24"/>
          <w:szCs w:val="24"/>
        </w:rPr>
        <w:tab/>
        <w:t>изготвяне на национална стратегия за намаляване на биоразградимите общински отпадъци, които постъпват в депата (член 5)</w:t>
      </w:r>
    </w:p>
    <w:p>
      <w:pPr>
        <w:spacing w:after="0" w:line="360" w:lineRule="auto"/>
        <w:ind w:left="567" w:hanging="567"/>
        <w:rPr>
          <w:rFonts w:ascii="Times New Roman" w:hAnsi="Times New Roman" w:cs="Times New Roman"/>
          <w:noProof/>
          <w:sz w:val="24"/>
          <w:szCs w:val="24"/>
        </w:rPr>
      </w:pPr>
    </w:p>
    <w:p>
      <w:pPr>
        <w:spacing w:after="0" w:line="360" w:lineRule="auto"/>
        <w:ind w:left="567" w:hanging="567"/>
        <w:rPr>
          <w:rFonts w:ascii="Times New Roman" w:hAnsi="Times New Roman" w:cs="Times New Roman"/>
          <w:noProof/>
          <w:sz w:val="24"/>
          <w:szCs w:val="24"/>
        </w:rPr>
      </w:pPr>
      <w:r>
        <w:rPr>
          <w:rFonts w:ascii="Times New Roman" w:hAnsi="Times New Roman" w:cs="Times New Roman"/>
          <w:noProof/>
          <w:sz w:val="24"/>
          <w:szCs w:val="24"/>
        </w:rPr>
        <w:t>–</w:t>
      </w:r>
      <w:r>
        <w:rPr>
          <w:rFonts w:ascii="Times New Roman" w:hAnsi="Times New Roman" w:cs="Times New Roman"/>
          <w:noProof/>
          <w:sz w:val="24"/>
          <w:szCs w:val="24"/>
        </w:rPr>
        <w:tab/>
        <w:t>създаване на система за заявления и разрешения и на процедури по приемане на отпадъците (членове 5—7, 11, 12 и 14)</w:t>
      </w:r>
    </w:p>
    <w:p>
      <w:pPr>
        <w:spacing w:after="0" w:line="360" w:lineRule="auto"/>
        <w:ind w:left="567" w:hanging="567"/>
        <w:rPr>
          <w:rFonts w:ascii="Times New Roman" w:hAnsi="Times New Roman" w:cs="Times New Roman"/>
          <w:noProof/>
          <w:sz w:val="24"/>
          <w:szCs w:val="24"/>
        </w:rPr>
      </w:pPr>
    </w:p>
    <w:p>
      <w:pPr>
        <w:rPr>
          <w:rFonts w:ascii="Times New Roman" w:hAnsi="Times New Roman" w:cs="Times New Roman"/>
          <w:noProof/>
          <w:sz w:val="24"/>
          <w:szCs w:val="24"/>
          <w:highlight w:val="green"/>
        </w:rPr>
      </w:pPr>
      <w:r>
        <w:rPr>
          <w:rFonts w:ascii="Times New Roman" w:hAnsi="Times New Roman" w:cs="Times New Roman"/>
          <w:noProof/>
          <w:sz w:val="24"/>
          <w:szCs w:val="24"/>
        </w:rPr>
        <w:br w:type="page"/>
      </w:r>
    </w:p>
    <w:p>
      <w:pPr>
        <w:spacing w:after="0" w:line="360" w:lineRule="auto"/>
        <w:ind w:left="567" w:hanging="567"/>
        <w:rPr>
          <w:rFonts w:ascii="Times New Roman" w:hAnsi="Times New Roman" w:cs="Times New Roman"/>
          <w:noProof/>
          <w:sz w:val="24"/>
          <w:szCs w:val="24"/>
        </w:rPr>
      </w:pPr>
      <w:r>
        <w:rPr>
          <w:rFonts w:ascii="Times New Roman" w:hAnsi="Times New Roman" w:cs="Times New Roman"/>
          <w:noProof/>
          <w:sz w:val="24"/>
          <w:szCs w:val="24"/>
        </w:rPr>
        <w:t>–</w:t>
      </w:r>
      <w:r>
        <w:rPr>
          <w:rFonts w:ascii="Times New Roman" w:hAnsi="Times New Roman" w:cs="Times New Roman"/>
          <w:noProof/>
          <w:sz w:val="24"/>
          <w:szCs w:val="24"/>
        </w:rPr>
        <w:tab/>
        <w:t>създаване на процедури по контрол и мониторинг през фазата на експлоатация и на процедури по закриване и последващи грижи за депа, които ще бъдат закрити (членове 12 и 13)</w:t>
      </w:r>
    </w:p>
    <w:p>
      <w:pPr>
        <w:spacing w:after="0" w:line="360" w:lineRule="auto"/>
        <w:ind w:left="567" w:hanging="567"/>
        <w:rPr>
          <w:rFonts w:ascii="Times New Roman" w:hAnsi="Times New Roman" w:cs="Times New Roman"/>
          <w:noProof/>
          <w:sz w:val="24"/>
          <w:szCs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Срокове: тези разпоредби на Директивата започват да се прилагат в срок от 3 години след влизане в сила на настоящото споразумение.</w:t>
      </w:r>
    </w:p>
    <w:p>
      <w:pPr>
        <w:spacing w:after="0" w:line="360" w:lineRule="auto"/>
        <w:rPr>
          <w:rFonts w:ascii="Times New Roman" w:hAnsi="Times New Roman" w:cs="Times New Roman"/>
          <w:noProof/>
          <w:sz w:val="24"/>
          <w:szCs w:val="24"/>
        </w:rPr>
      </w:pPr>
    </w:p>
    <w:p>
      <w:pPr>
        <w:spacing w:after="0" w:line="360" w:lineRule="auto"/>
        <w:ind w:left="567" w:hanging="567"/>
        <w:rPr>
          <w:rFonts w:ascii="Times New Roman" w:hAnsi="Times New Roman" w:cs="Times New Roman"/>
          <w:noProof/>
          <w:sz w:val="24"/>
          <w:szCs w:val="24"/>
        </w:rPr>
      </w:pPr>
      <w:r>
        <w:rPr>
          <w:rFonts w:ascii="Times New Roman" w:hAnsi="Times New Roman" w:cs="Times New Roman"/>
          <w:noProof/>
          <w:sz w:val="24"/>
          <w:szCs w:val="24"/>
        </w:rPr>
        <w:t>–</w:t>
      </w:r>
      <w:r>
        <w:rPr>
          <w:rFonts w:ascii="Times New Roman" w:hAnsi="Times New Roman" w:cs="Times New Roman"/>
          <w:noProof/>
          <w:sz w:val="24"/>
          <w:szCs w:val="24"/>
        </w:rPr>
        <w:tab/>
        <w:t>създаване на планове за подобряване на условията в съществуващи депа (член 14)</w:t>
      </w:r>
    </w:p>
    <w:p>
      <w:pPr>
        <w:spacing w:after="0" w:line="360" w:lineRule="auto"/>
        <w:rPr>
          <w:rFonts w:ascii="Times New Roman" w:hAnsi="Times New Roman" w:cs="Times New Roman"/>
          <w:noProof/>
          <w:sz w:val="24"/>
          <w:szCs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Срокове: тези разпоредби от Директива 1999/31/ЕО започват да се прилагат в срок от 6 години след влизане в сила на настоящото споразумение.</w:t>
      </w:r>
    </w:p>
    <w:p>
      <w:pPr>
        <w:spacing w:after="0" w:line="360" w:lineRule="auto"/>
        <w:rPr>
          <w:rFonts w:ascii="Times New Roman" w:hAnsi="Times New Roman" w:cs="Times New Roman"/>
          <w:noProof/>
          <w:sz w:val="24"/>
          <w:szCs w:val="24"/>
        </w:rPr>
      </w:pPr>
    </w:p>
    <w:p>
      <w:pPr>
        <w:spacing w:after="0" w:line="360" w:lineRule="auto"/>
        <w:ind w:left="567" w:hanging="567"/>
        <w:rPr>
          <w:rFonts w:ascii="Times New Roman" w:hAnsi="Times New Roman" w:cs="Times New Roman"/>
          <w:noProof/>
          <w:sz w:val="24"/>
          <w:szCs w:val="24"/>
        </w:rPr>
      </w:pPr>
      <w:r>
        <w:rPr>
          <w:rFonts w:ascii="Times New Roman" w:hAnsi="Times New Roman" w:cs="Times New Roman"/>
          <w:noProof/>
          <w:sz w:val="24"/>
          <w:szCs w:val="24"/>
        </w:rPr>
        <w:t>–</w:t>
      </w:r>
      <w:r>
        <w:rPr>
          <w:rFonts w:ascii="Times New Roman" w:hAnsi="Times New Roman" w:cs="Times New Roman"/>
          <w:noProof/>
          <w:sz w:val="24"/>
          <w:szCs w:val="24"/>
        </w:rPr>
        <w:tab/>
        <w:t>създаване на механизъм за разходите (член 10)</w:t>
      </w:r>
    </w:p>
    <w:p>
      <w:pPr>
        <w:spacing w:after="0" w:line="360" w:lineRule="auto"/>
        <w:rPr>
          <w:rFonts w:ascii="Times New Roman" w:hAnsi="Times New Roman" w:cs="Times New Roman"/>
          <w:noProof/>
          <w:sz w:val="24"/>
          <w:szCs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Срокове: тези разпоредби от Директива 1999/31/ЕО започват да се прилагат в срок от 3 години след влизане в сила на настоящото споразумение.</w:t>
      </w:r>
    </w:p>
    <w:p>
      <w:pPr>
        <w:spacing w:after="0" w:line="360" w:lineRule="auto"/>
        <w:ind w:left="567" w:hanging="567"/>
        <w:rPr>
          <w:rFonts w:ascii="Times New Roman" w:hAnsi="Times New Roman" w:cs="Times New Roman"/>
          <w:noProof/>
          <w:sz w:val="24"/>
          <w:szCs w:val="24"/>
        </w:rPr>
      </w:pPr>
    </w:p>
    <w:p>
      <w:pPr>
        <w:spacing w:after="0" w:line="360" w:lineRule="auto"/>
        <w:ind w:left="567" w:hanging="567"/>
        <w:rPr>
          <w:rFonts w:ascii="Times New Roman" w:hAnsi="Times New Roman" w:cs="Times New Roman"/>
          <w:noProof/>
          <w:sz w:val="24"/>
          <w:szCs w:val="24"/>
        </w:rPr>
      </w:pPr>
      <w:r>
        <w:rPr>
          <w:rFonts w:ascii="Times New Roman" w:hAnsi="Times New Roman" w:cs="Times New Roman"/>
          <w:noProof/>
          <w:sz w:val="24"/>
          <w:szCs w:val="24"/>
        </w:rPr>
        <w:t>–</w:t>
      </w:r>
      <w:r>
        <w:rPr>
          <w:rFonts w:ascii="Times New Roman" w:hAnsi="Times New Roman" w:cs="Times New Roman"/>
          <w:noProof/>
          <w:sz w:val="24"/>
          <w:szCs w:val="24"/>
        </w:rPr>
        <w:tab/>
        <w:t>гарантиране, че съответните отпадъци подлежат на преработка преди приемането в депо (член 6)</w:t>
      </w:r>
    </w:p>
    <w:p>
      <w:pPr>
        <w:spacing w:after="0" w:line="360" w:lineRule="auto"/>
        <w:rPr>
          <w:rFonts w:ascii="Times New Roman" w:hAnsi="Times New Roman" w:cs="Times New Roman"/>
          <w:noProof/>
          <w:sz w:val="24"/>
          <w:szCs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Срокове: тези разпоредби от Директива 1999/31/ЕО започват да се прилагат в срок от 6 години след влизане в сила на настоящото споразумение.</w:t>
      </w:r>
    </w:p>
    <w:p>
      <w:pPr>
        <w:spacing w:after="0" w:line="360" w:lineRule="auto"/>
        <w:rPr>
          <w:rFonts w:ascii="Times New Roman" w:hAnsi="Times New Roman" w:cs="Times New Roman"/>
          <w:noProof/>
          <w:sz w:val="24"/>
          <w:szCs w:val="24"/>
        </w:rPr>
      </w:pPr>
    </w:p>
    <w:p>
      <w:pP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Директива 2006/21/ЕО на Европейския парламент и на Съвета от 15 март 2006 г. относно управлението на отпадъците от миннодобивните индустрии и за изменение на Директива 2004/35/ЕО, доразвита с решения 2009/335/EО, 2009/337/EО, 2009/359/EО и 2009/360/EО</w:t>
      </w:r>
    </w:p>
    <w:p>
      <w:pPr>
        <w:spacing w:after="0" w:line="360" w:lineRule="auto"/>
        <w:rPr>
          <w:rFonts w:ascii="Times New Roman" w:hAnsi="Times New Roman" w:cs="Times New Roman"/>
          <w:noProof/>
          <w:sz w:val="24"/>
          <w:szCs w:val="24"/>
        </w:rPr>
      </w:pPr>
    </w:p>
    <w:p>
      <w:pPr>
        <w:rPr>
          <w:rFonts w:ascii="Times New Roman" w:hAnsi="Times New Roman" w:cs="Times New Roman"/>
          <w:noProof/>
          <w:sz w:val="24"/>
          <w:szCs w:val="24"/>
        </w:rPr>
      </w:pPr>
      <w:r>
        <w:rPr>
          <w:rFonts w:ascii="Times New Roman" w:hAnsi="Times New Roman" w:cs="Times New Roman"/>
          <w:noProof/>
          <w:sz w:val="24"/>
          <w:szCs w:val="24"/>
        </w:rPr>
        <w:br w:type="page"/>
      </w:r>
    </w:p>
    <w:p>
      <w:pP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От тази директива се прилагат посочените по-долу разпоредби:</w:t>
      </w:r>
    </w:p>
    <w:p>
      <w:pPr>
        <w:spacing w:after="0" w:line="360" w:lineRule="auto"/>
        <w:rPr>
          <w:rFonts w:ascii="Times New Roman" w:hAnsi="Times New Roman" w:cs="Times New Roman"/>
          <w:noProof/>
          <w:sz w:val="24"/>
          <w:szCs w:val="24"/>
        </w:rPr>
      </w:pPr>
    </w:p>
    <w:p>
      <w:pPr>
        <w:spacing w:after="0" w:line="360" w:lineRule="auto"/>
        <w:ind w:left="567" w:hanging="567"/>
        <w:rPr>
          <w:rFonts w:ascii="Times New Roman" w:hAnsi="Times New Roman" w:cs="Times New Roman"/>
          <w:noProof/>
          <w:sz w:val="24"/>
          <w:szCs w:val="24"/>
        </w:rPr>
      </w:pPr>
      <w:r>
        <w:rPr>
          <w:rFonts w:ascii="Times New Roman" w:hAnsi="Times New Roman" w:cs="Times New Roman"/>
          <w:noProof/>
          <w:sz w:val="24"/>
          <w:szCs w:val="24"/>
        </w:rPr>
        <w:t>–</w:t>
      </w:r>
      <w:r>
        <w:rPr>
          <w:rFonts w:ascii="Times New Roman" w:hAnsi="Times New Roman" w:cs="Times New Roman"/>
          <w:noProof/>
          <w:sz w:val="24"/>
          <w:szCs w:val="24"/>
        </w:rPr>
        <w:tab/>
        <w:t>приемане на национално законодателство и определяне на компетентен(и) орган(и)</w:t>
      </w:r>
    </w:p>
    <w:p>
      <w:pPr>
        <w:spacing w:after="0" w:line="360" w:lineRule="auto"/>
        <w:rPr>
          <w:rFonts w:ascii="Times New Roman" w:hAnsi="Times New Roman" w:cs="Times New Roman"/>
          <w:noProof/>
          <w:sz w:val="24"/>
          <w:szCs w:val="24"/>
        </w:rPr>
      </w:pPr>
    </w:p>
    <w:p>
      <w:pPr>
        <w:spacing w:after="0" w:line="360" w:lineRule="auto"/>
        <w:ind w:left="567" w:hanging="567"/>
        <w:rPr>
          <w:rFonts w:ascii="Times New Roman" w:hAnsi="Times New Roman" w:cs="Times New Roman"/>
          <w:noProof/>
          <w:sz w:val="24"/>
          <w:szCs w:val="24"/>
        </w:rPr>
      </w:pPr>
      <w:r>
        <w:rPr>
          <w:rFonts w:ascii="Times New Roman" w:hAnsi="Times New Roman" w:cs="Times New Roman"/>
          <w:noProof/>
          <w:sz w:val="24"/>
          <w:szCs w:val="24"/>
        </w:rPr>
        <w:t>–</w:t>
      </w:r>
      <w:r>
        <w:rPr>
          <w:rFonts w:ascii="Times New Roman" w:hAnsi="Times New Roman" w:cs="Times New Roman"/>
          <w:noProof/>
          <w:sz w:val="24"/>
          <w:szCs w:val="24"/>
        </w:rPr>
        <w:tab/>
        <w:t>създаване на система за гарантиране, че операторите изготвят планове за управление на отпадъците (определяне и класификационна система за съоръженията за отпадъци; характеристика на отпадъците) (членове 4 и 9)</w:t>
      </w:r>
    </w:p>
    <w:p>
      <w:pPr>
        <w:spacing w:after="0" w:line="360" w:lineRule="auto"/>
        <w:rPr>
          <w:rFonts w:ascii="Times New Roman" w:hAnsi="Times New Roman" w:cs="Times New Roman"/>
          <w:noProof/>
          <w:sz w:val="24"/>
          <w:szCs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Срокове: тези разпоредби от Директива 2006/21/ЕО започват да се прилагат в срок от 4 години след влизане в сила на настоящото споразумение.</w:t>
      </w:r>
    </w:p>
    <w:p>
      <w:pPr>
        <w:spacing w:after="0" w:line="360" w:lineRule="auto"/>
        <w:rPr>
          <w:rFonts w:ascii="Times New Roman" w:hAnsi="Times New Roman" w:cs="Times New Roman"/>
          <w:noProof/>
          <w:sz w:val="24"/>
          <w:szCs w:val="24"/>
        </w:rPr>
      </w:pPr>
    </w:p>
    <w:p>
      <w:pPr>
        <w:spacing w:after="0" w:line="360" w:lineRule="auto"/>
        <w:ind w:left="567" w:hanging="567"/>
        <w:rPr>
          <w:rFonts w:ascii="Times New Roman" w:hAnsi="Times New Roman" w:cs="Times New Roman"/>
          <w:noProof/>
          <w:sz w:val="24"/>
          <w:szCs w:val="24"/>
        </w:rPr>
      </w:pPr>
      <w:r>
        <w:rPr>
          <w:rFonts w:ascii="Times New Roman" w:hAnsi="Times New Roman" w:cs="Times New Roman"/>
          <w:noProof/>
          <w:sz w:val="24"/>
          <w:szCs w:val="24"/>
        </w:rPr>
        <w:t>–</w:t>
      </w:r>
      <w:r>
        <w:rPr>
          <w:rFonts w:ascii="Times New Roman" w:hAnsi="Times New Roman" w:cs="Times New Roman"/>
          <w:noProof/>
          <w:sz w:val="24"/>
          <w:szCs w:val="24"/>
        </w:rPr>
        <w:tab/>
        <w:t>създаване на система за разрешителни, финансови гаранции и система за инспектиране (членове 7, 14 и 17)</w:t>
      </w:r>
    </w:p>
    <w:p>
      <w:pPr>
        <w:spacing w:after="0" w:line="360" w:lineRule="auto"/>
        <w:rPr>
          <w:rFonts w:ascii="Times New Roman" w:hAnsi="Times New Roman" w:cs="Times New Roman"/>
          <w:noProof/>
          <w:sz w:val="24"/>
          <w:szCs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Срокове: тези разпоредби от Директива 2006/21/ЕО започват да се прилагат в срок от 8 години след влизане в сила на настоящото споразумение.</w:t>
      </w:r>
    </w:p>
    <w:p>
      <w:pPr>
        <w:spacing w:after="0" w:line="360" w:lineRule="auto"/>
        <w:rPr>
          <w:rFonts w:ascii="Times New Roman" w:hAnsi="Times New Roman" w:cs="Times New Roman"/>
          <w:noProof/>
          <w:sz w:val="24"/>
          <w:szCs w:val="24"/>
        </w:rPr>
      </w:pPr>
    </w:p>
    <w:p>
      <w:pPr>
        <w:spacing w:after="0" w:line="360" w:lineRule="auto"/>
        <w:ind w:left="567" w:hanging="567"/>
        <w:rPr>
          <w:rFonts w:ascii="Times New Roman" w:hAnsi="Times New Roman" w:cs="Times New Roman"/>
          <w:noProof/>
          <w:spacing w:val="-4"/>
          <w:sz w:val="24"/>
          <w:szCs w:val="24"/>
        </w:rPr>
      </w:pPr>
      <w:r>
        <w:rPr>
          <w:rFonts w:ascii="Times New Roman" w:hAnsi="Times New Roman" w:cs="Times New Roman"/>
          <w:noProof/>
          <w:spacing w:val="-4"/>
          <w:sz w:val="24"/>
          <w:szCs w:val="24"/>
        </w:rPr>
        <w:t>–</w:t>
      </w:r>
      <w:r>
        <w:rPr>
          <w:rFonts w:ascii="Times New Roman" w:hAnsi="Times New Roman" w:cs="Times New Roman"/>
          <w:noProof/>
          <w:spacing w:val="-4"/>
          <w:sz w:val="24"/>
          <w:szCs w:val="24"/>
        </w:rPr>
        <w:tab/>
        <w:t>изготвяне на процедури за управление и мониторинг на екскавационни кухини (член 10)</w:t>
      </w:r>
    </w:p>
    <w:p>
      <w:pPr>
        <w:spacing w:after="0" w:line="360" w:lineRule="auto"/>
        <w:ind w:left="567" w:hanging="567"/>
        <w:rPr>
          <w:rFonts w:ascii="Times New Roman" w:hAnsi="Times New Roman" w:cs="Times New Roman"/>
          <w:noProof/>
          <w:sz w:val="24"/>
          <w:szCs w:val="24"/>
        </w:rPr>
      </w:pPr>
    </w:p>
    <w:p>
      <w:pPr>
        <w:spacing w:after="0" w:line="360" w:lineRule="auto"/>
        <w:ind w:left="567" w:hanging="567"/>
        <w:rPr>
          <w:rFonts w:ascii="Times New Roman" w:hAnsi="Times New Roman" w:cs="Times New Roman"/>
          <w:noProof/>
          <w:sz w:val="24"/>
          <w:szCs w:val="24"/>
        </w:rPr>
      </w:pPr>
      <w:r>
        <w:rPr>
          <w:rFonts w:ascii="Times New Roman" w:hAnsi="Times New Roman" w:cs="Times New Roman"/>
          <w:noProof/>
          <w:sz w:val="24"/>
          <w:szCs w:val="24"/>
        </w:rPr>
        <w:t>–</w:t>
      </w:r>
      <w:r>
        <w:rPr>
          <w:rFonts w:ascii="Times New Roman" w:hAnsi="Times New Roman" w:cs="Times New Roman"/>
          <w:noProof/>
          <w:sz w:val="24"/>
          <w:szCs w:val="24"/>
        </w:rPr>
        <w:tab/>
        <w:t>изготвяне на процедури за закриване и след закриването на съоръженията за отпадъци (член 12)</w:t>
      </w:r>
    </w:p>
    <w:p>
      <w:pPr>
        <w:spacing w:after="0" w:line="360" w:lineRule="auto"/>
        <w:ind w:left="567" w:hanging="567"/>
        <w:rPr>
          <w:rFonts w:ascii="Times New Roman" w:hAnsi="Times New Roman" w:cs="Times New Roman"/>
          <w:noProof/>
          <w:sz w:val="24"/>
          <w:szCs w:val="24"/>
        </w:rPr>
      </w:pPr>
    </w:p>
    <w:p>
      <w:pPr>
        <w:spacing w:after="0" w:line="360" w:lineRule="auto"/>
        <w:ind w:left="567" w:hanging="567"/>
        <w:rPr>
          <w:rFonts w:ascii="Times New Roman" w:hAnsi="Times New Roman" w:cs="Times New Roman"/>
          <w:noProof/>
          <w:sz w:val="24"/>
          <w:szCs w:val="24"/>
        </w:rPr>
      </w:pPr>
      <w:r>
        <w:rPr>
          <w:rFonts w:ascii="Times New Roman" w:hAnsi="Times New Roman" w:cs="Times New Roman"/>
          <w:noProof/>
          <w:sz w:val="24"/>
          <w:szCs w:val="24"/>
        </w:rPr>
        <w:t>–</w:t>
      </w:r>
      <w:r>
        <w:rPr>
          <w:rFonts w:ascii="Times New Roman" w:hAnsi="Times New Roman" w:cs="Times New Roman"/>
          <w:noProof/>
          <w:sz w:val="24"/>
          <w:szCs w:val="24"/>
        </w:rPr>
        <w:tab/>
        <w:t>изготвяне на опис на закритите съоръжения за минни отпадъци (член 20)</w:t>
      </w:r>
    </w:p>
    <w:p>
      <w:pPr>
        <w:spacing w:after="0" w:line="360" w:lineRule="auto"/>
        <w:rPr>
          <w:rFonts w:ascii="Times New Roman" w:hAnsi="Times New Roman" w:cs="Times New Roman"/>
          <w:noProof/>
          <w:sz w:val="24"/>
          <w:szCs w:val="24"/>
          <w:highlight w:val="green"/>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Срокове: тези разпоредби от Директива 2006/21/ЕО започват да се прилагат в срок от 6 години след влизане в сила на настоящото споразумение.</w:t>
      </w:r>
    </w:p>
    <w:p>
      <w:pPr>
        <w:spacing w:after="0" w:line="360" w:lineRule="auto"/>
        <w:rPr>
          <w:rFonts w:ascii="Times New Roman" w:hAnsi="Times New Roman" w:cs="Times New Roman"/>
          <w:noProof/>
          <w:sz w:val="24"/>
          <w:szCs w:val="24"/>
        </w:rPr>
      </w:pPr>
    </w:p>
    <w:p>
      <w:pPr>
        <w:rPr>
          <w:rFonts w:ascii="Times New Roman" w:hAnsi="Times New Roman" w:cs="Times New Roman"/>
          <w:noProof/>
          <w:sz w:val="24"/>
          <w:szCs w:val="24"/>
        </w:rPr>
      </w:pPr>
      <w:r>
        <w:rPr>
          <w:rFonts w:ascii="Times New Roman" w:hAnsi="Times New Roman" w:cs="Times New Roman"/>
          <w:noProof/>
          <w:sz w:val="24"/>
          <w:szCs w:val="24"/>
        </w:rPr>
        <w:br w:type="page"/>
      </w:r>
    </w:p>
    <w:p>
      <w:pP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Опазване на природата</w:t>
      </w:r>
    </w:p>
    <w:p>
      <w:pPr>
        <w:spacing w:after="0" w:line="360" w:lineRule="auto"/>
        <w:rPr>
          <w:rFonts w:ascii="Times New Roman" w:hAnsi="Times New Roman" w:cs="Times New Roman"/>
          <w:noProof/>
          <w:sz w:val="24"/>
          <w:szCs w:val="24"/>
        </w:rPr>
      </w:pPr>
    </w:p>
    <w:p>
      <w:pP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Директива 2009/147/ЕО на Европейския парламент и на Съвета от 30 ноември 2009 г. относно опазването на дивите птици</w:t>
      </w:r>
    </w:p>
    <w:p>
      <w:pPr>
        <w:spacing w:after="0" w:line="360" w:lineRule="auto"/>
        <w:rPr>
          <w:rFonts w:ascii="Times New Roman" w:hAnsi="Times New Roman" w:cs="Times New Roman"/>
          <w:noProof/>
          <w:sz w:val="24"/>
          <w:szCs w:val="24"/>
        </w:rPr>
      </w:pPr>
    </w:p>
    <w:p>
      <w:pP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От тази директива се прилагат посочените по-долу разпоредби:</w:t>
      </w:r>
    </w:p>
    <w:p>
      <w:pPr>
        <w:spacing w:after="0" w:line="360" w:lineRule="auto"/>
        <w:rPr>
          <w:rFonts w:ascii="Times New Roman" w:hAnsi="Times New Roman" w:cs="Times New Roman"/>
          <w:noProof/>
          <w:sz w:val="24"/>
          <w:szCs w:val="24"/>
        </w:rPr>
      </w:pPr>
    </w:p>
    <w:p>
      <w:pPr>
        <w:spacing w:after="0" w:line="360" w:lineRule="auto"/>
        <w:ind w:left="567" w:hanging="567"/>
        <w:rPr>
          <w:rFonts w:ascii="Times New Roman" w:hAnsi="Times New Roman" w:cs="Times New Roman"/>
          <w:noProof/>
          <w:sz w:val="24"/>
          <w:szCs w:val="24"/>
        </w:rPr>
      </w:pPr>
      <w:r>
        <w:rPr>
          <w:rFonts w:ascii="Times New Roman" w:hAnsi="Times New Roman" w:cs="Times New Roman"/>
          <w:noProof/>
          <w:sz w:val="24"/>
          <w:szCs w:val="24"/>
        </w:rPr>
        <w:t>–</w:t>
      </w:r>
      <w:r>
        <w:rPr>
          <w:rFonts w:ascii="Times New Roman" w:hAnsi="Times New Roman" w:cs="Times New Roman"/>
          <w:noProof/>
          <w:sz w:val="24"/>
          <w:szCs w:val="24"/>
        </w:rPr>
        <w:tab/>
        <w:t>приемане на национално законодателство и определяне на компетентен(и) орган(и)</w:t>
      </w:r>
    </w:p>
    <w:p>
      <w:pPr>
        <w:spacing w:after="0" w:line="360" w:lineRule="auto"/>
        <w:ind w:left="567" w:hanging="567"/>
        <w:rPr>
          <w:rFonts w:ascii="Times New Roman" w:hAnsi="Times New Roman" w:cs="Times New Roman"/>
          <w:noProof/>
          <w:sz w:val="24"/>
          <w:szCs w:val="24"/>
        </w:rPr>
      </w:pPr>
    </w:p>
    <w:p>
      <w:pPr>
        <w:spacing w:after="0" w:line="360" w:lineRule="auto"/>
        <w:ind w:left="567" w:hanging="567"/>
        <w:rPr>
          <w:rFonts w:ascii="Times New Roman" w:hAnsi="Times New Roman" w:cs="Times New Roman"/>
          <w:noProof/>
          <w:sz w:val="24"/>
          <w:szCs w:val="24"/>
        </w:rPr>
      </w:pPr>
      <w:r>
        <w:rPr>
          <w:rFonts w:ascii="Times New Roman" w:hAnsi="Times New Roman" w:cs="Times New Roman"/>
          <w:noProof/>
          <w:sz w:val="24"/>
          <w:szCs w:val="24"/>
        </w:rPr>
        <w:t>–</w:t>
      </w:r>
      <w:r>
        <w:rPr>
          <w:rFonts w:ascii="Times New Roman" w:hAnsi="Times New Roman" w:cs="Times New Roman"/>
          <w:noProof/>
          <w:sz w:val="24"/>
          <w:szCs w:val="24"/>
        </w:rPr>
        <w:tab/>
        <w:t>определяне на видовете птици, които изискват специални мерки по опазване, и редовно срещащите се мигриращи видове</w:t>
      </w:r>
    </w:p>
    <w:p>
      <w:pPr>
        <w:spacing w:after="0" w:line="360" w:lineRule="auto"/>
        <w:ind w:left="567" w:hanging="567"/>
        <w:rPr>
          <w:rFonts w:ascii="Times New Roman" w:hAnsi="Times New Roman" w:cs="Times New Roman"/>
          <w:noProof/>
          <w:sz w:val="24"/>
          <w:szCs w:val="24"/>
        </w:rPr>
      </w:pPr>
    </w:p>
    <w:p>
      <w:pPr>
        <w:spacing w:after="0" w:line="360" w:lineRule="auto"/>
        <w:ind w:left="567" w:hanging="567"/>
        <w:rPr>
          <w:rFonts w:ascii="Times New Roman" w:hAnsi="Times New Roman" w:cs="Times New Roman"/>
          <w:noProof/>
          <w:sz w:val="24"/>
          <w:szCs w:val="24"/>
        </w:rPr>
      </w:pPr>
      <w:r>
        <w:rPr>
          <w:rFonts w:ascii="Times New Roman" w:hAnsi="Times New Roman" w:cs="Times New Roman"/>
          <w:noProof/>
          <w:sz w:val="24"/>
          <w:szCs w:val="24"/>
        </w:rPr>
        <w:t>–</w:t>
      </w:r>
      <w:r>
        <w:rPr>
          <w:rFonts w:ascii="Times New Roman" w:hAnsi="Times New Roman" w:cs="Times New Roman"/>
          <w:noProof/>
          <w:sz w:val="24"/>
          <w:szCs w:val="24"/>
        </w:rPr>
        <w:tab/>
        <w:t>установяване и определяне на специални територии за опазване на видове птици (член 4, параграфи 1 и 4)</w:t>
      </w:r>
    </w:p>
    <w:p>
      <w:pPr>
        <w:spacing w:after="0" w:line="360" w:lineRule="auto"/>
        <w:ind w:left="567" w:hanging="567"/>
        <w:rPr>
          <w:rFonts w:ascii="Times New Roman" w:hAnsi="Times New Roman" w:cs="Times New Roman"/>
          <w:noProof/>
          <w:sz w:val="24"/>
          <w:szCs w:val="24"/>
        </w:rPr>
      </w:pPr>
    </w:p>
    <w:p>
      <w:pPr>
        <w:spacing w:after="0" w:line="360" w:lineRule="auto"/>
        <w:ind w:left="567" w:hanging="567"/>
        <w:rPr>
          <w:rFonts w:ascii="Times New Roman" w:hAnsi="Times New Roman" w:cs="Times New Roman"/>
          <w:noProof/>
          <w:sz w:val="24"/>
          <w:szCs w:val="24"/>
        </w:rPr>
      </w:pPr>
      <w:r>
        <w:rPr>
          <w:rFonts w:ascii="Times New Roman" w:hAnsi="Times New Roman" w:cs="Times New Roman"/>
          <w:noProof/>
          <w:sz w:val="24"/>
          <w:szCs w:val="24"/>
        </w:rPr>
        <w:t>–</w:t>
      </w:r>
      <w:r>
        <w:rPr>
          <w:rFonts w:ascii="Times New Roman" w:hAnsi="Times New Roman" w:cs="Times New Roman"/>
          <w:noProof/>
          <w:sz w:val="24"/>
          <w:szCs w:val="24"/>
        </w:rPr>
        <w:tab/>
        <w:t>изготвяне на специални мерки по опазване за защита на редовно срещащите се мигриращи видове (член 4, параграф 2)</w:t>
      </w:r>
    </w:p>
    <w:p>
      <w:pPr>
        <w:spacing w:after="0" w:line="360" w:lineRule="auto"/>
        <w:ind w:left="567" w:hanging="567"/>
        <w:rPr>
          <w:rFonts w:ascii="Times New Roman" w:hAnsi="Times New Roman" w:cs="Times New Roman"/>
          <w:noProof/>
          <w:sz w:val="24"/>
          <w:szCs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Срокове: тези разпоредби от Директива 2009/147/ЕО започват да се прилагат в срок от 4 години след влизане в сила на настоящото споразумение.</w:t>
      </w:r>
    </w:p>
    <w:p>
      <w:pPr>
        <w:spacing w:after="0" w:line="360" w:lineRule="auto"/>
        <w:rPr>
          <w:rFonts w:ascii="Times New Roman" w:hAnsi="Times New Roman" w:cs="Times New Roman"/>
          <w:noProof/>
          <w:sz w:val="24"/>
          <w:szCs w:val="24"/>
        </w:rPr>
      </w:pPr>
    </w:p>
    <w:p>
      <w:pPr>
        <w:spacing w:after="0" w:line="360" w:lineRule="auto"/>
        <w:ind w:left="567" w:hanging="567"/>
        <w:rPr>
          <w:rFonts w:ascii="Times New Roman" w:hAnsi="Times New Roman" w:cs="Times New Roman"/>
          <w:noProof/>
          <w:sz w:val="24"/>
          <w:szCs w:val="24"/>
        </w:rPr>
      </w:pPr>
      <w:r>
        <w:rPr>
          <w:rFonts w:ascii="Times New Roman" w:hAnsi="Times New Roman" w:cs="Times New Roman"/>
          <w:noProof/>
          <w:sz w:val="24"/>
          <w:szCs w:val="24"/>
        </w:rPr>
        <w:t>–</w:t>
      </w:r>
      <w:r>
        <w:rPr>
          <w:rFonts w:ascii="Times New Roman" w:hAnsi="Times New Roman" w:cs="Times New Roman"/>
          <w:noProof/>
          <w:sz w:val="24"/>
          <w:szCs w:val="24"/>
        </w:rPr>
        <w:tab/>
        <w:t>създаване на обща система за защита на всички видове диви птици, от които птиците, които могат да бъдат ловувани, са специална подгрупа, и забрана на някои видове улавяне и убиване (член 5, член 6, параграфи 1 и 2 и член 8)</w:t>
      </w:r>
    </w:p>
    <w:p>
      <w:pPr>
        <w:spacing w:after="0" w:line="360" w:lineRule="auto"/>
        <w:rPr>
          <w:rFonts w:ascii="Times New Roman" w:hAnsi="Times New Roman" w:cs="Times New Roman"/>
          <w:noProof/>
          <w:sz w:val="24"/>
          <w:szCs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Срокове: тези разпоредби от Директива 2009/147/ЕО започват да се прилагат в срок от 5 години след влизане в сила на настоящото споразумение.</w:t>
      </w:r>
    </w:p>
    <w:p>
      <w:pPr>
        <w:spacing w:after="0" w:line="360" w:lineRule="auto"/>
        <w:rPr>
          <w:rFonts w:ascii="Times New Roman" w:hAnsi="Times New Roman" w:cs="Times New Roman"/>
          <w:noProof/>
          <w:sz w:val="24"/>
          <w:szCs w:val="24"/>
        </w:rPr>
      </w:pPr>
    </w:p>
    <w:p>
      <w:pPr>
        <w:rPr>
          <w:rFonts w:ascii="Times New Roman" w:hAnsi="Times New Roman" w:cs="Times New Roman"/>
          <w:noProof/>
          <w:sz w:val="24"/>
          <w:szCs w:val="24"/>
        </w:rPr>
      </w:pPr>
      <w:r>
        <w:rPr>
          <w:rFonts w:ascii="Times New Roman" w:hAnsi="Times New Roman" w:cs="Times New Roman"/>
          <w:noProof/>
          <w:sz w:val="24"/>
          <w:szCs w:val="24"/>
        </w:rPr>
        <w:br w:type="page"/>
      </w:r>
    </w:p>
    <w:p>
      <w:pP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Директива 92/43/ЕО на Съвета от 21 май 1992 г. за опазване на естествените местообитания и на дивата флора и фауна, изменена</w:t>
      </w:r>
    </w:p>
    <w:p>
      <w:pPr>
        <w:spacing w:after="0" w:line="360" w:lineRule="auto"/>
        <w:rPr>
          <w:rFonts w:ascii="Times New Roman" w:hAnsi="Times New Roman" w:cs="Times New Roman"/>
          <w:noProof/>
          <w:sz w:val="24"/>
          <w:szCs w:val="24"/>
        </w:rPr>
      </w:pPr>
    </w:p>
    <w:p>
      <w:pP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От тази директива се прилагат посочените по-долу разпоредби:</w:t>
      </w:r>
    </w:p>
    <w:p>
      <w:pPr>
        <w:spacing w:after="0" w:line="360" w:lineRule="auto"/>
        <w:rPr>
          <w:rFonts w:ascii="Times New Roman" w:hAnsi="Times New Roman" w:cs="Times New Roman"/>
          <w:noProof/>
          <w:sz w:val="24"/>
          <w:szCs w:val="24"/>
        </w:rPr>
      </w:pPr>
    </w:p>
    <w:p>
      <w:pPr>
        <w:spacing w:after="0" w:line="360" w:lineRule="auto"/>
        <w:ind w:left="567" w:hanging="567"/>
        <w:rPr>
          <w:rFonts w:ascii="Times New Roman" w:hAnsi="Times New Roman" w:cs="Times New Roman"/>
          <w:noProof/>
          <w:sz w:val="24"/>
          <w:szCs w:val="24"/>
        </w:rPr>
      </w:pPr>
      <w:r>
        <w:rPr>
          <w:rFonts w:ascii="Times New Roman" w:hAnsi="Times New Roman" w:cs="Times New Roman"/>
          <w:noProof/>
          <w:sz w:val="24"/>
          <w:szCs w:val="24"/>
        </w:rPr>
        <w:t>–</w:t>
      </w:r>
      <w:r>
        <w:rPr>
          <w:rFonts w:ascii="Times New Roman" w:hAnsi="Times New Roman" w:cs="Times New Roman"/>
          <w:noProof/>
          <w:sz w:val="24"/>
          <w:szCs w:val="24"/>
        </w:rPr>
        <w:tab/>
        <w:t>приемане на национално законодателство и определяне на компетентен(и) орган(и)</w:t>
      </w:r>
    </w:p>
    <w:p>
      <w:pPr>
        <w:spacing w:after="0" w:line="360" w:lineRule="auto"/>
        <w:ind w:left="567" w:hanging="567"/>
        <w:rPr>
          <w:rFonts w:ascii="Times New Roman" w:hAnsi="Times New Roman" w:cs="Times New Roman"/>
          <w:noProof/>
          <w:sz w:val="24"/>
          <w:szCs w:val="24"/>
        </w:rPr>
      </w:pPr>
    </w:p>
    <w:p>
      <w:pPr>
        <w:spacing w:after="0" w:line="360" w:lineRule="auto"/>
        <w:ind w:left="567" w:hanging="567"/>
        <w:rPr>
          <w:rFonts w:ascii="Times New Roman" w:hAnsi="Times New Roman" w:cs="Times New Roman"/>
          <w:noProof/>
          <w:sz w:val="24"/>
          <w:szCs w:val="24"/>
        </w:rPr>
      </w:pPr>
      <w:r>
        <w:rPr>
          <w:rFonts w:ascii="Times New Roman" w:hAnsi="Times New Roman" w:cs="Times New Roman"/>
          <w:noProof/>
          <w:sz w:val="24"/>
          <w:szCs w:val="24"/>
        </w:rPr>
        <w:t>–</w:t>
      </w:r>
      <w:r>
        <w:rPr>
          <w:rFonts w:ascii="Times New Roman" w:hAnsi="Times New Roman" w:cs="Times New Roman"/>
          <w:noProof/>
          <w:sz w:val="24"/>
          <w:szCs w:val="24"/>
        </w:rPr>
        <w:tab/>
        <w:t>изготвяне на списък на териториите, определяне на тези територии и установяване на приоритети за тяхното управление (включително довършване на списъка на териториите – потенциални кандидати за мрежата Emerald и изготвяне на мерки за опазване и управление за тези територии) (член 4)</w:t>
      </w:r>
    </w:p>
    <w:p>
      <w:pPr>
        <w:spacing w:after="0" w:line="360" w:lineRule="auto"/>
        <w:ind w:left="567" w:hanging="567"/>
        <w:rPr>
          <w:rFonts w:ascii="Times New Roman" w:hAnsi="Times New Roman" w:cs="Times New Roman"/>
          <w:noProof/>
          <w:sz w:val="24"/>
          <w:szCs w:val="24"/>
        </w:rPr>
      </w:pPr>
    </w:p>
    <w:p>
      <w:pPr>
        <w:spacing w:after="0" w:line="360" w:lineRule="auto"/>
        <w:ind w:left="567" w:hanging="567"/>
        <w:rPr>
          <w:rFonts w:ascii="Times New Roman" w:hAnsi="Times New Roman" w:cs="Times New Roman"/>
          <w:noProof/>
          <w:sz w:val="24"/>
          <w:szCs w:val="24"/>
        </w:rPr>
      </w:pPr>
      <w:r>
        <w:rPr>
          <w:rFonts w:ascii="Times New Roman" w:hAnsi="Times New Roman" w:cs="Times New Roman"/>
          <w:noProof/>
          <w:sz w:val="24"/>
          <w:szCs w:val="24"/>
        </w:rPr>
        <w:t>–</w:t>
      </w:r>
      <w:r>
        <w:rPr>
          <w:rFonts w:ascii="Times New Roman" w:hAnsi="Times New Roman" w:cs="Times New Roman"/>
          <w:noProof/>
          <w:sz w:val="24"/>
          <w:szCs w:val="24"/>
        </w:rPr>
        <w:tab/>
        <w:t>изготвяне на необходимите консервационни мерки за тези територии, включително съфинансиране (членове 6 и 8)</w:t>
      </w:r>
    </w:p>
    <w:p>
      <w:pPr>
        <w:spacing w:after="0" w:line="360" w:lineRule="auto"/>
        <w:ind w:left="567" w:hanging="567"/>
        <w:rPr>
          <w:rFonts w:ascii="Times New Roman" w:hAnsi="Times New Roman" w:cs="Times New Roman"/>
          <w:noProof/>
          <w:sz w:val="24"/>
          <w:szCs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Срокове: тези разпоредби от Директива 92/43/ЕО започват да се прилагат в срок от 6 години след влизане в сила на настоящото споразумение.</w:t>
      </w:r>
    </w:p>
    <w:p>
      <w:pPr>
        <w:spacing w:after="0" w:line="360" w:lineRule="auto"/>
        <w:ind w:left="567" w:hanging="567"/>
        <w:rPr>
          <w:rFonts w:ascii="Times New Roman" w:hAnsi="Times New Roman" w:cs="Times New Roman"/>
          <w:noProof/>
          <w:sz w:val="24"/>
          <w:szCs w:val="24"/>
        </w:rPr>
      </w:pPr>
    </w:p>
    <w:p>
      <w:pPr>
        <w:spacing w:after="0" w:line="360" w:lineRule="auto"/>
        <w:ind w:left="567" w:hanging="567"/>
        <w:rPr>
          <w:rFonts w:ascii="Times New Roman" w:hAnsi="Times New Roman" w:cs="Times New Roman"/>
          <w:noProof/>
          <w:sz w:val="24"/>
          <w:szCs w:val="24"/>
        </w:rPr>
      </w:pPr>
      <w:r>
        <w:rPr>
          <w:rFonts w:ascii="Times New Roman" w:hAnsi="Times New Roman" w:cs="Times New Roman"/>
          <w:noProof/>
          <w:sz w:val="24"/>
          <w:szCs w:val="24"/>
        </w:rPr>
        <w:t>–</w:t>
      </w:r>
      <w:r>
        <w:rPr>
          <w:rFonts w:ascii="Times New Roman" w:hAnsi="Times New Roman" w:cs="Times New Roman"/>
          <w:noProof/>
          <w:sz w:val="24"/>
          <w:szCs w:val="24"/>
        </w:rPr>
        <w:tab/>
        <w:t>създаване на система за мониторинг на нивото на запазване на местообитанията и видовете (член 11)</w:t>
      </w:r>
    </w:p>
    <w:p>
      <w:pPr>
        <w:spacing w:after="0" w:line="360" w:lineRule="auto"/>
        <w:ind w:left="567" w:hanging="567"/>
        <w:rPr>
          <w:rFonts w:ascii="Times New Roman" w:hAnsi="Times New Roman" w:cs="Times New Roman"/>
          <w:noProof/>
          <w:sz w:val="24"/>
          <w:szCs w:val="24"/>
        </w:rPr>
      </w:pPr>
    </w:p>
    <w:p>
      <w:pPr>
        <w:spacing w:after="0" w:line="360" w:lineRule="auto"/>
        <w:ind w:left="567" w:hanging="567"/>
        <w:rPr>
          <w:rFonts w:ascii="Times New Roman" w:hAnsi="Times New Roman" w:cs="Times New Roman"/>
          <w:noProof/>
          <w:sz w:val="24"/>
          <w:szCs w:val="24"/>
        </w:rPr>
      </w:pPr>
      <w:r>
        <w:rPr>
          <w:rFonts w:ascii="Times New Roman" w:hAnsi="Times New Roman" w:cs="Times New Roman"/>
          <w:noProof/>
          <w:sz w:val="24"/>
          <w:szCs w:val="24"/>
        </w:rPr>
        <w:t>–</w:t>
      </w:r>
      <w:r>
        <w:rPr>
          <w:rFonts w:ascii="Times New Roman" w:hAnsi="Times New Roman" w:cs="Times New Roman"/>
          <w:noProof/>
          <w:sz w:val="24"/>
          <w:szCs w:val="24"/>
        </w:rPr>
        <w:tab/>
        <w:t>създаване на строга система за опазване на животинските видове, посочени в приложение IV, от значение за Република Армения (член 12)</w:t>
      </w:r>
    </w:p>
    <w:p>
      <w:pPr>
        <w:spacing w:after="0" w:line="360" w:lineRule="auto"/>
        <w:ind w:left="567" w:hanging="567"/>
        <w:rPr>
          <w:rFonts w:ascii="Times New Roman" w:hAnsi="Times New Roman" w:cs="Times New Roman"/>
          <w:noProof/>
          <w:sz w:val="24"/>
          <w:szCs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Срокове: тези разпоредби от Директива 92/43/ЕО започват да се прилагат в срок от 7 години след влизане в сила на настоящото споразумение.</w:t>
      </w:r>
    </w:p>
    <w:p>
      <w:pPr>
        <w:spacing w:after="0" w:line="360" w:lineRule="auto"/>
        <w:ind w:left="567" w:hanging="567"/>
        <w:rPr>
          <w:rFonts w:ascii="Times New Roman" w:hAnsi="Times New Roman" w:cs="Times New Roman"/>
          <w:noProof/>
          <w:sz w:val="24"/>
          <w:szCs w:val="24"/>
          <w:highlight w:val="green"/>
        </w:rPr>
      </w:pPr>
    </w:p>
    <w:p>
      <w:pPr>
        <w:rPr>
          <w:rFonts w:ascii="Times New Roman" w:hAnsi="Times New Roman" w:cs="Times New Roman"/>
          <w:noProof/>
          <w:sz w:val="24"/>
          <w:szCs w:val="24"/>
          <w:highlight w:val="green"/>
        </w:rPr>
      </w:pPr>
      <w:r>
        <w:rPr>
          <w:rFonts w:ascii="Times New Roman" w:hAnsi="Times New Roman" w:cs="Times New Roman"/>
          <w:noProof/>
          <w:sz w:val="24"/>
          <w:szCs w:val="24"/>
        </w:rPr>
        <w:br w:type="page"/>
      </w:r>
    </w:p>
    <w:p>
      <w:pPr>
        <w:spacing w:after="0" w:line="360" w:lineRule="auto"/>
        <w:ind w:left="567" w:hanging="567"/>
        <w:rPr>
          <w:rFonts w:ascii="Times New Roman" w:hAnsi="Times New Roman" w:cs="Times New Roman"/>
          <w:noProof/>
          <w:sz w:val="24"/>
          <w:szCs w:val="24"/>
        </w:rPr>
      </w:pPr>
      <w:r>
        <w:rPr>
          <w:rFonts w:ascii="Times New Roman" w:hAnsi="Times New Roman" w:cs="Times New Roman"/>
          <w:noProof/>
          <w:sz w:val="24"/>
          <w:szCs w:val="24"/>
        </w:rPr>
        <w:t>–</w:t>
      </w:r>
      <w:r>
        <w:rPr>
          <w:rFonts w:ascii="Times New Roman" w:hAnsi="Times New Roman" w:cs="Times New Roman"/>
          <w:noProof/>
          <w:sz w:val="24"/>
          <w:szCs w:val="24"/>
        </w:rPr>
        <w:tab/>
        <w:t>установяване на механизъм за насърчаване на образователни мерки и разпространение на обща информация до обществеността (член 22)</w:t>
      </w:r>
    </w:p>
    <w:p>
      <w:pPr>
        <w:spacing w:after="0" w:line="360" w:lineRule="auto"/>
        <w:ind w:left="567" w:hanging="567"/>
        <w:rPr>
          <w:rFonts w:ascii="Times New Roman" w:hAnsi="Times New Roman" w:cs="Times New Roman"/>
          <w:noProof/>
          <w:sz w:val="24"/>
          <w:szCs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Срокове: тези разпоредби от Директива 92/43/ЕО започват да се прилагат в срок от 6 години след влизане в сила на настоящото споразумение.</w:t>
      </w:r>
    </w:p>
    <w:p>
      <w:pPr>
        <w:spacing w:after="0" w:line="360" w:lineRule="auto"/>
        <w:rPr>
          <w:rFonts w:ascii="Times New Roman" w:hAnsi="Times New Roman" w:cs="Times New Roman"/>
          <w:noProof/>
          <w:sz w:val="24"/>
          <w:szCs w:val="24"/>
        </w:rPr>
      </w:pPr>
    </w:p>
    <w:p>
      <w:pP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Промишлено замърсяване и промишлени опасности</w:t>
      </w:r>
    </w:p>
    <w:p>
      <w:pPr>
        <w:spacing w:after="0" w:line="360" w:lineRule="auto"/>
        <w:rPr>
          <w:rFonts w:ascii="Times New Roman" w:hAnsi="Times New Roman" w:cs="Times New Roman"/>
          <w:noProof/>
          <w:sz w:val="24"/>
          <w:szCs w:val="24"/>
        </w:rPr>
      </w:pPr>
    </w:p>
    <w:p>
      <w:pP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Директива 2010/75/ЕС на Европейския парламент и на Съвета от 24 ноември 2010 г. относно емисиите от промишлеността</w:t>
      </w:r>
    </w:p>
    <w:p>
      <w:pPr>
        <w:spacing w:after="0" w:line="360" w:lineRule="auto"/>
        <w:rPr>
          <w:rFonts w:ascii="Times New Roman" w:hAnsi="Times New Roman" w:cs="Times New Roman"/>
          <w:noProof/>
          <w:sz w:val="24"/>
          <w:szCs w:val="24"/>
        </w:rPr>
      </w:pPr>
    </w:p>
    <w:p>
      <w:pP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От тази директива се прилагат посочените по-долу разпоредби:</w:t>
      </w:r>
    </w:p>
    <w:p>
      <w:pPr>
        <w:spacing w:after="0" w:line="360" w:lineRule="auto"/>
        <w:rPr>
          <w:rFonts w:ascii="Times New Roman" w:hAnsi="Times New Roman" w:cs="Times New Roman"/>
          <w:noProof/>
          <w:sz w:val="24"/>
          <w:szCs w:val="24"/>
        </w:rPr>
      </w:pPr>
    </w:p>
    <w:p>
      <w:pPr>
        <w:spacing w:after="0" w:line="360" w:lineRule="auto"/>
        <w:ind w:left="567" w:hanging="567"/>
        <w:rPr>
          <w:rFonts w:ascii="Times New Roman" w:hAnsi="Times New Roman" w:cs="Times New Roman"/>
          <w:noProof/>
          <w:sz w:val="24"/>
          <w:szCs w:val="24"/>
        </w:rPr>
      </w:pPr>
      <w:r>
        <w:rPr>
          <w:rFonts w:ascii="Times New Roman" w:hAnsi="Times New Roman" w:cs="Times New Roman"/>
          <w:noProof/>
          <w:sz w:val="24"/>
          <w:szCs w:val="24"/>
        </w:rPr>
        <w:t>–</w:t>
      </w:r>
      <w:r>
        <w:rPr>
          <w:rFonts w:ascii="Times New Roman" w:hAnsi="Times New Roman" w:cs="Times New Roman"/>
          <w:noProof/>
          <w:sz w:val="24"/>
          <w:szCs w:val="24"/>
        </w:rPr>
        <w:tab/>
        <w:t>приемане на национално законодателство и определяне на компетентен(и) орган(и)</w:t>
      </w:r>
    </w:p>
    <w:p>
      <w:pPr>
        <w:spacing w:after="0" w:line="360" w:lineRule="auto"/>
        <w:rPr>
          <w:rFonts w:ascii="Times New Roman" w:hAnsi="Times New Roman" w:cs="Times New Roman"/>
          <w:noProof/>
          <w:sz w:val="24"/>
          <w:szCs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Срокове: тези разпоредби на Директива 2010/75/ЕС започват да се прилагат в срок от 4 години след влизане в сила на настоящото споразумение.</w:t>
      </w:r>
    </w:p>
    <w:p>
      <w:pPr>
        <w:spacing w:after="0" w:line="360" w:lineRule="auto"/>
        <w:rPr>
          <w:rFonts w:ascii="Times New Roman" w:hAnsi="Times New Roman" w:cs="Times New Roman"/>
          <w:noProof/>
          <w:sz w:val="24"/>
          <w:szCs w:val="24"/>
        </w:rPr>
      </w:pPr>
    </w:p>
    <w:p>
      <w:pPr>
        <w:spacing w:after="0" w:line="360" w:lineRule="auto"/>
        <w:ind w:left="567" w:hanging="567"/>
        <w:rPr>
          <w:rFonts w:ascii="Times New Roman" w:hAnsi="Times New Roman" w:cs="Times New Roman"/>
          <w:noProof/>
          <w:sz w:val="24"/>
          <w:szCs w:val="24"/>
        </w:rPr>
      </w:pPr>
      <w:r>
        <w:rPr>
          <w:rFonts w:ascii="Times New Roman" w:hAnsi="Times New Roman" w:cs="Times New Roman"/>
          <w:noProof/>
          <w:sz w:val="24"/>
          <w:szCs w:val="24"/>
        </w:rPr>
        <w:t>–</w:t>
      </w:r>
      <w:r>
        <w:rPr>
          <w:rFonts w:ascii="Times New Roman" w:hAnsi="Times New Roman" w:cs="Times New Roman"/>
          <w:noProof/>
          <w:sz w:val="24"/>
          <w:szCs w:val="24"/>
        </w:rPr>
        <w:tab/>
        <w:t>определяне на инсталации, за които е необходимо разрешително (приложение I)</w:t>
      </w:r>
    </w:p>
    <w:p>
      <w:pPr>
        <w:spacing w:after="0" w:line="360" w:lineRule="auto"/>
        <w:rPr>
          <w:rFonts w:ascii="Times New Roman" w:hAnsi="Times New Roman" w:cs="Times New Roman"/>
          <w:noProof/>
          <w:sz w:val="24"/>
          <w:szCs w:val="24"/>
        </w:rPr>
      </w:pPr>
    </w:p>
    <w:p>
      <w:pPr>
        <w:spacing w:after="0" w:line="360" w:lineRule="auto"/>
        <w:ind w:left="567" w:hanging="567"/>
        <w:rPr>
          <w:rFonts w:ascii="Times New Roman" w:hAnsi="Times New Roman" w:cs="Times New Roman"/>
          <w:noProof/>
          <w:sz w:val="24"/>
          <w:szCs w:val="24"/>
        </w:rPr>
      </w:pPr>
      <w:bookmarkStart w:id="48" w:name="bookmark75"/>
      <w:r>
        <w:rPr>
          <w:rFonts w:ascii="Times New Roman" w:hAnsi="Times New Roman" w:cs="Times New Roman"/>
          <w:noProof/>
          <w:sz w:val="24"/>
          <w:szCs w:val="24"/>
        </w:rPr>
        <w:t>–</w:t>
      </w:r>
      <w:r>
        <w:rPr>
          <w:rFonts w:ascii="Times New Roman" w:hAnsi="Times New Roman" w:cs="Times New Roman"/>
          <w:noProof/>
          <w:sz w:val="24"/>
          <w:szCs w:val="24"/>
        </w:rPr>
        <w:tab/>
        <w:t>създаване на комплексна система за разрешителни (членове 4—6, член 12, член 21, член 24 и</w:t>
      </w:r>
      <w:bookmarkEnd w:id="48"/>
      <w:r>
        <w:rPr>
          <w:rFonts w:ascii="Times New Roman" w:hAnsi="Times New Roman" w:cs="Times New Roman"/>
          <w:noProof/>
          <w:sz w:val="24"/>
          <w:szCs w:val="24"/>
        </w:rPr>
        <w:t xml:space="preserve"> приложение IV)</w:t>
      </w:r>
    </w:p>
    <w:p>
      <w:pPr>
        <w:spacing w:after="0" w:line="360" w:lineRule="auto"/>
        <w:ind w:left="567" w:hanging="567"/>
        <w:rPr>
          <w:rFonts w:ascii="Times New Roman" w:hAnsi="Times New Roman" w:cs="Times New Roman"/>
          <w:noProof/>
          <w:sz w:val="24"/>
          <w:szCs w:val="24"/>
        </w:rPr>
      </w:pPr>
    </w:p>
    <w:p>
      <w:pPr>
        <w:spacing w:after="0" w:line="360" w:lineRule="auto"/>
        <w:ind w:left="567" w:hanging="567"/>
        <w:rPr>
          <w:rFonts w:ascii="Times New Roman" w:hAnsi="Times New Roman" w:cs="Times New Roman"/>
          <w:noProof/>
          <w:sz w:val="24"/>
          <w:szCs w:val="24"/>
        </w:rPr>
      </w:pPr>
      <w:r>
        <w:rPr>
          <w:rFonts w:ascii="Times New Roman" w:hAnsi="Times New Roman" w:cs="Times New Roman"/>
          <w:noProof/>
          <w:sz w:val="24"/>
          <w:szCs w:val="24"/>
        </w:rPr>
        <w:t>–</w:t>
      </w:r>
      <w:r>
        <w:rPr>
          <w:rFonts w:ascii="Times New Roman" w:hAnsi="Times New Roman" w:cs="Times New Roman"/>
          <w:noProof/>
          <w:sz w:val="24"/>
          <w:szCs w:val="24"/>
        </w:rPr>
        <w:tab/>
        <w:t>създаване на система за мониторинг на съответствието (член 8, член 14, параграф 1, буква г) и член 23, параграф 1)</w:t>
      </w:r>
    </w:p>
    <w:p>
      <w:pPr>
        <w:spacing w:after="0" w:line="360" w:lineRule="auto"/>
        <w:ind w:left="567" w:hanging="567"/>
        <w:rPr>
          <w:rFonts w:ascii="Times New Roman" w:hAnsi="Times New Roman" w:cs="Times New Roman"/>
          <w:noProof/>
          <w:sz w:val="24"/>
          <w:szCs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Срокове: тези разпоредби на Директива 2010/75/ЕС започват да се прилагат в срок от 6 години след влизане в сила на настоящото споразумение.</w:t>
      </w:r>
    </w:p>
    <w:p>
      <w:pPr>
        <w:spacing w:after="0" w:line="360" w:lineRule="auto"/>
        <w:ind w:left="567" w:hanging="567"/>
        <w:rPr>
          <w:rFonts w:ascii="Times New Roman" w:hAnsi="Times New Roman" w:cs="Times New Roman"/>
          <w:noProof/>
          <w:sz w:val="24"/>
          <w:szCs w:val="24"/>
          <w:highlight w:val="green"/>
        </w:rPr>
      </w:pPr>
      <w:bookmarkStart w:id="49" w:name="bookmark76"/>
    </w:p>
    <w:p>
      <w:pPr>
        <w:rPr>
          <w:rFonts w:ascii="Times New Roman" w:hAnsi="Times New Roman" w:cs="Times New Roman"/>
          <w:noProof/>
          <w:sz w:val="24"/>
          <w:szCs w:val="24"/>
          <w:highlight w:val="green"/>
        </w:rPr>
      </w:pPr>
      <w:r>
        <w:rPr>
          <w:rFonts w:ascii="Times New Roman" w:hAnsi="Times New Roman" w:cs="Times New Roman"/>
          <w:noProof/>
          <w:sz w:val="24"/>
          <w:szCs w:val="24"/>
        </w:rPr>
        <w:br w:type="page"/>
      </w:r>
    </w:p>
    <w:p>
      <w:pPr>
        <w:spacing w:after="0" w:line="360" w:lineRule="auto"/>
        <w:ind w:left="567" w:hanging="567"/>
        <w:rPr>
          <w:rFonts w:ascii="Times New Roman" w:hAnsi="Times New Roman" w:cs="Times New Roman"/>
          <w:noProof/>
          <w:sz w:val="24"/>
          <w:szCs w:val="24"/>
        </w:rPr>
      </w:pPr>
      <w:r>
        <w:rPr>
          <w:rFonts w:ascii="Times New Roman" w:hAnsi="Times New Roman" w:cs="Times New Roman"/>
          <w:noProof/>
          <w:sz w:val="24"/>
          <w:szCs w:val="24"/>
        </w:rPr>
        <w:t>–</w:t>
      </w:r>
      <w:r>
        <w:rPr>
          <w:rFonts w:ascii="Times New Roman" w:hAnsi="Times New Roman" w:cs="Times New Roman"/>
          <w:noProof/>
          <w:sz w:val="24"/>
          <w:szCs w:val="24"/>
        </w:rPr>
        <w:tab/>
        <w:t>въвеждане на най-добрите налични техники (НДНТ), като се вземат предвид заключенията за НДНТ</w:t>
      </w:r>
      <w:bookmarkStart w:id="50" w:name="bookmark77"/>
      <w:bookmarkEnd w:id="49"/>
      <w:r>
        <w:rPr>
          <w:rFonts w:ascii="Times New Roman" w:hAnsi="Times New Roman" w:cs="Times New Roman"/>
          <w:noProof/>
          <w:sz w:val="24"/>
          <w:szCs w:val="24"/>
        </w:rPr>
        <w:t xml:space="preserve"> на референтните документи за най-добрите налични техники (член 14, параграфи 3—6 и член 15, параграфи 2—4)</w:t>
      </w:r>
      <w:bookmarkEnd w:id="50"/>
    </w:p>
    <w:p>
      <w:pPr>
        <w:spacing w:after="0" w:line="360" w:lineRule="auto"/>
        <w:ind w:left="567" w:hanging="567"/>
        <w:rPr>
          <w:rFonts w:ascii="Times New Roman" w:hAnsi="Times New Roman" w:cs="Times New Roman"/>
          <w:noProof/>
          <w:sz w:val="24"/>
          <w:szCs w:val="24"/>
        </w:rPr>
      </w:pPr>
    </w:p>
    <w:p>
      <w:pPr>
        <w:spacing w:after="0" w:line="360" w:lineRule="auto"/>
        <w:ind w:left="567" w:hanging="567"/>
        <w:rPr>
          <w:rFonts w:ascii="Times New Roman" w:hAnsi="Times New Roman" w:cs="Times New Roman"/>
          <w:noProof/>
          <w:sz w:val="24"/>
          <w:szCs w:val="24"/>
        </w:rPr>
      </w:pPr>
      <w:bookmarkStart w:id="51" w:name="bookmark78"/>
      <w:r>
        <w:rPr>
          <w:rFonts w:ascii="Times New Roman" w:hAnsi="Times New Roman" w:cs="Times New Roman"/>
          <w:noProof/>
          <w:sz w:val="24"/>
          <w:szCs w:val="24"/>
        </w:rPr>
        <w:t>–</w:t>
      </w:r>
      <w:r>
        <w:rPr>
          <w:rFonts w:ascii="Times New Roman" w:hAnsi="Times New Roman" w:cs="Times New Roman"/>
          <w:noProof/>
          <w:sz w:val="24"/>
          <w:szCs w:val="24"/>
        </w:rPr>
        <w:tab/>
        <w:t>определяне на норми за допустими емисии за горивни инсталации (член 30 и приложение V)</w:t>
      </w:r>
      <w:bookmarkEnd w:id="51"/>
    </w:p>
    <w:p>
      <w:pPr>
        <w:spacing w:after="0" w:line="360" w:lineRule="auto"/>
        <w:ind w:left="567" w:hanging="567"/>
        <w:rPr>
          <w:rFonts w:ascii="Times New Roman" w:hAnsi="Times New Roman" w:cs="Times New Roman"/>
          <w:noProof/>
          <w:sz w:val="24"/>
          <w:szCs w:val="24"/>
        </w:rPr>
      </w:pPr>
    </w:p>
    <w:p>
      <w:pPr>
        <w:spacing w:after="0" w:line="360" w:lineRule="auto"/>
        <w:ind w:left="567" w:hanging="567"/>
        <w:rPr>
          <w:rFonts w:ascii="Times New Roman" w:hAnsi="Times New Roman" w:cs="Times New Roman"/>
          <w:noProof/>
          <w:sz w:val="24"/>
          <w:szCs w:val="24"/>
        </w:rPr>
      </w:pPr>
      <w:r>
        <w:rPr>
          <w:rFonts w:ascii="Times New Roman" w:hAnsi="Times New Roman" w:cs="Times New Roman"/>
          <w:noProof/>
          <w:sz w:val="24"/>
          <w:szCs w:val="24"/>
        </w:rPr>
        <w:t>–</w:t>
      </w:r>
      <w:r>
        <w:rPr>
          <w:rFonts w:ascii="Times New Roman" w:hAnsi="Times New Roman" w:cs="Times New Roman"/>
          <w:noProof/>
          <w:sz w:val="24"/>
          <w:szCs w:val="24"/>
        </w:rPr>
        <w:tab/>
        <w:t>подготовка на програми за намаляване на общите годишни емисии на съществуващите инсталации (факултативно на определянето на допустими норми за емисии за съществуващи инсталации) (член 32)</w:t>
      </w:r>
    </w:p>
    <w:p>
      <w:pPr>
        <w:spacing w:after="0" w:line="360" w:lineRule="auto"/>
        <w:ind w:left="567" w:hanging="567"/>
        <w:rPr>
          <w:rFonts w:ascii="Times New Roman" w:hAnsi="Times New Roman" w:cs="Times New Roman"/>
          <w:noProof/>
          <w:sz w:val="24"/>
          <w:szCs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Срокове: тези разпоредби на Директива 2010/75/ЕС започват да се прилагат в срок от 6 години след влизане в сила на настоящото споразумение за новите инсталации и в срок от 13 години след влизане в сила на настоящото споразумение за съществуващите инсталации.</w:t>
      </w:r>
    </w:p>
    <w:p>
      <w:pPr>
        <w:spacing w:after="0" w:line="360" w:lineRule="auto"/>
        <w:rPr>
          <w:rFonts w:ascii="Times New Roman" w:hAnsi="Times New Roman" w:cs="Times New Roman"/>
          <w:noProof/>
          <w:sz w:val="24"/>
          <w:szCs w:val="24"/>
        </w:rPr>
      </w:pPr>
    </w:p>
    <w:p>
      <w:pP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Директива 2012/18/ЕС на Европейския парламент и на Съвета от 4 юли 2012 г. относно контрола на опасностите от големи аварии, които включват опасни вещества, за изменение и последваща отмяна на Директива 96/82/ЕО на Съвета</w:t>
      </w:r>
    </w:p>
    <w:p>
      <w:pPr>
        <w:spacing w:after="0" w:line="360" w:lineRule="auto"/>
        <w:rPr>
          <w:rFonts w:ascii="Times New Roman" w:hAnsi="Times New Roman" w:cs="Times New Roman"/>
          <w:noProof/>
          <w:sz w:val="24"/>
          <w:szCs w:val="24"/>
        </w:rPr>
      </w:pPr>
    </w:p>
    <w:p>
      <w:pP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От тази директива се прилагат посочените по-долу разпоредби:</w:t>
      </w:r>
    </w:p>
    <w:p>
      <w:pPr>
        <w:spacing w:after="0" w:line="360" w:lineRule="auto"/>
        <w:rPr>
          <w:rFonts w:ascii="Times New Roman" w:hAnsi="Times New Roman" w:cs="Times New Roman"/>
          <w:noProof/>
          <w:sz w:val="24"/>
          <w:szCs w:val="24"/>
        </w:rPr>
      </w:pPr>
    </w:p>
    <w:p>
      <w:pPr>
        <w:spacing w:after="0" w:line="360" w:lineRule="auto"/>
        <w:ind w:left="567" w:hanging="567"/>
        <w:rPr>
          <w:rFonts w:ascii="Times New Roman" w:hAnsi="Times New Roman" w:cs="Times New Roman"/>
          <w:noProof/>
          <w:sz w:val="24"/>
          <w:szCs w:val="24"/>
        </w:rPr>
      </w:pPr>
      <w:r>
        <w:rPr>
          <w:rFonts w:ascii="Times New Roman" w:hAnsi="Times New Roman" w:cs="Times New Roman"/>
          <w:noProof/>
          <w:sz w:val="24"/>
          <w:szCs w:val="24"/>
        </w:rPr>
        <w:t>–</w:t>
      </w:r>
      <w:r>
        <w:rPr>
          <w:rFonts w:ascii="Times New Roman" w:hAnsi="Times New Roman" w:cs="Times New Roman"/>
          <w:noProof/>
          <w:sz w:val="24"/>
          <w:szCs w:val="24"/>
        </w:rPr>
        <w:tab/>
        <w:t>приемане на национално законодателство и определяне на компетентен(и) орган(и)</w:t>
      </w:r>
    </w:p>
    <w:p>
      <w:pPr>
        <w:spacing w:after="0" w:line="360" w:lineRule="auto"/>
        <w:ind w:left="567" w:hanging="567"/>
        <w:rPr>
          <w:rFonts w:ascii="Times New Roman" w:hAnsi="Times New Roman" w:cs="Times New Roman"/>
          <w:noProof/>
          <w:sz w:val="24"/>
          <w:szCs w:val="24"/>
        </w:rPr>
      </w:pPr>
    </w:p>
    <w:p>
      <w:pPr>
        <w:spacing w:after="0" w:line="360" w:lineRule="auto"/>
        <w:ind w:left="567" w:hanging="567"/>
        <w:rPr>
          <w:rFonts w:ascii="Times New Roman" w:hAnsi="Times New Roman" w:cs="Times New Roman"/>
          <w:noProof/>
          <w:sz w:val="24"/>
          <w:szCs w:val="24"/>
        </w:rPr>
      </w:pPr>
      <w:r>
        <w:rPr>
          <w:rFonts w:ascii="Times New Roman" w:hAnsi="Times New Roman" w:cs="Times New Roman"/>
          <w:noProof/>
          <w:sz w:val="24"/>
          <w:szCs w:val="24"/>
        </w:rPr>
        <w:t>–</w:t>
      </w:r>
      <w:r>
        <w:rPr>
          <w:rFonts w:ascii="Times New Roman" w:hAnsi="Times New Roman" w:cs="Times New Roman"/>
          <w:noProof/>
          <w:sz w:val="24"/>
          <w:szCs w:val="24"/>
        </w:rPr>
        <w:tab/>
        <w:t>въвеждане на ефективни механизми за координация между съответните органи</w:t>
      </w:r>
    </w:p>
    <w:p>
      <w:pPr>
        <w:spacing w:after="0" w:line="360" w:lineRule="auto"/>
        <w:ind w:left="567" w:hanging="567"/>
        <w:rPr>
          <w:rFonts w:ascii="Times New Roman" w:hAnsi="Times New Roman" w:cs="Times New Roman"/>
          <w:noProof/>
          <w:sz w:val="24"/>
          <w:szCs w:val="24"/>
        </w:rPr>
      </w:pPr>
    </w:p>
    <w:p>
      <w:pPr>
        <w:spacing w:after="0" w:line="360" w:lineRule="auto"/>
        <w:ind w:left="567" w:hanging="567"/>
        <w:rPr>
          <w:rFonts w:ascii="Times New Roman" w:hAnsi="Times New Roman" w:cs="Times New Roman"/>
          <w:noProof/>
          <w:sz w:val="24"/>
          <w:szCs w:val="24"/>
        </w:rPr>
      </w:pPr>
      <w:r>
        <w:rPr>
          <w:rFonts w:ascii="Times New Roman" w:hAnsi="Times New Roman" w:cs="Times New Roman"/>
          <w:noProof/>
          <w:sz w:val="24"/>
          <w:szCs w:val="24"/>
        </w:rPr>
        <w:t>–</w:t>
      </w:r>
      <w:r>
        <w:rPr>
          <w:rFonts w:ascii="Times New Roman" w:hAnsi="Times New Roman" w:cs="Times New Roman"/>
          <w:noProof/>
          <w:sz w:val="24"/>
          <w:szCs w:val="24"/>
        </w:rPr>
        <w:tab/>
        <w:t>създаване на системи за записване на информация относно релевантни инсталации и за докладване относно големи аварии (членове 14 и 16)</w:t>
      </w:r>
    </w:p>
    <w:p>
      <w:pPr>
        <w:spacing w:after="0" w:line="360" w:lineRule="auto"/>
        <w:rPr>
          <w:rFonts w:ascii="Times New Roman" w:hAnsi="Times New Roman" w:cs="Times New Roman"/>
          <w:noProof/>
          <w:sz w:val="24"/>
          <w:szCs w:val="24"/>
        </w:rPr>
      </w:pPr>
    </w:p>
    <w:p>
      <w:pPr>
        <w:rPr>
          <w:rFonts w:ascii="Times New Roman" w:hAnsi="Times New Roman" w:cs="Times New Roman"/>
          <w:noProof/>
          <w:sz w:val="24"/>
          <w:szCs w:val="24"/>
          <w:highlight w:val="yellow"/>
        </w:rPr>
      </w:pPr>
      <w:r>
        <w:rPr>
          <w:rFonts w:ascii="Times New Roman" w:hAnsi="Times New Roman" w:cs="Times New Roman"/>
          <w:noProof/>
          <w:sz w:val="24"/>
          <w:szCs w:val="24"/>
        </w:rPr>
        <w:br w:type="page"/>
      </w: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Срокове: тези разпоредби на Директива 2012/18/ЕС започват да се прилагат в срок от 4 години след влизане в сила на настоящото споразумение.</w:t>
      </w:r>
    </w:p>
    <w:p>
      <w:pPr>
        <w:spacing w:after="0" w:line="360" w:lineRule="auto"/>
        <w:rPr>
          <w:rFonts w:ascii="Times New Roman" w:hAnsi="Times New Roman" w:cs="Times New Roman"/>
          <w:noProof/>
          <w:sz w:val="24"/>
          <w:szCs w:val="24"/>
        </w:rPr>
      </w:pPr>
    </w:p>
    <w:p>
      <w:pP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Управление на химикалите</w:t>
      </w:r>
    </w:p>
    <w:p>
      <w:pPr>
        <w:spacing w:after="0" w:line="360" w:lineRule="auto"/>
        <w:rPr>
          <w:rFonts w:ascii="Times New Roman" w:hAnsi="Times New Roman" w:cs="Times New Roman"/>
          <w:noProof/>
          <w:sz w:val="24"/>
          <w:szCs w:val="24"/>
        </w:rPr>
      </w:pPr>
    </w:p>
    <w:p>
      <w:pP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Регламент (ЕС) № 649/2012 на Европейския парламент и на Съвета от 4 юли 2012 г. относно износа и вноса на опасни химикали</w:t>
      </w:r>
    </w:p>
    <w:p>
      <w:pPr>
        <w:spacing w:after="0" w:line="360" w:lineRule="auto"/>
        <w:rPr>
          <w:rFonts w:ascii="Times New Roman" w:hAnsi="Times New Roman" w:cs="Times New Roman"/>
          <w:noProof/>
          <w:sz w:val="24"/>
          <w:szCs w:val="24"/>
        </w:rPr>
      </w:pPr>
    </w:p>
    <w:p>
      <w:pP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От този регламент се прилагат посочените по-долу разпоредби:</w:t>
      </w:r>
    </w:p>
    <w:p>
      <w:pPr>
        <w:spacing w:after="0" w:line="360" w:lineRule="auto"/>
        <w:rPr>
          <w:rFonts w:ascii="Times New Roman" w:hAnsi="Times New Roman" w:cs="Times New Roman"/>
          <w:noProof/>
          <w:sz w:val="24"/>
          <w:szCs w:val="24"/>
        </w:rPr>
      </w:pPr>
    </w:p>
    <w:p>
      <w:pPr>
        <w:spacing w:after="0" w:line="360" w:lineRule="auto"/>
        <w:ind w:left="567" w:hanging="567"/>
        <w:rPr>
          <w:rFonts w:ascii="Times New Roman" w:hAnsi="Times New Roman" w:cs="Times New Roman"/>
          <w:noProof/>
          <w:sz w:val="24"/>
          <w:szCs w:val="24"/>
        </w:rPr>
      </w:pPr>
      <w:r>
        <w:rPr>
          <w:rFonts w:ascii="Times New Roman" w:hAnsi="Times New Roman" w:cs="Times New Roman"/>
          <w:noProof/>
          <w:sz w:val="24"/>
          <w:szCs w:val="24"/>
        </w:rPr>
        <w:t>–</w:t>
      </w:r>
      <w:r>
        <w:rPr>
          <w:rFonts w:ascii="Times New Roman" w:hAnsi="Times New Roman" w:cs="Times New Roman"/>
          <w:noProof/>
          <w:sz w:val="24"/>
          <w:szCs w:val="24"/>
        </w:rPr>
        <w:tab/>
        <w:t>прилагане на процедурата за уведомление за износ (член 8)</w:t>
      </w:r>
    </w:p>
    <w:p>
      <w:pPr>
        <w:spacing w:after="0" w:line="360" w:lineRule="auto"/>
        <w:ind w:left="567" w:hanging="567"/>
        <w:rPr>
          <w:rFonts w:ascii="Times New Roman" w:hAnsi="Times New Roman" w:cs="Times New Roman"/>
          <w:noProof/>
          <w:sz w:val="24"/>
          <w:szCs w:val="24"/>
        </w:rPr>
      </w:pPr>
    </w:p>
    <w:p>
      <w:pPr>
        <w:spacing w:after="0" w:line="360" w:lineRule="auto"/>
        <w:ind w:left="567" w:hanging="567"/>
        <w:rPr>
          <w:rFonts w:ascii="Times New Roman" w:hAnsi="Times New Roman" w:cs="Times New Roman"/>
          <w:noProof/>
          <w:sz w:val="24"/>
          <w:szCs w:val="24"/>
        </w:rPr>
      </w:pPr>
      <w:r>
        <w:rPr>
          <w:rFonts w:ascii="Times New Roman" w:hAnsi="Times New Roman" w:cs="Times New Roman"/>
          <w:noProof/>
          <w:sz w:val="24"/>
          <w:szCs w:val="24"/>
        </w:rPr>
        <w:t>–</w:t>
      </w:r>
      <w:r>
        <w:rPr>
          <w:rFonts w:ascii="Times New Roman" w:hAnsi="Times New Roman" w:cs="Times New Roman"/>
          <w:noProof/>
          <w:sz w:val="24"/>
          <w:szCs w:val="24"/>
        </w:rPr>
        <w:tab/>
        <w:t>прилагане на процедурите за обработка на уведомленията за износ, получени от други държави (член 9)</w:t>
      </w:r>
    </w:p>
    <w:p>
      <w:pPr>
        <w:spacing w:after="0" w:line="360" w:lineRule="auto"/>
        <w:ind w:left="567" w:hanging="567"/>
        <w:rPr>
          <w:rFonts w:ascii="Times New Roman" w:hAnsi="Times New Roman" w:cs="Times New Roman"/>
          <w:noProof/>
          <w:sz w:val="24"/>
          <w:szCs w:val="24"/>
        </w:rPr>
      </w:pPr>
    </w:p>
    <w:p>
      <w:pPr>
        <w:spacing w:after="0" w:line="360" w:lineRule="auto"/>
        <w:ind w:left="567" w:hanging="567"/>
        <w:rPr>
          <w:rFonts w:ascii="Times New Roman" w:hAnsi="Times New Roman" w:cs="Times New Roman"/>
          <w:noProof/>
          <w:sz w:val="24"/>
          <w:szCs w:val="24"/>
        </w:rPr>
      </w:pPr>
      <w:r>
        <w:rPr>
          <w:rFonts w:ascii="Times New Roman" w:hAnsi="Times New Roman" w:cs="Times New Roman"/>
          <w:noProof/>
          <w:sz w:val="24"/>
          <w:szCs w:val="24"/>
        </w:rPr>
        <w:t>–</w:t>
      </w:r>
      <w:r>
        <w:rPr>
          <w:rFonts w:ascii="Times New Roman" w:hAnsi="Times New Roman" w:cs="Times New Roman"/>
          <w:noProof/>
          <w:sz w:val="24"/>
          <w:szCs w:val="24"/>
        </w:rPr>
        <w:tab/>
        <w:t>създаване на процедури за изготвяне и изпращане на уведомления за окончателен нормативен акт (член 11)</w:t>
      </w:r>
    </w:p>
    <w:p>
      <w:pPr>
        <w:spacing w:after="0" w:line="360" w:lineRule="auto"/>
        <w:ind w:left="567" w:hanging="567"/>
        <w:rPr>
          <w:rFonts w:ascii="Times New Roman" w:hAnsi="Times New Roman" w:cs="Times New Roman"/>
          <w:noProof/>
          <w:sz w:val="24"/>
          <w:szCs w:val="24"/>
        </w:rPr>
      </w:pPr>
    </w:p>
    <w:p>
      <w:pPr>
        <w:spacing w:after="0" w:line="360" w:lineRule="auto"/>
        <w:ind w:left="567" w:hanging="567"/>
        <w:rPr>
          <w:rFonts w:ascii="Times New Roman" w:hAnsi="Times New Roman" w:cs="Times New Roman"/>
          <w:noProof/>
          <w:sz w:val="24"/>
          <w:szCs w:val="24"/>
        </w:rPr>
      </w:pPr>
      <w:r>
        <w:rPr>
          <w:rFonts w:ascii="Times New Roman" w:hAnsi="Times New Roman" w:cs="Times New Roman"/>
          <w:noProof/>
          <w:sz w:val="24"/>
          <w:szCs w:val="24"/>
        </w:rPr>
        <w:t>–</w:t>
      </w:r>
      <w:r>
        <w:rPr>
          <w:rFonts w:ascii="Times New Roman" w:hAnsi="Times New Roman" w:cs="Times New Roman"/>
          <w:noProof/>
          <w:sz w:val="24"/>
          <w:szCs w:val="24"/>
        </w:rPr>
        <w:tab/>
        <w:t>създаване на процедури за изготвяне и изпращане на решения за внос (член 13)</w:t>
      </w:r>
    </w:p>
    <w:p>
      <w:pPr>
        <w:spacing w:after="0" w:line="360" w:lineRule="auto"/>
        <w:ind w:left="567" w:hanging="567"/>
        <w:rPr>
          <w:rFonts w:ascii="Times New Roman" w:hAnsi="Times New Roman" w:cs="Times New Roman"/>
          <w:noProof/>
          <w:sz w:val="24"/>
          <w:szCs w:val="24"/>
        </w:rPr>
      </w:pPr>
    </w:p>
    <w:p>
      <w:pPr>
        <w:spacing w:after="0" w:line="360" w:lineRule="auto"/>
        <w:ind w:left="567" w:hanging="567"/>
        <w:rPr>
          <w:rFonts w:ascii="Times New Roman" w:hAnsi="Times New Roman" w:cs="Times New Roman"/>
          <w:noProof/>
          <w:sz w:val="24"/>
          <w:szCs w:val="24"/>
        </w:rPr>
      </w:pPr>
      <w:r>
        <w:rPr>
          <w:rFonts w:ascii="Times New Roman" w:hAnsi="Times New Roman" w:cs="Times New Roman"/>
          <w:noProof/>
          <w:sz w:val="24"/>
          <w:szCs w:val="24"/>
        </w:rPr>
        <w:t>–</w:t>
      </w:r>
      <w:r>
        <w:rPr>
          <w:rFonts w:ascii="Times New Roman" w:hAnsi="Times New Roman" w:cs="Times New Roman"/>
          <w:noProof/>
          <w:sz w:val="24"/>
          <w:szCs w:val="24"/>
        </w:rPr>
        <w:tab/>
        <w:t>прилагане на процедурата по предварително обосновано съгласие (процедурата PIC) за износа на определени химикали, и по-конкретно на тези, които са изброени в приложение III към Ротердамската конвенция (член 14)</w:t>
      </w:r>
    </w:p>
    <w:p>
      <w:pPr>
        <w:spacing w:after="0" w:line="360" w:lineRule="auto"/>
        <w:ind w:left="567" w:hanging="567"/>
        <w:rPr>
          <w:rFonts w:ascii="Times New Roman" w:hAnsi="Times New Roman" w:cs="Times New Roman"/>
          <w:noProof/>
          <w:sz w:val="24"/>
          <w:szCs w:val="24"/>
        </w:rPr>
      </w:pPr>
    </w:p>
    <w:p>
      <w:pPr>
        <w:spacing w:after="0" w:line="360" w:lineRule="auto"/>
        <w:ind w:left="567" w:hanging="567"/>
        <w:rPr>
          <w:rFonts w:ascii="Times New Roman" w:hAnsi="Times New Roman" w:cs="Times New Roman"/>
          <w:noProof/>
          <w:sz w:val="24"/>
          <w:szCs w:val="24"/>
        </w:rPr>
      </w:pPr>
      <w:r>
        <w:rPr>
          <w:rFonts w:ascii="Times New Roman" w:hAnsi="Times New Roman" w:cs="Times New Roman"/>
          <w:noProof/>
          <w:sz w:val="24"/>
          <w:szCs w:val="24"/>
        </w:rPr>
        <w:t>–</w:t>
      </w:r>
      <w:r>
        <w:rPr>
          <w:rFonts w:ascii="Times New Roman" w:hAnsi="Times New Roman" w:cs="Times New Roman"/>
          <w:noProof/>
          <w:sz w:val="24"/>
          <w:szCs w:val="24"/>
        </w:rPr>
        <w:tab/>
        <w:t>прилагане на изискванията за етикетиране и опаковане за изнасяните химикали (член 17)</w:t>
      </w:r>
    </w:p>
    <w:p>
      <w:pPr>
        <w:spacing w:after="0" w:line="360" w:lineRule="auto"/>
        <w:rPr>
          <w:rFonts w:ascii="Times New Roman" w:hAnsi="Times New Roman" w:cs="Times New Roman"/>
          <w:noProof/>
          <w:sz w:val="24"/>
          <w:szCs w:val="24"/>
          <w:highlight w:val="green"/>
        </w:rPr>
      </w:pPr>
    </w:p>
    <w:p>
      <w:pPr>
        <w:spacing w:after="0" w:line="360" w:lineRule="auto"/>
        <w:ind w:left="567" w:hanging="567"/>
        <w:rPr>
          <w:rFonts w:ascii="Times New Roman" w:hAnsi="Times New Roman" w:cs="Times New Roman"/>
          <w:noProof/>
          <w:sz w:val="24"/>
          <w:szCs w:val="24"/>
        </w:rPr>
      </w:pPr>
      <w:r>
        <w:rPr>
          <w:rFonts w:ascii="Times New Roman" w:hAnsi="Times New Roman" w:cs="Times New Roman"/>
          <w:noProof/>
          <w:sz w:val="24"/>
          <w:szCs w:val="24"/>
        </w:rPr>
        <w:t>–</w:t>
      </w:r>
      <w:r>
        <w:rPr>
          <w:rFonts w:ascii="Times New Roman" w:hAnsi="Times New Roman" w:cs="Times New Roman"/>
          <w:noProof/>
          <w:sz w:val="24"/>
          <w:szCs w:val="24"/>
        </w:rPr>
        <w:tab/>
        <w:t>определяне на националните органи за контрол на вноса и износа на химикали (член 18)</w:t>
      </w:r>
    </w:p>
    <w:p>
      <w:pPr>
        <w:spacing w:after="0" w:line="360" w:lineRule="auto"/>
        <w:ind w:left="567" w:hanging="567"/>
        <w:rPr>
          <w:rFonts w:ascii="Times New Roman" w:hAnsi="Times New Roman" w:cs="Times New Roman"/>
          <w:noProof/>
          <w:sz w:val="24"/>
          <w:szCs w:val="24"/>
        </w:rPr>
      </w:pPr>
    </w:p>
    <w:p>
      <w:pPr>
        <w:rPr>
          <w:rFonts w:ascii="Times New Roman" w:hAnsi="Times New Roman" w:cs="Times New Roman"/>
          <w:noProof/>
          <w:sz w:val="24"/>
          <w:szCs w:val="24"/>
          <w:highlight w:val="yellow"/>
        </w:rPr>
      </w:pPr>
      <w:r>
        <w:rPr>
          <w:rFonts w:ascii="Times New Roman" w:hAnsi="Times New Roman" w:cs="Times New Roman"/>
          <w:noProof/>
          <w:sz w:val="24"/>
          <w:szCs w:val="24"/>
        </w:rPr>
        <w:br w:type="page"/>
      </w: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Срокове: тези разпоредби на Регламент (ЕС) № 649/2012 започват да се прилагат в срок от 5 години след влизане в сила на настоящото споразумение.</w:t>
      </w:r>
    </w:p>
    <w:p>
      <w:pPr>
        <w:spacing w:after="0" w:line="360" w:lineRule="auto"/>
        <w:rPr>
          <w:rFonts w:ascii="Times New Roman" w:hAnsi="Times New Roman" w:cs="Times New Roman"/>
          <w:noProof/>
          <w:sz w:val="24"/>
          <w:szCs w:val="24"/>
        </w:rPr>
      </w:pPr>
    </w:p>
    <w:p>
      <w:pP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Регламент (ЕО) № 1272/2008 на Европейския парламент и на Съвета от 16 декември 2008 г. относно класифицирането, етикетирането и опаковането на вещества и смеси, за изменение и за отмяна на директиви 67/548/ЕИО и 1999/45/ЕО и за изменение на Регламент (ЕО) № 1907/2006</w:t>
      </w:r>
    </w:p>
    <w:p>
      <w:pPr>
        <w:spacing w:after="0" w:line="360" w:lineRule="auto"/>
        <w:rPr>
          <w:rFonts w:ascii="Times New Roman" w:hAnsi="Times New Roman" w:cs="Times New Roman"/>
          <w:noProof/>
          <w:sz w:val="24"/>
          <w:szCs w:val="24"/>
        </w:rPr>
      </w:pPr>
    </w:p>
    <w:p>
      <w:pP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От този регламент се прилагат посочените по-долу разпоредби:</w:t>
      </w:r>
    </w:p>
    <w:p>
      <w:pPr>
        <w:spacing w:after="0" w:line="360" w:lineRule="auto"/>
        <w:rPr>
          <w:rFonts w:ascii="Times New Roman" w:hAnsi="Times New Roman" w:cs="Times New Roman"/>
          <w:noProof/>
          <w:sz w:val="24"/>
          <w:szCs w:val="24"/>
        </w:rPr>
      </w:pPr>
    </w:p>
    <w:p>
      <w:pPr>
        <w:spacing w:after="0" w:line="360" w:lineRule="auto"/>
        <w:ind w:left="567" w:hanging="567"/>
        <w:rPr>
          <w:rFonts w:ascii="Times New Roman" w:hAnsi="Times New Roman" w:cs="Times New Roman"/>
          <w:noProof/>
          <w:sz w:val="24"/>
          <w:szCs w:val="24"/>
        </w:rPr>
      </w:pPr>
      <w:bookmarkStart w:id="52" w:name="bookmark79"/>
      <w:r>
        <w:rPr>
          <w:rFonts w:ascii="Times New Roman" w:hAnsi="Times New Roman" w:cs="Times New Roman"/>
          <w:noProof/>
          <w:sz w:val="24"/>
          <w:szCs w:val="24"/>
        </w:rPr>
        <w:t>–</w:t>
      </w:r>
      <w:r>
        <w:rPr>
          <w:rFonts w:ascii="Times New Roman" w:hAnsi="Times New Roman" w:cs="Times New Roman"/>
          <w:noProof/>
          <w:sz w:val="24"/>
          <w:szCs w:val="24"/>
        </w:rPr>
        <w:tab/>
        <w:t>определяне на компетентен(и) орган(и)</w:t>
      </w:r>
      <w:bookmarkEnd w:id="52"/>
    </w:p>
    <w:p>
      <w:pPr>
        <w:spacing w:after="0" w:line="360" w:lineRule="auto"/>
        <w:ind w:left="567" w:hanging="567"/>
        <w:rPr>
          <w:rFonts w:ascii="Times New Roman" w:hAnsi="Times New Roman" w:cs="Times New Roman"/>
          <w:noProof/>
          <w:sz w:val="24"/>
          <w:szCs w:val="24"/>
        </w:rPr>
      </w:pPr>
    </w:p>
    <w:p>
      <w:pPr>
        <w:spacing w:after="0" w:line="360" w:lineRule="auto"/>
        <w:ind w:left="567" w:hanging="567"/>
        <w:rPr>
          <w:rFonts w:ascii="Times New Roman" w:hAnsi="Times New Roman" w:cs="Times New Roman"/>
          <w:noProof/>
          <w:sz w:val="24"/>
          <w:szCs w:val="24"/>
        </w:rPr>
      </w:pPr>
      <w:r>
        <w:rPr>
          <w:rFonts w:ascii="Times New Roman" w:hAnsi="Times New Roman" w:cs="Times New Roman"/>
          <w:noProof/>
          <w:sz w:val="24"/>
          <w:szCs w:val="24"/>
        </w:rPr>
        <w:t>–</w:t>
      </w:r>
      <w:r>
        <w:rPr>
          <w:rFonts w:ascii="Times New Roman" w:hAnsi="Times New Roman" w:cs="Times New Roman"/>
          <w:noProof/>
          <w:sz w:val="24"/>
          <w:szCs w:val="24"/>
        </w:rPr>
        <w:tab/>
        <w:t>прилагане на изискванията за класифициране, етикетиране и опаковане на вещества</w:t>
      </w:r>
    </w:p>
    <w:p>
      <w:pPr>
        <w:spacing w:after="0" w:line="360" w:lineRule="auto"/>
        <w:ind w:left="567" w:hanging="567"/>
        <w:rPr>
          <w:rFonts w:ascii="Times New Roman" w:hAnsi="Times New Roman" w:cs="Times New Roman"/>
          <w:noProof/>
          <w:sz w:val="24"/>
          <w:szCs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Срокове: тези разпоредби на Регламент (ЕО) № 1272/2008 започват да се прилагат в срок от 4 години след влизане в сила на настоящото споразумение.</w:t>
      </w:r>
    </w:p>
    <w:p>
      <w:pPr>
        <w:spacing w:after="0" w:line="360" w:lineRule="auto"/>
        <w:rPr>
          <w:rFonts w:ascii="Times New Roman" w:hAnsi="Times New Roman" w:cs="Times New Roman"/>
          <w:noProof/>
          <w:sz w:val="24"/>
          <w:szCs w:val="24"/>
        </w:rPr>
      </w:pPr>
    </w:p>
    <w:p>
      <w:pPr>
        <w:spacing w:after="0" w:line="360" w:lineRule="auto"/>
        <w:ind w:left="567" w:hanging="567"/>
        <w:rPr>
          <w:rFonts w:ascii="Times New Roman" w:hAnsi="Times New Roman" w:cs="Times New Roman"/>
          <w:noProof/>
          <w:sz w:val="24"/>
          <w:szCs w:val="24"/>
        </w:rPr>
      </w:pPr>
      <w:r>
        <w:rPr>
          <w:rFonts w:ascii="Times New Roman" w:hAnsi="Times New Roman" w:cs="Times New Roman"/>
          <w:noProof/>
          <w:sz w:val="24"/>
          <w:szCs w:val="24"/>
        </w:rPr>
        <w:t>–</w:t>
      </w:r>
      <w:r>
        <w:rPr>
          <w:rFonts w:ascii="Times New Roman" w:hAnsi="Times New Roman" w:cs="Times New Roman"/>
          <w:noProof/>
          <w:sz w:val="24"/>
          <w:szCs w:val="24"/>
        </w:rPr>
        <w:tab/>
        <w:t>прилагане на изискванията за класифициране, етикетиране и опаковане на смеси</w:t>
      </w:r>
    </w:p>
    <w:p>
      <w:pPr>
        <w:spacing w:after="0" w:line="360" w:lineRule="auto"/>
        <w:ind w:left="567" w:hanging="567"/>
        <w:rPr>
          <w:rFonts w:ascii="Times New Roman" w:hAnsi="Times New Roman" w:cs="Times New Roman"/>
          <w:noProof/>
          <w:sz w:val="24"/>
          <w:szCs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Срокове: тези разпоредби на Регламент (ЕО) № 1272/2008 започват да се прилагат в срок от 7 години след влизане в сила на настоящото споразумение.</w:t>
      </w:r>
    </w:p>
    <w:p>
      <w:pPr>
        <w:spacing w:after="0" w:line="360" w:lineRule="auto"/>
        <w:rPr>
          <w:rFonts w:ascii="Times New Roman" w:hAnsi="Times New Roman" w:cs="Times New Roman"/>
          <w:noProof/>
          <w:sz w:val="24"/>
          <w:szCs w:val="24"/>
        </w:rPr>
      </w:pPr>
    </w:p>
    <w:p>
      <w:pPr>
        <w:spacing w:after="0" w:line="360" w:lineRule="auto"/>
        <w:rPr>
          <w:rFonts w:ascii="Times New Roman" w:hAnsi="Times New Roman" w:cs="Times New Roman"/>
          <w:noProof/>
          <w:sz w:val="24"/>
          <w:szCs w:val="24"/>
        </w:rPr>
      </w:pPr>
    </w:p>
    <w:p>
      <w:pPr>
        <w:spacing w:after="0" w:line="360" w:lineRule="auto"/>
        <w:jc w:val="center"/>
        <w:rPr>
          <w:rFonts w:ascii="Times New Roman" w:hAnsi="Times New Roman" w:cs="Times New Roman"/>
          <w:noProof/>
          <w:sz w:val="24"/>
          <w:szCs w:val="24"/>
        </w:rPr>
      </w:pPr>
      <w:r>
        <w:rPr>
          <w:rFonts w:ascii="Times New Roman" w:hAnsi="Times New Roman" w:cs="Times New Roman"/>
          <w:noProof/>
          <w:sz w:val="24"/>
          <w:szCs w:val="24"/>
        </w:rPr>
        <w:t>________________</w:t>
      </w:r>
    </w:p>
    <w:p>
      <w:pPr>
        <w:spacing w:after="0" w:line="360" w:lineRule="auto"/>
        <w:jc w:val="center"/>
        <w:rPr>
          <w:rFonts w:ascii="Times New Roman" w:hAnsi="Times New Roman" w:cs="Times New Roman"/>
          <w:noProof/>
          <w:sz w:val="24"/>
          <w:szCs w:val="24"/>
        </w:rPr>
        <w:sectPr>
          <w:headerReference w:type="even" r:id="rId34"/>
          <w:headerReference w:type="default" r:id="rId35"/>
          <w:footerReference w:type="even" r:id="rId36"/>
          <w:footerReference w:type="default" r:id="rId37"/>
          <w:headerReference w:type="first" r:id="rId38"/>
          <w:footerReference w:type="first" r:id="rId39"/>
          <w:pgSz w:w="11909" w:h="16834" w:code="9"/>
          <w:pgMar w:top="1134" w:right="1134" w:bottom="1134" w:left="1134" w:header="1134" w:footer="1134" w:gutter="0"/>
          <w:pgNumType w:start="1"/>
          <w:cols w:space="720"/>
        </w:sectPr>
      </w:pPr>
    </w:p>
    <w:p>
      <w:pPr>
        <w:spacing w:after="0" w:line="360" w:lineRule="auto"/>
        <w:jc w:val="right"/>
        <w:rPr>
          <w:rFonts w:ascii="Times New Roman" w:hAnsi="Times New Roman" w:cs="Times New Roman"/>
          <w:b/>
          <w:bCs/>
          <w:noProof/>
          <w:sz w:val="24"/>
          <w:szCs w:val="24"/>
          <w:u w:val="single"/>
        </w:rPr>
      </w:pPr>
      <w:r>
        <w:rPr>
          <w:rFonts w:ascii="Times New Roman" w:hAnsi="Times New Roman" w:cs="Times New Roman"/>
          <w:b/>
          <w:noProof/>
          <w:sz w:val="24"/>
          <w:szCs w:val="24"/>
          <w:u w:val="single"/>
        </w:rPr>
        <w:t>ПРИЛОЖЕНИЕ IV</w:t>
      </w:r>
    </w:p>
    <w:p>
      <w:pPr>
        <w:spacing w:after="0" w:line="360" w:lineRule="auto"/>
        <w:rPr>
          <w:rFonts w:ascii="Times New Roman" w:hAnsi="Times New Roman" w:cs="Times New Roman"/>
          <w:noProof/>
          <w:sz w:val="24"/>
          <w:szCs w:val="24"/>
          <w:highlight w:val="red"/>
        </w:rPr>
      </w:pPr>
    </w:p>
    <w:p>
      <w:pPr>
        <w:spacing w:after="0" w:line="360" w:lineRule="auto"/>
        <w:rPr>
          <w:rFonts w:ascii="Times New Roman" w:hAnsi="Times New Roman" w:cs="Times New Roman"/>
          <w:noProof/>
          <w:sz w:val="24"/>
          <w:szCs w:val="24"/>
          <w:highlight w:val="red"/>
        </w:rPr>
      </w:pPr>
    </w:p>
    <w:p>
      <w:pPr>
        <w:spacing w:after="0" w:line="360" w:lineRule="auto"/>
        <w:jc w:val="center"/>
        <w:rPr>
          <w:rFonts w:ascii="Times New Roman" w:hAnsi="Times New Roman" w:cs="Times New Roman"/>
          <w:noProof/>
          <w:sz w:val="24"/>
          <w:szCs w:val="24"/>
        </w:rPr>
      </w:pPr>
      <w:r>
        <w:rPr>
          <w:rFonts w:ascii="Times New Roman" w:hAnsi="Times New Roman" w:cs="Times New Roman"/>
          <w:noProof/>
          <w:sz w:val="24"/>
          <w:szCs w:val="24"/>
        </w:rPr>
        <w:t>към ГЛАВА 4 „ДЕЙСТВИЯ ПО КЛИМАТА“ от ДЯЛ V „ДРУГИ ПОЛИТИКИ ЗА СЪТРУДНИЧЕСТВО“</w:t>
      </w:r>
    </w:p>
    <w:p>
      <w:pPr>
        <w:spacing w:after="0" w:line="360" w:lineRule="auto"/>
        <w:rPr>
          <w:rFonts w:ascii="Times New Roman" w:hAnsi="Times New Roman" w:cs="Times New Roman"/>
          <w:noProof/>
          <w:sz w:val="24"/>
          <w:szCs w:val="24"/>
        </w:rPr>
      </w:pPr>
    </w:p>
    <w:p>
      <w:pP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Република Армения поема ангажимента за постепенно сближаване на своето законодателство с посоченото по-долу законодателство на Европейския съюз в посочените срокове.</w:t>
      </w:r>
    </w:p>
    <w:p>
      <w:pPr>
        <w:spacing w:after="0" w:line="360" w:lineRule="auto"/>
        <w:rPr>
          <w:rFonts w:ascii="Times New Roman" w:hAnsi="Times New Roman" w:cs="Times New Roman"/>
          <w:noProof/>
          <w:sz w:val="24"/>
          <w:szCs w:val="24"/>
        </w:rPr>
      </w:pPr>
    </w:p>
    <w:p>
      <w:pP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Директива 2003/87/ЕО на Европейския Парламент и на Съвета от 13 октомври 2003 г. за установяване на схема за търговия с квоти за емисии на парникови газове в рамките на Общността</w:t>
      </w:r>
    </w:p>
    <w:p>
      <w:pPr>
        <w:spacing w:after="0" w:line="360" w:lineRule="auto"/>
        <w:rPr>
          <w:rFonts w:ascii="Times New Roman" w:hAnsi="Times New Roman" w:cs="Times New Roman"/>
          <w:noProof/>
          <w:sz w:val="24"/>
          <w:szCs w:val="24"/>
        </w:rPr>
      </w:pPr>
    </w:p>
    <w:p>
      <w:pP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От тази директива се прилагат посочените по-долу разпоредби:</w:t>
      </w:r>
    </w:p>
    <w:p>
      <w:pPr>
        <w:spacing w:after="0" w:line="360" w:lineRule="auto"/>
        <w:rPr>
          <w:rFonts w:ascii="Times New Roman" w:hAnsi="Times New Roman" w:cs="Times New Roman"/>
          <w:noProof/>
          <w:sz w:val="24"/>
          <w:szCs w:val="24"/>
        </w:rPr>
      </w:pPr>
    </w:p>
    <w:p>
      <w:pPr>
        <w:spacing w:after="0" w:line="360" w:lineRule="auto"/>
        <w:ind w:left="567" w:hanging="567"/>
        <w:rPr>
          <w:rFonts w:ascii="Times New Roman" w:hAnsi="Times New Roman" w:cs="Times New Roman"/>
          <w:noProof/>
          <w:sz w:val="24"/>
          <w:szCs w:val="24"/>
        </w:rPr>
      </w:pPr>
      <w:r>
        <w:rPr>
          <w:rFonts w:ascii="Times New Roman" w:hAnsi="Times New Roman" w:cs="Times New Roman"/>
          <w:noProof/>
          <w:sz w:val="24"/>
          <w:szCs w:val="24"/>
        </w:rPr>
        <w:t>–</w:t>
      </w:r>
      <w:r>
        <w:rPr>
          <w:rFonts w:ascii="Times New Roman" w:hAnsi="Times New Roman" w:cs="Times New Roman"/>
          <w:noProof/>
          <w:sz w:val="24"/>
          <w:szCs w:val="24"/>
        </w:rPr>
        <w:tab/>
        <w:t>приемане на национално законодателство и определяне на компетентен(и) орган(и)</w:t>
      </w:r>
    </w:p>
    <w:p>
      <w:pPr>
        <w:spacing w:after="0" w:line="360" w:lineRule="auto"/>
        <w:ind w:left="567" w:hanging="567"/>
        <w:rPr>
          <w:rFonts w:ascii="Times New Roman" w:hAnsi="Times New Roman" w:cs="Times New Roman"/>
          <w:noProof/>
          <w:sz w:val="24"/>
          <w:szCs w:val="24"/>
        </w:rPr>
      </w:pPr>
    </w:p>
    <w:p>
      <w:pPr>
        <w:spacing w:after="0" w:line="360" w:lineRule="auto"/>
        <w:ind w:left="567" w:hanging="567"/>
        <w:rPr>
          <w:rFonts w:ascii="Times New Roman" w:hAnsi="Times New Roman" w:cs="Times New Roman"/>
          <w:noProof/>
          <w:sz w:val="24"/>
          <w:szCs w:val="24"/>
        </w:rPr>
      </w:pPr>
      <w:r>
        <w:rPr>
          <w:rFonts w:ascii="Times New Roman" w:hAnsi="Times New Roman" w:cs="Times New Roman"/>
          <w:noProof/>
          <w:sz w:val="24"/>
          <w:szCs w:val="24"/>
        </w:rPr>
        <w:t>–</w:t>
      </w:r>
      <w:r>
        <w:rPr>
          <w:rFonts w:ascii="Times New Roman" w:hAnsi="Times New Roman" w:cs="Times New Roman"/>
          <w:noProof/>
          <w:sz w:val="24"/>
          <w:szCs w:val="24"/>
        </w:rPr>
        <w:tab/>
        <w:t>създаване на система за идентифициране на релевантни инсталации и за идентифициране на парникови газове (приложения I и II)</w:t>
      </w:r>
    </w:p>
    <w:p>
      <w:pPr>
        <w:spacing w:after="0" w:line="360" w:lineRule="auto"/>
        <w:ind w:left="567" w:hanging="567"/>
        <w:rPr>
          <w:rFonts w:ascii="Times New Roman" w:hAnsi="Times New Roman" w:cs="Times New Roman"/>
          <w:noProof/>
          <w:sz w:val="24"/>
          <w:szCs w:val="24"/>
        </w:rPr>
      </w:pPr>
    </w:p>
    <w:p>
      <w:pPr>
        <w:spacing w:after="0" w:line="360" w:lineRule="auto"/>
        <w:ind w:left="567" w:hanging="567"/>
        <w:rPr>
          <w:rFonts w:ascii="Times New Roman" w:hAnsi="Times New Roman" w:cs="Times New Roman"/>
          <w:noProof/>
          <w:sz w:val="24"/>
          <w:szCs w:val="24"/>
        </w:rPr>
      </w:pPr>
      <w:r>
        <w:rPr>
          <w:rFonts w:ascii="Times New Roman" w:hAnsi="Times New Roman" w:cs="Times New Roman"/>
          <w:noProof/>
          <w:sz w:val="24"/>
          <w:szCs w:val="24"/>
        </w:rPr>
        <w:t>–</w:t>
      </w:r>
      <w:r>
        <w:rPr>
          <w:rFonts w:ascii="Times New Roman" w:hAnsi="Times New Roman" w:cs="Times New Roman"/>
          <w:noProof/>
          <w:sz w:val="24"/>
          <w:szCs w:val="24"/>
        </w:rPr>
        <w:tab/>
        <w:t>създаване на системи за мониторинг, докладване, проверка и прилагане и на процедури за провеждане на обществени консултации (членове 14—15, член 16, параграф 1 и член 17)</w:t>
      </w:r>
    </w:p>
    <w:p>
      <w:pPr>
        <w:spacing w:after="0" w:line="360" w:lineRule="auto"/>
        <w:ind w:left="567" w:hanging="567"/>
        <w:rPr>
          <w:rFonts w:ascii="Times New Roman" w:hAnsi="Times New Roman" w:cs="Times New Roman"/>
          <w:noProof/>
          <w:sz w:val="24"/>
          <w:szCs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Срокове: тези разпоредби на Директива 2003/87/ЕО започват да се прилагат в срок от 8 години след влизане в сила на настоящото споразумение.</w:t>
      </w:r>
    </w:p>
    <w:p>
      <w:pPr>
        <w:spacing w:after="0" w:line="360" w:lineRule="auto"/>
        <w:rPr>
          <w:rFonts w:ascii="Times New Roman" w:hAnsi="Times New Roman" w:cs="Times New Roman"/>
          <w:noProof/>
          <w:sz w:val="24"/>
          <w:szCs w:val="24"/>
        </w:rPr>
      </w:pPr>
    </w:p>
    <w:p>
      <w:pP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Регламент (ЕС) № 601/2012 на Комисията от 21 юни 2012 г. относно мониторинга и докладването на емисиите на парникови газове съгласно Директива 2003/87/ЕО на Европейския парламент и на Съвета</w:t>
      </w:r>
    </w:p>
    <w:p>
      <w:pPr>
        <w:spacing w:after="0" w:line="360" w:lineRule="auto"/>
        <w:rPr>
          <w:rFonts w:ascii="Times New Roman" w:hAnsi="Times New Roman" w:cs="Times New Roman"/>
          <w:noProof/>
          <w:sz w:val="24"/>
          <w:szCs w:val="24"/>
        </w:rPr>
      </w:pPr>
    </w:p>
    <w:p>
      <w:pPr>
        <w:rPr>
          <w:rFonts w:ascii="Times New Roman" w:hAnsi="Times New Roman" w:cs="Times New Roman"/>
          <w:noProof/>
          <w:sz w:val="24"/>
          <w:szCs w:val="24"/>
          <w:highlight w:val="yellow"/>
        </w:rPr>
      </w:pPr>
      <w:r>
        <w:rPr>
          <w:rFonts w:ascii="Times New Roman" w:hAnsi="Times New Roman" w:cs="Times New Roman"/>
          <w:noProof/>
          <w:sz w:val="24"/>
          <w:szCs w:val="24"/>
        </w:rPr>
        <w:br w:type="page"/>
      </w: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Срокове: разпоредбите на Регламент (ЕС) № 601/2012 започват да се прилагат в срок от 8 години след влизане в сила на настоящото споразумение.</w:t>
      </w:r>
    </w:p>
    <w:p>
      <w:pPr>
        <w:spacing w:after="0" w:line="360" w:lineRule="auto"/>
        <w:rPr>
          <w:rFonts w:ascii="Times New Roman" w:hAnsi="Times New Roman" w:cs="Times New Roman"/>
          <w:noProof/>
          <w:sz w:val="24"/>
          <w:szCs w:val="24"/>
        </w:rPr>
      </w:pPr>
    </w:p>
    <w:p>
      <w:pP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Регламент (ЕС) № 600/2012 на Комисията от 21 юни 2012 г. относно проверката на докладите за емисии на парникови газове и на докладите за тонкилометри и относно акредитацията на проверяващи органи съгласно Директива 2003/87/ЕО на Европейския парламент и на Съвета</w:t>
      </w:r>
    </w:p>
    <w:p>
      <w:pPr>
        <w:spacing w:after="0" w:line="360" w:lineRule="auto"/>
        <w:rPr>
          <w:rFonts w:ascii="Times New Roman" w:hAnsi="Times New Roman" w:cs="Times New Roman"/>
          <w:noProof/>
          <w:sz w:val="24"/>
          <w:szCs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Срокове: разпоредбите на Регламент (ЕС) № 600/2012 започват да се прилагат в срок от 8 години след влизане в сила на настоящото споразумение.</w:t>
      </w:r>
    </w:p>
    <w:p>
      <w:pPr>
        <w:spacing w:after="0" w:line="360" w:lineRule="auto"/>
        <w:rPr>
          <w:rFonts w:ascii="Times New Roman" w:hAnsi="Times New Roman" w:cs="Times New Roman"/>
          <w:noProof/>
          <w:sz w:val="24"/>
          <w:szCs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В случая с авиационните дейности и техните емисии предвиденото от настоящото споразумение прилагане на разпоредбите на Директива 2003/87/ЕО, Регламент (ЕС) № 601/2012 и Регламент (ЕС) № 600/2012 зависи от изхода на разискванията в рамките на ИКАО по глобална схема с основани на пазара мерки (ОПМ).</w:t>
      </w:r>
    </w:p>
    <w:p>
      <w:pPr>
        <w:spacing w:after="0" w:line="360" w:lineRule="auto"/>
        <w:rPr>
          <w:rFonts w:ascii="Times New Roman" w:hAnsi="Times New Roman" w:cs="Times New Roman"/>
          <w:noProof/>
          <w:sz w:val="24"/>
          <w:szCs w:val="24"/>
        </w:rPr>
      </w:pPr>
    </w:p>
    <w:p>
      <w:pP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Регламент (ЕС) № 525/2013 на Европейския Парламент и на Съвета от 21 май 2013 г. относно механизъм за мониторинг и докладване на емисиите на парникови газове и за докладване на друга информация, свързана с изменението на климата, на национално равнище и на равнището на Съюза и отмяна на Решение № 280/2004/ЕО</w:t>
      </w:r>
    </w:p>
    <w:p>
      <w:pPr>
        <w:spacing w:after="0" w:line="360" w:lineRule="auto"/>
        <w:rPr>
          <w:rFonts w:ascii="Times New Roman" w:hAnsi="Times New Roman" w:cs="Times New Roman"/>
          <w:noProof/>
          <w:sz w:val="24"/>
          <w:szCs w:val="24"/>
        </w:rPr>
      </w:pPr>
    </w:p>
    <w:p>
      <w:pP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От този регламент се прилагат посочените по-долу разпоредби:</w:t>
      </w:r>
    </w:p>
    <w:p>
      <w:pPr>
        <w:spacing w:after="0" w:line="360" w:lineRule="auto"/>
        <w:rPr>
          <w:rFonts w:ascii="Times New Roman" w:hAnsi="Times New Roman" w:cs="Times New Roman"/>
          <w:noProof/>
          <w:sz w:val="24"/>
          <w:szCs w:val="24"/>
        </w:rPr>
      </w:pPr>
    </w:p>
    <w:p>
      <w:pPr>
        <w:spacing w:after="0" w:line="360" w:lineRule="auto"/>
        <w:ind w:left="567" w:hanging="567"/>
        <w:rPr>
          <w:rFonts w:ascii="Times New Roman" w:hAnsi="Times New Roman" w:cs="Times New Roman"/>
          <w:noProof/>
          <w:sz w:val="24"/>
          <w:szCs w:val="24"/>
        </w:rPr>
      </w:pPr>
      <w:r>
        <w:rPr>
          <w:rFonts w:ascii="Times New Roman" w:hAnsi="Times New Roman" w:cs="Times New Roman"/>
          <w:noProof/>
          <w:sz w:val="24"/>
          <w:szCs w:val="24"/>
        </w:rPr>
        <w:t>–</w:t>
      </w:r>
      <w:r>
        <w:rPr>
          <w:rFonts w:ascii="Times New Roman" w:hAnsi="Times New Roman" w:cs="Times New Roman"/>
          <w:noProof/>
          <w:sz w:val="24"/>
          <w:szCs w:val="24"/>
        </w:rPr>
        <w:tab/>
        <w:t>създаване на национална система за инвентаризация (член 5)</w:t>
      </w:r>
    </w:p>
    <w:p>
      <w:pPr>
        <w:spacing w:after="0" w:line="360" w:lineRule="auto"/>
        <w:ind w:left="567" w:hanging="567"/>
        <w:rPr>
          <w:rFonts w:ascii="Times New Roman" w:hAnsi="Times New Roman" w:cs="Times New Roman"/>
          <w:noProof/>
          <w:sz w:val="24"/>
          <w:szCs w:val="24"/>
        </w:rPr>
      </w:pPr>
    </w:p>
    <w:p>
      <w:pPr>
        <w:spacing w:after="0" w:line="360" w:lineRule="auto"/>
        <w:ind w:left="567" w:hanging="567"/>
        <w:rPr>
          <w:rFonts w:ascii="Times New Roman" w:hAnsi="Times New Roman" w:cs="Times New Roman"/>
          <w:noProof/>
          <w:sz w:val="24"/>
          <w:szCs w:val="24"/>
        </w:rPr>
      </w:pPr>
      <w:r>
        <w:rPr>
          <w:rFonts w:ascii="Times New Roman" w:hAnsi="Times New Roman" w:cs="Times New Roman"/>
          <w:noProof/>
          <w:sz w:val="24"/>
          <w:szCs w:val="24"/>
        </w:rPr>
        <w:t>–</w:t>
      </w:r>
      <w:r>
        <w:rPr>
          <w:rFonts w:ascii="Times New Roman" w:hAnsi="Times New Roman" w:cs="Times New Roman"/>
          <w:noProof/>
          <w:sz w:val="24"/>
          <w:szCs w:val="24"/>
        </w:rPr>
        <w:tab/>
        <w:t>създаване на национална система за политики и мерки, и прогнози (член 12)</w:t>
      </w:r>
    </w:p>
    <w:p>
      <w:pPr>
        <w:spacing w:after="0" w:line="360" w:lineRule="auto"/>
        <w:ind w:left="567" w:hanging="567"/>
        <w:rPr>
          <w:rFonts w:ascii="Times New Roman" w:hAnsi="Times New Roman" w:cs="Times New Roman"/>
          <w:noProof/>
          <w:sz w:val="24"/>
          <w:szCs w:val="24"/>
        </w:rPr>
      </w:pPr>
    </w:p>
    <w:p>
      <w:pPr>
        <w:rPr>
          <w:rFonts w:ascii="Times New Roman" w:hAnsi="Times New Roman" w:cs="Times New Roman"/>
          <w:noProof/>
          <w:sz w:val="24"/>
          <w:szCs w:val="24"/>
          <w:highlight w:val="yellow"/>
        </w:rPr>
      </w:pPr>
      <w:r>
        <w:rPr>
          <w:rFonts w:ascii="Times New Roman" w:hAnsi="Times New Roman" w:cs="Times New Roman"/>
          <w:noProof/>
          <w:sz w:val="24"/>
          <w:szCs w:val="24"/>
        </w:rPr>
        <w:br w:type="page"/>
      </w: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Срокове: тези разпоредби на Регламент (ЕС) № 525/2013 започват да се прилагат в срок от 8 години след влизане в сила на настоящото споразумение.</w:t>
      </w:r>
    </w:p>
    <w:p>
      <w:pPr>
        <w:spacing w:after="0" w:line="360" w:lineRule="auto"/>
        <w:rPr>
          <w:rFonts w:ascii="Times New Roman" w:hAnsi="Times New Roman" w:cs="Times New Roman"/>
          <w:noProof/>
          <w:sz w:val="24"/>
          <w:szCs w:val="24"/>
        </w:rPr>
      </w:pPr>
    </w:p>
    <w:p>
      <w:pP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Регламент (ЕС) № 517/2014 на Европейския парламент и на Съвета от 16 април 2014 г. за флуорсъдържащите парникови газове</w:t>
      </w:r>
    </w:p>
    <w:p>
      <w:pPr>
        <w:spacing w:after="0" w:line="360" w:lineRule="auto"/>
        <w:rPr>
          <w:rFonts w:ascii="Times New Roman" w:hAnsi="Times New Roman" w:cs="Times New Roman"/>
          <w:noProof/>
          <w:sz w:val="24"/>
          <w:szCs w:val="24"/>
        </w:rPr>
      </w:pPr>
    </w:p>
    <w:p>
      <w:pP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От този регламент се прилагат посочените по-долу разпоредби:</w:t>
      </w:r>
    </w:p>
    <w:p>
      <w:pPr>
        <w:spacing w:after="0" w:line="360" w:lineRule="auto"/>
        <w:rPr>
          <w:rFonts w:ascii="Times New Roman" w:hAnsi="Times New Roman" w:cs="Times New Roman"/>
          <w:noProof/>
          <w:sz w:val="24"/>
          <w:szCs w:val="24"/>
        </w:rPr>
      </w:pPr>
    </w:p>
    <w:p>
      <w:pPr>
        <w:spacing w:after="0" w:line="360" w:lineRule="auto"/>
        <w:ind w:left="567" w:hanging="567"/>
        <w:rPr>
          <w:rFonts w:ascii="Times New Roman" w:hAnsi="Times New Roman" w:cs="Times New Roman"/>
          <w:noProof/>
          <w:sz w:val="24"/>
          <w:szCs w:val="24"/>
        </w:rPr>
      </w:pPr>
      <w:r>
        <w:rPr>
          <w:rFonts w:ascii="Times New Roman" w:hAnsi="Times New Roman" w:cs="Times New Roman"/>
          <w:noProof/>
          <w:sz w:val="24"/>
          <w:szCs w:val="24"/>
        </w:rPr>
        <w:t>–</w:t>
      </w:r>
      <w:r>
        <w:rPr>
          <w:rFonts w:ascii="Times New Roman" w:hAnsi="Times New Roman" w:cs="Times New Roman"/>
          <w:noProof/>
          <w:sz w:val="24"/>
          <w:szCs w:val="24"/>
        </w:rPr>
        <w:tab/>
        <w:t>приемане на национално законодателство и определяне на компетентен(и) орган(и)</w:t>
      </w:r>
    </w:p>
    <w:p>
      <w:pPr>
        <w:spacing w:after="0" w:line="360" w:lineRule="auto"/>
        <w:ind w:left="567" w:hanging="567"/>
        <w:rPr>
          <w:rFonts w:ascii="Times New Roman" w:hAnsi="Times New Roman" w:cs="Times New Roman"/>
          <w:noProof/>
          <w:sz w:val="24"/>
          <w:szCs w:val="24"/>
        </w:rPr>
      </w:pPr>
    </w:p>
    <w:p>
      <w:pPr>
        <w:spacing w:after="0" w:line="360" w:lineRule="auto"/>
        <w:ind w:left="567" w:hanging="567"/>
        <w:rPr>
          <w:rFonts w:ascii="Times New Roman" w:hAnsi="Times New Roman" w:cs="Times New Roman"/>
          <w:noProof/>
          <w:sz w:val="24"/>
          <w:szCs w:val="24"/>
        </w:rPr>
      </w:pPr>
      <w:r>
        <w:rPr>
          <w:rFonts w:ascii="Times New Roman" w:hAnsi="Times New Roman" w:cs="Times New Roman"/>
          <w:noProof/>
          <w:sz w:val="24"/>
          <w:szCs w:val="24"/>
        </w:rPr>
        <w:t>–</w:t>
      </w:r>
      <w:r>
        <w:rPr>
          <w:rFonts w:ascii="Times New Roman" w:hAnsi="Times New Roman" w:cs="Times New Roman"/>
          <w:noProof/>
          <w:sz w:val="24"/>
          <w:szCs w:val="24"/>
        </w:rPr>
        <w:tab/>
        <w:t>въвеждане на система за предотвратяване на емисиите (член 3), създаване на правила за проверките за течове в съответствие с член 4 и член 5 и създаване на система за водене на документация в съответствие с член 6</w:t>
      </w:r>
    </w:p>
    <w:p>
      <w:pPr>
        <w:spacing w:after="0" w:line="360" w:lineRule="auto"/>
        <w:ind w:left="567" w:hanging="567"/>
        <w:rPr>
          <w:rFonts w:ascii="Times New Roman" w:hAnsi="Times New Roman" w:cs="Times New Roman"/>
          <w:noProof/>
          <w:sz w:val="24"/>
          <w:szCs w:val="24"/>
        </w:rPr>
      </w:pPr>
    </w:p>
    <w:p>
      <w:pPr>
        <w:spacing w:after="0" w:line="360" w:lineRule="auto"/>
        <w:ind w:left="567" w:hanging="567"/>
        <w:rPr>
          <w:rFonts w:ascii="Times New Roman" w:hAnsi="Times New Roman" w:cs="Times New Roman"/>
          <w:noProof/>
          <w:sz w:val="24"/>
          <w:szCs w:val="24"/>
        </w:rPr>
      </w:pPr>
      <w:r>
        <w:rPr>
          <w:rFonts w:ascii="Times New Roman" w:hAnsi="Times New Roman" w:cs="Times New Roman"/>
          <w:noProof/>
          <w:sz w:val="24"/>
          <w:szCs w:val="24"/>
        </w:rPr>
        <w:t>–</w:t>
      </w:r>
      <w:r>
        <w:rPr>
          <w:rFonts w:ascii="Times New Roman" w:hAnsi="Times New Roman" w:cs="Times New Roman"/>
          <w:noProof/>
          <w:sz w:val="24"/>
          <w:szCs w:val="24"/>
        </w:rPr>
        <w:tab/>
        <w:t>гарантиране на възстановяване съгласно правилата, предвидени в членове 8 и 9</w:t>
      </w:r>
    </w:p>
    <w:p>
      <w:pPr>
        <w:spacing w:after="0" w:line="360" w:lineRule="auto"/>
        <w:ind w:left="567" w:hanging="567"/>
        <w:rPr>
          <w:rFonts w:ascii="Times New Roman" w:hAnsi="Times New Roman" w:cs="Times New Roman"/>
          <w:noProof/>
          <w:sz w:val="24"/>
          <w:szCs w:val="24"/>
        </w:rPr>
      </w:pPr>
    </w:p>
    <w:p>
      <w:pPr>
        <w:spacing w:after="0" w:line="360" w:lineRule="auto"/>
        <w:ind w:left="567" w:hanging="567"/>
        <w:rPr>
          <w:rFonts w:ascii="Times New Roman" w:hAnsi="Times New Roman" w:cs="Times New Roman"/>
          <w:noProof/>
          <w:sz w:val="24"/>
          <w:szCs w:val="24"/>
        </w:rPr>
      </w:pPr>
      <w:r>
        <w:rPr>
          <w:rFonts w:ascii="Times New Roman" w:hAnsi="Times New Roman" w:cs="Times New Roman"/>
          <w:noProof/>
          <w:sz w:val="24"/>
          <w:szCs w:val="24"/>
        </w:rPr>
        <w:t>–</w:t>
      </w:r>
      <w:r>
        <w:rPr>
          <w:rFonts w:ascii="Times New Roman" w:hAnsi="Times New Roman" w:cs="Times New Roman"/>
          <w:noProof/>
          <w:sz w:val="24"/>
          <w:szCs w:val="24"/>
        </w:rPr>
        <w:tab/>
        <w:t>установяване/адаптиране на национални изисквания за обучение и сертифициране за съответния персонал и дружества (член 10)</w:t>
      </w:r>
    </w:p>
    <w:p>
      <w:pPr>
        <w:spacing w:after="0" w:line="360" w:lineRule="auto"/>
        <w:ind w:left="567" w:hanging="567"/>
        <w:rPr>
          <w:rFonts w:ascii="Times New Roman" w:hAnsi="Times New Roman" w:cs="Times New Roman"/>
          <w:noProof/>
          <w:sz w:val="24"/>
          <w:szCs w:val="24"/>
        </w:rPr>
      </w:pPr>
    </w:p>
    <w:p>
      <w:pPr>
        <w:spacing w:after="0" w:line="360" w:lineRule="auto"/>
        <w:ind w:left="567" w:hanging="567"/>
        <w:rPr>
          <w:rFonts w:ascii="Times New Roman" w:hAnsi="Times New Roman" w:cs="Times New Roman"/>
          <w:noProof/>
          <w:sz w:val="24"/>
          <w:szCs w:val="24"/>
        </w:rPr>
      </w:pPr>
      <w:r>
        <w:rPr>
          <w:rFonts w:ascii="Times New Roman" w:hAnsi="Times New Roman" w:cs="Times New Roman"/>
          <w:noProof/>
          <w:sz w:val="24"/>
          <w:szCs w:val="24"/>
        </w:rPr>
        <w:t>–</w:t>
      </w:r>
      <w:r>
        <w:rPr>
          <w:rFonts w:ascii="Times New Roman" w:hAnsi="Times New Roman" w:cs="Times New Roman"/>
          <w:noProof/>
          <w:sz w:val="24"/>
          <w:szCs w:val="24"/>
        </w:rPr>
        <w:tab/>
        <w:t>създаване на система за етикетиране на продукти и оборудване, които съдържат или чието функциониране зависи от флуорсъдържащи парникови газове (член 12)</w:t>
      </w:r>
    </w:p>
    <w:p>
      <w:pPr>
        <w:spacing w:after="0" w:line="360" w:lineRule="auto"/>
        <w:ind w:left="567" w:hanging="567"/>
        <w:rPr>
          <w:rFonts w:ascii="Times New Roman" w:hAnsi="Times New Roman" w:cs="Times New Roman"/>
          <w:noProof/>
          <w:sz w:val="24"/>
          <w:szCs w:val="24"/>
        </w:rPr>
      </w:pPr>
    </w:p>
    <w:p>
      <w:pPr>
        <w:spacing w:after="0" w:line="360" w:lineRule="auto"/>
        <w:ind w:left="567" w:hanging="567"/>
        <w:rPr>
          <w:rFonts w:ascii="Times New Roman" w:hAnsi="Times New Roman" w:cs="Times New Roman"/>
          <w:noProof/>
          <w:sz w:val="24"/>
          <w:szCs w:val="24"/>
        </w:rPr>
      </w:pPr>
      <w:r>
        <w:rPr>
          <w:rFonts w:ascii="Times New Roman" w:hAnsi="Times New Roman" w:cs="Times New Roman"/>
          <w:noProof/>
          <w:sz w:val="24"/>
          <w:szCs w:val="24"/>
        </w:rPr>
        <w:t>–</w:t>
      </w:r>
      <w:r>
        <w:rPr>
          <w:rFonts w:ascii="Times New Roman" w:hAnsi="Times New Roman" w:cs="Times New Roman"/>
          <w:noProof/>
          <w:sz w:val="24"/>
          <w:szCs w:val="24"/>
        </w:rPr>
        <w:tab/>
        <w:t>създаване на системи за докладване за получаване на данни за емисиите от съответните сектори (членове 19 и 20)</w:t>
      </w:r>
    </w:p>
    <w:p>
      <w:pPr>
        <w:spacing w:after="0" w:line="360" w:lineRule="auto"/>
        <w:ind w:left="567" w:hanging="567"/>
        <w:rPr>
          <w:rFonts w:ascii="Times New Roman" w:hAnsi="Times New Roman" w:cs="Times New Roman"/>
          <w:noProof/>
          <w:sz w:val="24"/>
          <w:szCs w:val="24"/>
        </w:rPr>
      </w:pPr>
    </w:p>
    <w:p>
      <w:pPr>
        <w:spacing w:after="0" w:line="360" w:lineRule="auto"/>
        <w:ind w:left="567" w:hanging="567"/>
        <w:rPr>
          <w:rFonts w:ascii="Times New Roman" w:hAnsi="Times New Roman" w:cs="Times New Roman"/>
          <w:noProof/>
          <w:sz w:val="24"/>
          <w:szCs w:val="24"/>
        </w:rPr>
      </w:pPr>
      <w:r>
        <w:rPr>
          <w:rFonts w:ascii="Times New Roman" w:hAnsi="Times New Roman" w:cs="Times New Roman"/>
          <w:noProof/>
          <w:sz w:val="24"/>
          <w:szCs w:val="24"/>
        </w:rPr>
        <w:t>–</w:t>
      </w:r>
      <w:r>
        <w:rPr>
          <w:rFonts w:ascii="Times New Roman" w:hAnsi="Times New Roman" w:cs="Times New Roman"/>
          <w:noProof/>
          <w:sz w:val="24"/>
          <w:szCs w:val="24"/>
        </w:rPr>
        <w:tab/>
        <w:t>създаване на система за прилагане на санкциите (член 25)</w:t>
      </w:r>
    </w:p>
    <w:p>
      <w:pPr>
        <w:spacing w:after="0" w:line="360" w:lineRule="auto"/>
        <w:ind w:left="567" w:hanging="567"/>
        <w:rPr>
          <w:rFonts w:ascii="Times New Roman" w:hAnsi="Times New Roman" w:cs="Times New Roman"/>
          <w:noProof/>
          <w:sz w:val="24"/>
          <w:szCs w:val="24"/>
        </w:rPr>
      </w:pPr>
    </w:p>
    <w:p>
      <w:pPr>
        <w:rPr>
          <w:rFonts w:ascii="Times New Roman" w:hAnsi="Times New Roman" w:cs="Times New Roman"/>
          <w:noProof/>
          <w:sz w:val="24"/>
          <w:szCs w:val="24"/>
        </w:rPr>
      </w:pPr>
      <w:r>
        <w:rPr>
          <w:rFonts w:ascii="Times New Roman" w:hAnsi="Times New Roman" w:cs="Times New Roman"/>
          <w:noProof/>
          <w:sz w:val="24"/>
          <w:szCs w:val="24"/>
        </w:rPr>
        <w:br w:type="page"/>
      </w: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Срокове: тези разпоредби на Регламент (ЕС) № 517/2014 започват да се прилагат в срок от 6 години след влизане в сила на настоящото споразумение.</w:t>
      </w:r>
    </w:p>
    <w:p>
      <w:pPr>
        <w:spacing w:after="0" w:line="360" w:lineRule="auto"/>
        <w:rPr>
          <w:rFonts w:ascii="Times New Roman" w:hAnsi="Times New Roman" w:cs="Times New Roman"/>
          <w:noProof/>
          <w:sz w:val="24"/>
          <w:szCs w:val="24"/>
        </w:rPr>
      </w:pPr>
    </w:p>
    <w:p>
      <w:pP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Регламент (ЕО) № 1005/2009 на Европейския парламент и на Съвета от 16 септември 2009 г. относно вещества, които нарушават озоновия слой</w:t>
      </w:r>
    </w:p>
    <w:p>
      <w:pPr>
        <w:spacing w:after="0" w:line="360" w:lineRule="auto"/>
        <w:rPr>
          <w:rFonts w:ascii="Times New Roman" w:hAnsi="Times New Roman" w:cs="Times New Roman"/>
          <w:noProof/>
          <w:sz w:val="24"/>
          <w:szCs w:val="24"/>
        </w:rPr>
      </w:pPr>
    </w:p>
    <w:p>
      <w:pP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От този регламент се прилагат посочените по-долу разпоредби:</w:t>
      </w:r>
    </w:p>
    <w:p>
      <w:pPr>
        <w:spacing w:after="0" w:line="360" w:lineRule="auto"/>
        <w:ind w:left="567" w:hanging="567"/>
        <w:rPr>
          <w:rFonts w:ascii="Times New Roman" w:hAnsi="Times New Roman" w:cs="Times New Roman"/>
          <w:noProof/>
          <w:sz w:val="24"/>
          <w:szCs w:val="24"/>
        </w:rPr>
      </w:pPr>
    </w:p>
    <w:p>
      <w:pPr>
        <w:spacing w:after="0" w:line="360" w:lineRule="auto"/>
        <w:ind w:left="567" w:hanging="567"/>
        <w:rPr>
          <w:rFonts w:ascii="Times New Roman" w:hAnsi="Times New Roman" w:cs="Times New Roman"/>
          <w:noProof/>
          <w:sz w:val="24"/>
          <w:szCs w:val="24"/>
        </w:rPr>
      </w:pPr>
      <w:r>
        <w:rPr>
          <w:rFonts w:ascii="Times New Roman" w:hAnsi="Times New Roman" w:cs="Times New Roman"/>
          <w:noProof/>
          <w:sz w:val="24"/>
          <w:szCs w:val="24"/>
        </w:rPr>
        <w:t>–</w:t>
      </w:r>
      <w:r>
        <w:rPr>
          <w:rFonts w:ascii="Times New Roman" w:hAnsi="Times New Roman" w:cs="Times New Roman"/>
          <w:noProof/>
          <w:sz w:val="24"/>
          <w:szCs w:val="24"/>
        </w:rPr>
        <w:tab/>
        <w:t>приемане на национално законодателство и определяне на компетентен(и) орган(и)</w:t>
      </w:r>
    </w:p>
    <w:p>
      <w:pPr>
        <w:spacing w:after="0" w:line="360" w:lineRule="auto"/>
        <w:ind w:left="567" w:hanging="567"/>
        <w:rPr>
          <w:rFonts w:ascii="Times New Roman" w:hAnsi="Times New Roman" w:cs="Times New Roman"/>
          <w:noProof/>
          <w:sz w:val="24"/>
          <w:szCs w:val="24"/>
        </w:rPr>
      </w:pPr>
    </w:p>
    <w:p>
      <w:pPr>
        <w:spacing w:after="0" w:line="360" w:lineRule="auto"/>
        <w:ind w:left="567" w:hanging="567"/>
        <w:rPr>
          <w:rFonts w:ascii="Times New Roman" w:hAnsi="Times New Roman" w:cs="Times New Roman"/>
          <w:noProof/>
          <w:sz w:val="24"/>
          <w:szCs w:val="24"/>
        </w:rPr>
      </w:pPr>
      <w:r>
        <w:rPr>
          <w:rFonts w:ascii="Times New Roman" w:hAnsi="Times New Roman" w:cs="Times New Roman"/>
          <w:noProof/>
          <w:sz w:val="24"/>
          <w:szCs w:val="24"/>
        </w:rPr>
        <w:t>–</w:t>
      </w:r>
      <w:r>
        <w:rPr>
          <w:rFonts w:ascii="Times New Roman" w:hAnsi="Times New Roman" w:cs="Times New Roman"/>
          <w:noProof/>
          <w:sz w:val="24"/>
          <w:szCs w:val="24"/>
        </w:rPr>
        <w:tab/>
        <w:t>въвеждане на забрана на производството на контролирани вещества, освен за специфични случаи, и до [1 януари 2019 г.] — на флуорохлоровъглеводороди (HCFC) (член 4)</w:t>
      </w:r>
    </w:p>
    <w:p>
      <w:pPr>
        <w:spacing w:after="0" w:line="360" w:lineRule="auto"/>
        <w:ind w:left="567" w:hanging="567"/>
        <w:rPr>
          <w:rFonts w:ascii="Times New Roman" w:hAnsi="Times New Roman" w:cs="Times New Roman"/>
          <w:noProof/>
          <w:sz w:val="24"/>
          <w:szCs w:val="24"/>
        </w:rPr>
      </w:pPr>
    </w:p>
    <w:p>
      <w:pPr>
        <w:spacing w:after="0" w:line="360" w:lineRule="auto"/>
        <w:ind w:left="567" w:hanging="567"/>
        <w:rPr>
          <w:rFonts w:ascii="Times New Roman" w:hAnsi="Times New Roman" w:cs="Times New Roman"/>
          <w:noProof/>
          <w:sz w:val="24"/>
          <w:szCs w:val="24"/>
        </w:rPr>
      </w:pPr>
      <w:r>
        <w:rPr>
          <w:rFonts w:ascii="Times New Roman" w:hAnsi="Times New Roman" w:cs="Times New Roman"/>
          <w:noProof/>
          <w:sz w:val="24"/>
          <w:szCs w:val="24"/>
        </w:rPr>
        <w:t>–</w:t>
      </w:r>
      <w:r>
        <w:rPr>
          <w:rFonts w:ascii="Times New Roman" w:hAnsi="Times New Roman" w:cs="Times New Roman"/>
          <w:noProof/>
          <w:sz w:val="24"/>
          <w:szCs w:val="24"/>
        </w:rPr>
        <w:tab/>
        <w:t>определяне на условията за производство, пускане на пазара и употреба на контролирани вещества за освободена употреба (като изходна суровина, производствени агенти, за основни лабораторни и аналитични употреби, използването на халони за критични употреби) и индивидуални дерогации, включително употребата на метилбромид при спешни случаи (глава III)</w:t>
      </w:r>
    </w:p>
    <w:p>
      <w:pPr>
        <w:spacing w:after="0" w:line="360" w:lineRule="auto"/>
        <w:ind w:left="567" w:hanging="567"/>
        <w:rPr>
          <w:rFonts w:ascii="Times New Roman" w:hAnsi="Times New Roman" w:cs="Times New Roman"/>
          <w:noProof/>
          <w:sz w:val="24"/>
          <w:szCs w:val="24"/>
        </w:rPr>
      </w:pPr>
    </w:p>
    <w:p>
      <w:pPr>
        <w:spacing w:after="0" w:line="360" w:lineRule="auto"/>
        <w:ind w:left="567" w:hanging="567"/>
        <w:rPr>
          <w:rFonts w:ascii="Times New Roman" w:hAnsi="Times New Roman" w:cs="Times New Roman"/>
          <w:noProof/>
          <w:sz w:val="24"/>
          <w:szCs w:val="24"/>
        </w:rPr>
      </w:pPr>
      <w:r>
        <w:rPr>
          <w:rFonts w:ascii="Times New Roman" w:hAnsi="Times New Roman" w:cs="Times New Roman"/>
          <w:noProof/>
          <w:sz w:val="24"/>
          <w:szCs w:val="24"/>
        </w:rPr>
        <w:t>–</w:t>
      </w:r>
      <w:r>
        <w:rPr>
          <w:rFonts w:ascii="Times New Roman" w:hAnsi="Times New Roman" w:cs="Times New Roman"/>
          <w:noProof/>
          <w:sz w:val="24"/>
          <w:szCs w:val="24"/>
        </w:rPr>
        <w:tab/>
        <w:t>създаване на лицензионна система за вноса и износа на контролирани вещества за освободена употреба (глава IV) и въвеждане на задължения за докладване за предприятията (членове 26 и 27)</w:t>
      </w:r>
    </w:p>
    <w:p>
      <w:pPr>
        <w:spacing w:after="0" w:line="360" w:lineRule="auto"/>
        <w:ind w:left="567" w:hanging="567"/>
        <w:rPr>
          <w:rFonts w:ascii="Times New Roman" w:hAnsi="Times New Roman" w:cs="Times New Roman"/>
          <w:noProof/>
          <w:sz w:val="24"/>
          <w:szCs w:val="24"/>
        </w:rPr>
      </w:pPr>
    </w:p>
    <w:p>
      <w:pPr>
        <w:spacing w:after="0" w:line="360" w:lineRule="auto"/>
        <w:ind w:left="567" w:hanging="567"/>
        <w:rPr>
          <w:rFonts w:ascii="Times New Roman" w:hAnsi="Times New Roman" w:cs="Times New Roman"/>
          <w:noProof/>
          <w:sz w:val="24"/>
          <w:szCs w:val="24"/>
        </w:rPr>
      </w:pPr>
      <w:r>
        <w:rPr>
          <w:rFonts w:ascii="Times New Roman" w:hAnsi="Times New Roman" w:cs="Times New Roman"/>
          <w:noProof/>
          <w:sz w:val="24"/>
          <w:szCs w:val="24"/>
        </w:rPr>
        <w:t>–</w:t>
      </w:r>
      <w:r>
        <w:rPr>
          <w:rFonts w:ascii="Times New Roman" w:hAnsi="Times New Roman" w:cs="Times New Roman"/>
          <w:noProof/>
          <w:sz w:val="24"/>
          <w:szCs w:val="24"/>
        </w:rPr>
        <w:tab/>
        <w:t>въвеждане на задължения за извличане, рециклиране, регенериране и унищожаване на използваните контролирани вещества (член 22)</w:t>
      </w:r>
    </w:p>
    <w:p>
      <w:pPr>
        <w:spacing w:after="0" w:line="360" w:lineRule="auto"/>
        <w:ind w:left="567" w:hanging="567"/>
        <w:rPr>
          <w:rFonts w:ascii="Times New Roman" w:hAnsi="Times New Roman" w:cs="Times New Roman"/>
          <w:noProof/>
          <w:sz w:val="24"/>
          <w:szCs w:val="24"/>
        </w:rPr>
      </w:pPr>
    </w:p>
    <w:p>
      <w:pPr>
        <w:spacing w:after="0" w:line="360" w:lineRule="auto"/>
        <w:ind w:left="567" w:hanging="567"/>
        <w:rPr>
          <w:rFonts w:ascii="Times New Roman" w:hAnsi="Times New Roman" w:cs="Times New Roman"/>
          <w:noProof/>
          <w:sz w:val="24"/>
          <w:szCs w:val="24"/>
        </w:rPr>
      </w:pPr>
      <w:r>
        <w:rPr>
          <w:rFonts w:ascii="Times New Roman" w:hAnsi="Times New Roman" w:cs="Times New Roman"/>
          <w:noProof/>
          <w:sz w:val="24"/>
          <w:szCs w:val="24"/>
        </w:rPr>
        <w:t>–</w:t>
      </w:r>
      <w:r>
        <w:rPr>
          <w:rFonts w:ascii="Times New Roman" w:hAnsi="Times New Roman" w:cs="Times New Roman"/>
          <w:noProof/>
          <w:sz w:val="24"/>
          <w:szCs w:val="24"/>
        </w:rPr>
        <w:tab/>
        <w:t>създаване на процедури за наблюдение и инспектиране на изтичането на контролирани вещества (член 23)</w:t>
      </w:r>
    </w:p>
    <w:p>
      <w:pPr>
        <w:spacing w:after="0" w:line="360" w:lineRule="auto"/>
        <w:ind w:left="567" w:hanging="567"/>
        <w:rPr>
          <w:rFonts w:ascii="Times New Roman" w:hAnsi="Times New Roman" w:cs="Times New Roman"/>
          <w:noProof/>
          <w:sz w:val="24"/>
          <w:szCs w:val="24"/>
        </w:rPr>
      </w:pPr>
    </w:p>
    <w:p>
      <w:pPr>
        <w:rPr>
          <w:rFonts w:ascii="Times New Roman" w:hAnsi="Times New Roman" w:cs="Times New Roman"/>
          <w:noProof/>
          <w:sz w:val="24"/>
          <w:szCs w:val="24"/>
        </w:rPr>
      </w:pPr>
      <w:r>
        <w:rPr>
          <w:rFonts w:ascii="Times New Roman" w:hAnsi="Times New Roman" w:cs="Times New Roman"/>
          <w:noProof/>
          <w:sz w:val="24"/>
          <w:szCs w:val="24"/>
        </w:rPr>
        <w:br w:type="page"/>
      </w: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Срокове: тези разпоредби на Регламент (ЕО) № 1005/2009 започват да се прилагат в срок от 6 години след влизане в сила на настоящото споразумение.</w:t>
      </w:r>
    </w:p>
    <w:p>
      <w:pPr>
        <w:spacing w:after="0" w:line="360" w:lineRule="auto"/>
        <w:rPr>
          <w:rFonts w:ascii="Times New Roman" w:hAnsi="Times New Roman" w:cs="Times New Roman"/>
          <w:noProof/>
          <w:sz w:val="24"/>
          <w:szCs w:val="24"/>
        </w:rPr>
      </w:pPr>
    </w:p>
    <w:p>
      <w:pPr>
        <w:spacing w:after="0" w:line="360" w:lineRule="auto"/>
        <w:ind w:left="567" w:hanging="567"/>
        <w:rPr>
          <w:rFonts w:ascii="Times New Roman" w:hAnsi="Times New Roman" w:cs="Times New Roman"/>
          <w:noProof/>
          <w:sz w:val="24"/>
          <w:szCs w:val="24"/>
        </w:rPr>
      </w:pPr>
      <w:r>
        <w:rPr>
          <w:rFonts w:ascii="Times New Roman" w:hAnsi="Times New Roman" w:cs="Times New Roman"/>
          <w:noProof/>
          <w:sz w:val="24"/>
          <w:szCs w:val="24"/>
        </w:rPr>
        <w:t>–</w:t>
      </w:r>
      <w:r>
        <w:rPr>
          <w:rFonts w:ascii="Times New Roman" w:hAnsi="Times New Roman" w:cs="Times New Roman"/>
          <w:noProof/>
          <w:sz w:val="24"/>
          <w:szCs w:val="24"/>
        </w:rPr>
        <w:tab/>
        <w:t>въвеждане на забрана на пускането на пазара и на употребата на контролирани вещества, освен на регенерирани HCFC, които могат да се използват като хладилен агент до 1 януари 2030 г. (членове 5 и 11)</w:t>
      </w:r>
    </w:p>
    <w:p>
      <w:pPr>
        <w:spacing w:after="0" w:line="360" w:lineRule="auto"/>
        <w:ind w:left="567" w:hanging="567"/>
        <w:rPr>
          <w:rFonts w:ascii="Times New Roman" w:hAnsi="Times New Roman" w:cs="Times New Roman"/>
          <w:noProof/>
          <w:sz w:val="24"/>
          <w:szCs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Срокове: тези разпоредби на Регламент (ЕО) № 1005/2009 започват да се прилагат до 1 януари 2030 г.</w:t>
      </w:r>
    </w:p>
    <w:p>
      <w:pPr>
        <w:spacing w:after="0" w:line="360" w:lineRule="auto"/>
        <w:rPr>
          <w:rFonts w:ascii="Times New Roman" w:hAnsi="Times New Roman" w:cs="Times New Roman"/>
          <w:noProof/>
          <w:sz w:val="24"/>
          <w:szCs w:val="24"/>
        </w:rPr>
      </w:pPr>
    </w:p>
    <w:p>
      <w:pPr>
        <w:spacing w:after="0" w:line="360" w:lineRule="auto"/>
        <w:rPr>
          <w:rFonts w:ascii="Times New Roman" w:hAnsi="Times New Roman" w:cs="Times New Roman"/>
          <w:noProof/>
          <w:sz w:val="24"/>
          <w:szCs w:val="24"/>
        </w:rPr>
      </w:pPr>
    </w:p>
    <w:p>
      <w:pPr>
        <w:spacing w:after="0" w:line="360" w:lineRule="auto"/>
        <w:jc w:val="center"/>
        <w:rPr>
          <w:rFonts w:ascii="Times New Roman" w:hAnsi="Times New Roman" w:cs="Times New Roman"/>
          <w:noProof/>
          <w:sz w:val="24"/>
          <w:szCs w:val="24"/>
        </w:rPr>
      </w:pPr>
      <w:r>
        <w:rPr>
          <w:rFonts w:ascii="Times New Roman" w:hAnsi="Times New Roman" w:cs="Times New Roman"/>
          <w:noProof/>
          <w:sz w:val="24"/>
          <w:szCs w:val="24"/>
        </w:rPr>
        <w:t>________________</w:t>
      </w:r>
    </w:p>
    <w:p>
      <w:pPr>
        <w:spacing w:after="0" w:line="360" w:lineRule="auto"/>
        <w:jc w:val="center"/>
        <w:rPr>
          <w:rFonts w:ascii="Times New Roman" w:hAnsi="Times New Roman" w:cs="Times New Roman"/>
          <w:noProof/>
          <w:sz w:val="24"/>
          <w:szCs w:val="24"/>
        </w:rPr>
        <w:sectPr>
          <w:headerReference w:type="even" r:id="rId40"/>
          <w:headerReference w:type="default" r:id="rId41"/>
          <w:footerReference w:type="even" r:id="rId42"/>
          <w:footerReference w:type="default" r:id="rId43"/>
          <w:headerReference w:type="first" r:id="rId44"/>
          <w:footerReference w:type="first" r:id="rId45"/>
          <w:pgSz w:w="11909" w:h="16834" w:code="9"/>
          <w:pgMar w:top="1134" w:right="1134" w:bottom="1134" w:left="1134" w:header="1134" w:footer="1134" w:gutter="0"/>
          <w:pgNumType w:start="1"/>
          <w:cols w:space="720"/>
        </w:sectPr>
      </w:pPr>
    </w:p>
    <w:p>
      <w:pPr>
        <w:spacing w:after="0" w:line="360" w:lineRule="auto"/>
        <w:jc w:val="right"/>
        <w:rPr>
          <w:rFonts w:ascii="Times New Roman" w:hAnsi="Times New Roman" w:cs="Times New Roman"/>
          <w:b/>
          <w:bCs/>
          <w:noProof/>
          <w:sz w:val="24"/>
          <w:szCs w:val="24"/>
          <w:u w:val="single"/>
        </w:rPr>
      </w:pPr>
      <w:r>
        <w:rPr>
          <w:rFonts w:ascii="Times New Roman" w:hAnsi="Times New Roman" w:cs="Times New Roman"/>
          <w:b/>
          <w:noProof/>
          <w:sz w:val="24"/>
          <w:szCs w:val="24"/>
          <w:u w:val="single"/>
        </w:rPr>
        <w:t>ПРИЛОЖЕНИЕ V</w:t>
      </w:r>
    </w:p>
    <w:p>
      <w:pPr>
        <w:spacing w:after="0" w:line="360" w:lineRule="auto"/>
        <w:jc w:val="center"/>
        <w:rPr>
          <w:rFonts w:ascii="Times New Roman" w:hAnsi="Times New Roman" w:cs="Times New Roman"/>
          <w:noProof/>
          <w:sz w:val="24"/>
          <w:szCs w:val="24"/>
          <w:highlight w:val="red"/>
        </w:rPr>
      </w:pPr>
    </w:p>
    <w:p>
      <w:pPr>
        <w:spacing w:after="0" w:line="360" w:lineRule="auto"/>
        <w:jc w:val="center"/>
        <w:rPr>
          <w:rFonts w:ascii="Times New Roman" w:hAnsi="Times New Roman" w:cs="Times New Roman"/>
          <w:noProof/>
          <w:sz w:val="24"/>
          <w:szCs w:val="24"/>
          <w:highlight w:val="red"/>
        </w:rPr>
      </w:pPr>
    </w:p>
    <w:p>
      <w:pPr>
        <w:spacing w:after="0" w:line="360" w:lineRule="auto"/>
        <w:jc w:val="center"/>
        <w:rPr>
          <w:rFonts w:ascii="Times New Roman" w:hAnsi="Times New Roman" w:cs="Times New Roman"/>
          <w:noProof/>
          <w:sz w:val="24"/>
          <w:szCs w:val="24"/>
        </w:rPr>
      </w:pPr>
      <w:r>
        <w:rPr>
          <w:rFonts w:ascii="Times New Roman" w:hAnsi="Times New Roman" w:cs="Times New Roman"/>
          <w:noProof/>
          <w:spacing w:val="-6"/>
          <w:sz w:val="24"/>
          <w:szCs w:val="24"/>
        </w:rPr>
        <w:t>към ГЛАВА 8 „СЪТРУДНИЧЕСТВО В ОБЛАСТТА НА ИНФОРМАЦИОННОТО ОБЩЕСТВО“</w:t>
      </w:r>
      <w:r>
        <w:rPr>
          <w:rFonts w:ascii="Times New Roman" w:hAnsi="Times New Roman" w:cs="Times New Roman"/>
          <w:noProof/>
          <w:sz w:val="24"/>
          <w:szCs w:val="24"/>
        </w:rPr>
        <w:t xml:space="preserve"> </w:t>
      </w:r>
      <w:r>
        <w:rPr>
          <w:rFonts w:ascii="Times New Roman" w:hAnsi="Times New Roman" w:cs="Times New Roman"/>
          <w:noProof/>
          <w:sz w:val="24"/>
          <w:szCs w:val="24"/>
        </w:rPr>
        <w:br/>
        <w:t>от ДЯЛ V „ДРУГИ ПОЛИТИКИ ЗА СЪТРУДНИЧЕСТВО“</w:t>
      </w:r>
    </w:p>
    <w:p>
      <w:pPr>
        <w:spacing w:after="0" w:line="360" w:lineRule="auto"/>
        <w:rPr>
          <w:rFonts w:ascii="Times New Roman" w:hAnsi="Times New Roman" w:cs="Times New Roman"/>
          <w:noProof/>
          <w:sz w:val="24"/>
          <w:szCs w:val="24"/>
        </w:rPr>
      </w:pPr>
    </w:p>
    <w:p>
      <w:pP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Република Армения поема ангажимента за постепенно сближаване на своето законодателство с посоченото по-долу законодателство на Европейския съюз в посочените срокове.</w:t>
      </w:r>
    </w:p>
    <w:p>
      <w:pPr>
        <w:spacing w:after="0" w:line="360" w:lineRule="auto"/>
        <w:rPr>
          <w:rFonts w:ascii="Times New Roman" w:hAnsi="Times New Roman" w:cs="Times New Roman"/>
          <w:noProof/>
          <w:sz w:val="24"/>
          <w:szCs w:val="24"/>
        </w:rPr>
      </w:pPr>
    </w:p>
    <w:p>
      <w:pP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Директива 2002/21/ЕО на Европейския парламент и на Съвета от 7 март 2002 г. относно общата регулаторна рамка за електронните съобщителни мрежи и услуги (Рамкова директива), изменена</w:t>
      </w:r>
    </w:p>
    <w:p>
      <w:pPr>
        <w:spacing w:after="0" w:line="360" w:lineRule="auto"/>
        <w:rPr>
          <w:rFonts w:ascii="Times New Roman" w:hAnsi="Times New Roman" w:cs="Times New Roman"/>
          <w:noProof/>
          <w:sz w:val="24"/>
          <w:szCs w:val="24"/>
        </w:rPr>
      </w:pPr>
    </w:p>
    <w:p>
      <w:pP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От тази директива се прилагат посочените по-долу разпоредби:</w:t>
      </w:r>
    </w:p>
    <w:p>
      <w:pPr>
        <w:spacing w:after="0" w:line="360" w:lineRule="auto"/>
        <w:rPr>
          <w:rFonts w:ascii="Times New Roman" w:hAnsi="Times New Roman" w:cs="Times New Roman"/>
          <w:noProof/>
          <w:sz w:val="24"/>
          <w:szCs w:val="24"/>
        </w:rPr>
      </w:pPr>
    </w:p>
    <w:p>
      <w:pPr>
        <w:spacing w:after="0" w:line="360" w:lineRule="auto"/>
        <w:ind w:left="567" w:hanging="567"/>
        <w:rPr>
          <w:rFonts w:ascii="Times New Roman" w:hAnsi="Times New Roman" w:cs="Times New Roman"/>
          <w:noProof/>
          <w:sz w:val="24"/>
          <w:szCs w:val="24"/>
        </w:rPr>
      </w:pPr>
      <w:r>
        <w:rPr>
          <w:rFonts w:ascii="Times New Roman" w:hAnsi="Times New Roman" w:cs="Times New Roman"/>
          <w:noProof/>
          <w:sz w:val="24"/>
          <w:szCs w:val="24"/>
        </w:rPr>
        <w:t>–</w:t>
      </w:r>
      <w:r>
        <w:rPr>
          <w:rFonts w:ascii="Times New Roman" w:hAnsi="Times New Roman" w:cs="Times New Roman"/>
          <w:noProof/>
          <w:sz w:val="24"/>
          <w:szCs w:val="24"/>
        </w:rPr>
        <w:tab/>
        <w:t>укрепване на независимостта и административния капацитет на националните регулаторни органи в областта на електронните съобщения</w:t>
      </w:r>
    </w:p>
    <w:p>
      <w:pPr>
        <w:spacing w:after="0" w:line="360" w:lineRule="auto"/>
        <w:ind w:left="567" w:hanging="567"/>
        <w:rPr>
          <w:rFonts w:ascii="Times New Roman" w:hAnsi="Times New Roman" w:cs="Times New Roman"/>
          <w:noProof/>
          <w:sz w:val="24"/>
          <w:szCs w:val="24"/>
        </w:rPr>
      </w:pPr>
    </w:p>
    <w:p>
      <w:pPr>
        <w:spacing w:after="0" w:line="360" w:lineRule="auto"/>
        <w:ind w:left="567" w:hanging="567"/>
        <w:rPr>
          <w:rFonts w:ascii="Times New Roman" w:hAnsi="Times New Roman" w:cs="Times New Roman"/>
          <w:noProof/>
          <w:sz w:val="24"/>
          <w:szCs w:val="24"/>
        </w:rPr>
      </w:pPr>
      <w:r>
        <w:rPr>
          <w:rFonts w:ascii="Times New Roman" w:hAnsi="Times New Roman" w:cs="Times New Roman"/>
          <w:noProof/>
          <w:sz w:val="24"/>
          <w:szCs w:val="24"/>
        </w:rPr>
        <w:t>–</w:t>
      </w:r>
      <w:r>
        <w:rPr>
          <w:rFonts w:ascii="Times New Roman" w:hAnsi="Times New Roman" w:cs="Times New Roman"/>
          <w:noProof/>
          <w:sz w:val="24"/>
          <w:szCs w:val="24"/>
        </w:rPr>
        <w:tab/>
        <w:t>създаване на процедури за провеждане на обществени консултации за новите регулаторни мерки</w:t>
      </w:r>
    </w:p>
    <w:p>
      <w:pPr>
        <w:spacing w:after="0" w:line="360" w:lineRule="auto"/>
        <w:ind w:left="567" w:hanging="567"/>
        <w:rPr>
          <w:rFonts w:ascii="Times New Roman" w:hAnsi="Times New Roman" w:cs="Times New Roman"/>
          <w:noProof/>
          <w:sz w:val="24"/>
          <w:szCs w:val="24"/>
        </w:rPr>
      </w:pPr>
    </w:p>
    <w:p>
      <w:pPr>
        <w:spacing w:after="0" w:line="360" w:lineRule="auto"/>
        <w:ind w:left="567" w:hanging="567"/>
        <w:rPr>
          <w:rFonts w:ascii="Times New Roman" w:hAnsi="Times New Roman" w:cs="Times New Roman"/>
          <w:noProof/>
          <w:sz w:val="24"/>
          <w:szCs w:val="24"/>
        </w:rPr>
      </w:pPr>
      <w:r>
        <w:rPr>
          <w:rFonts w:ascii="Times New Roman" w:hAnsi="Times New Roman" w:cs="Times New Roman"/>
          <w:noProof/>
          <w:sz w:val="24"/>
          <w:szCs w:val="24"/>
        </w:rPr>
        <w:t>–</w:t>
      </w:r>
      <w:r>
        <w:rPr>
          <w:rFonts w:ascii="Times New Roman" w:hAnsi="Times New Roman" w:cs="Times New Roman"/>
          <w:noProof/>
          <w:sz w:val="24"/>
          <w:szCs w:val="24"/>
        </w:rPr>
        <w:tab/>
        <w:t>въвеждане на ефективни механизми за обжалване на решенията на националните регулаторни органи в областта на електронните съобщения.</w:t>
      </w:r>
    </w:p>
    <w:p>
      <w:pPr>
        <w:spacing w:after="0" w:line="360" w:lineRule="auto"/>
        <w:ind w:left="567" w:hanging="567"/>
        <w:rPr>
          <w:rFonts w:ascii="Times New Roman" w:hAnsi="Times New Roman" w:cs="Times New Roman"/>
          <w:noProof/>
          <w:sz w:val="24"/>
          <w:szCs w:val="24"/>
        </w:rPr>
      </w:pPr>
    </w:p>
    <w:p>
      <w:pPr>
        <w:spacing w:after="0" w:line="360" w:lineRule="auto"/>
        <w:ind w:left="567" w:hanging="567"/>
        <w:rPr>
          <w:rFonts w:ascii="Times New Roman" w:hAnsi="Times New Roman" w:cs="Times New Roman"/>
          <w:noProof/>
          <w:sz w:val="24"/>
          <w:szCs w:val="24"/>
        </w:rPr>
      </w:pPr>
      <w:r>
        <w:rPr>
          <w:rFonts w:ascii="Times New Roman" w:hAnsi="Times New Roman" w:cs="Times New Roman"/>
          <w:noProof/>
          <w:sz w:val="24"/>
          <w:szCs w:val="24"/>
        </w:rPr>
        <w:t>–</w:t>
      </w:r>
      <w:r>
        <w:rPr>
          <w:rFonts w:ascii="Times New Roman" w:hAnsi="Times New Roman" w:cs="Times New Roman"/>
          <w:noProof/>
          <w:sz w:val="24"/>
          <w:szCs w:val="24"/>
        </w:rPr>
        <w:tab/>
        <w:t xml:space="preserve">определяне на съответните пазари на продукти и услуги в сектора на електронните съобщения, подлежащи на регулиране </w:t>
      </w:r>
      <w:r>
        <w:rPr>
          <w:rFonts w:ascii="Times New Roman" w:hAnsi="Times New Roman" w:cs="Times New Roman"/>
          <w:i/>
          <w:noProof/>
          <w:sz w:val="24"/>
          <w:szCs w:val="24"/>
        </w:rPr>
        <w:t>ex ante</w:t>
      </w:r>
      <w:r>
        <w:rPr>
          <w:rFonts w:ascii="Times New Roman" w:hAnsi="Times New Roman" w:cs="Times New Roman"/>
          <w:noProof/>
          <w:sz w:val="24"/>
          <w:szCs w:val="24"/>
        </w:rPr>
        <w:t>, и анализ на тези пазари с цел да се установи дали при тях е налице значителна пазарна сила (ЗПС)</w:t>
      </w:r>
    </w:p>
    <w:p>
      <w:pPr>
        <w:spacing w:after="0" w:line="360" w:lineRule="auto"/>
        <w:rPr>
          <w:rFonts w:ascii="Times New Roman" w:hAnsi="Times New Roman" w:cs="Times New Roman"/>
          <w:noProof/>
          <w:sz w:val="24"/>
          <w:szCs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Срокове: тези разпоредби на Директива 2002/21/ЕО започват да се прилагат в срок от 5 години след влизане в сила на настоящото споразумение.</w:t>
      </w:r>
    </w:p>
    <w:p>
      <w:pPr>
        <w:spacing w:after="0" w:line="360" w:lineRule="auto"/>
        <w:rPr>
          <w:rFonts w:ascii="Times New Roman" w:hAnsi="Times New Roman" w:cs="Times New Roman"/>
          <w:noProof/>
          <w:sz w:val="24"/>
          <w:szCs w:val="24"/>
        </w:rPr>
      </w:pPr>
    </w:p>
    <w:p>
      <w:pPr>
        <w:rPr>
          <w:rFonts w:ascii="Times New Roman" w:hAnsi="Times New Roman" w:cs="Times New Roman"/>
          <w:noProof/>
          <w:sz w:val="24"/>
          <w:szCs w:val="24"/>
        </w:rPr>
      </w:pPr>
      <w:r>
        <w:rPr>
          <w:rFonts w:ascii="Times New Roman" w:hAnsi="Times New Roman" w:cs="Times New Roman"/>
          <w:noProof/>
          <w:sz w:val="24"/>
          <w:szCs w:val="24"/>
        </w:rPr>
        <w:br w:type="page"/>
      </w:r>
    </w:p>
    <w:p>
      <w:pP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Директива 2002/20/ЕО на Европейския парламент и на Съвета от 7 март 2002 г. относно разрешението на електронните съобщителни мрежи и услуги („Директива за разрешение“), изменена</w:t>
      </w:r>
    </w:p>
    <w:p>
      <w:pPr>
        <w:spacing w:after="0" w:line="360" w:lineRule="auto"/>
        <w:rPr>
          <w:rFonts w:ascii="Times New Roman" w:hAnsi="Times New Roman" w:cs="Times New Roman"/>
          <w:noProof/>
          <w:sz w:val="24"/>
          <w:szCs w:val="24"/>
        </w:rPr>
      </w:pPr>
    </w:p>
    <w:p>
      <w:pP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От тази директива се прилагат посочените по-долу разпоредби:</w:t>
      </w:r>
    </w:p>
    <w:p>
      <w:pPr>
        <w:spacing w:after="0" w:line="360" w:lineRule="auto"/>
        <w:rPr>
          <w:rFonts w:ascii="Times New Roman" w:hAnsi="Times New Roman" w:cs="Times New Roman"/>
          <w:noProof/>
          <w:sz w:val="24"/>
          <w:szCs w:val="24"/>
        </w:rPr>
      </w:pPr>
    </w:p>
    <w:p>
      <w:pPr>
        <w:spacing w:after="0" w:line="360" w:lineRule="auto"/>
        <w:ind w:left="567" w:hanging="567"/>
        <w:rPr>
          <w:rFonts w:ascii="Times New Roman" w:hAnsi="Times New Roman" w:cs="Times New Roman"/>
          <w:noProof/>
          <w:sz w:val="24"/>
          <w:szCs w:val="24"/>
        </w:rPr>
      </w:pPr>
      <w:r>
        <w:rPr>
          <w:rFonts w:ascii="Times New Roman" w:hAnsi="Times New Roman" w:cs="Times New Roman"/>
          <w:noProof/>
          <w:sz w:val="24"/>
          <w:szCs w:val="24"/>
        </w:rPr>
        <w:t>–</w:t>
      </w:r>
      <w:r>
        <w:rPr>
          <w:rFonts w:ascii="Times New Roman" w:hAnsi="Times New Roman" w:cs="Times New Roman"/>
          <w:noProof/>
          <w:sz w:val="24"/>
          <w:szCs w:val="24"/>
        </w:rPr>
        <w:tab/>
        <w:t>въвеждане на нормативна уредба, в която се предвижда предоставянето на общи разрешения, а необходимостта от използването на индивидуални лицензи се ограничава до специфични, надлежно обосновани случаи</w:t>
      </w:r>
    </w:p>
    <w:p>
      <w:pPr>
        <w:spacing w:after="0" w:line="360" w:lineRule="auto"/>
        <w:rPr>
          <w:rFonts w:ascii="Times New Roman" w:hAnsi="Times New Roman" w:cs="Times New Roman"/>
          <w:noProof/>
          <w:sz w:val="24"/>
          <w:szCs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Срокове: Съветът за партньорство ще определи сроковете за прилагане след подписване на настоящото споразумение.</w:t>
      </w:r>
    </w:p>
    <w:p>
      <w:pPr>
        <w:spacing w:after="0" w:line="360" w:lineRule="auto"/>
        <w:rPr>
          <w:rFonts w:ascii="Times New Roman" w:hAnsi="Times New Roman" w:cs="Times New Roman"/>
          <w:noProof/>
          <w:sz w:val="24"/>
          <w:szCs w:val="24"/>
        </w:rPr>
      </w:pPr>
    </w:p>
    <w:p>
      <w:pP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Директива 2002/19/ЕО на Европейския парламент и на Съвета от 7 март 2002 г. относно достъпа до електронни съобщителни мрежи и тяхната инфраструктура и взаимосвързаността между тях (Директива за достъпа), изменена</w:t>
      </w:r>
    </w:p>
    <w:p>
      <w:pPr>
        <w:spacing w:after="0" w:line="360" w:lineRule="auto"/>
        <w:rPr>
          <w:rFonts w:ascii="Times New Roman" w:hAnsi="Times New Roman" w:cs="Times New Roman"/>
          <w:noProof/>
          <w:sz w:val="24"/>
          <w:szCs w:val="24"/>
        </w:rPr>
      </w:pPr>
    </w:p>
    <w:p>
      <w:pP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Въз основа на пазарния анализ, извършен в съответствие с Директива 2002/21/ЕО, националният регулаторен орган в областта на електронните съобщения налага на операторите, за които е установено, че притежават значителна пазарна сила (ЗПС) на съответните пазари, подходящи нормативни задължения по отношение на:</w:t>
      </w:r>
    </w:p>
    <w:p>
      <w:pPr>
        <w:spacing w:after="0" w:line="360" w:lineRule="auto"/>
        <w:rPr>
          <w:rFonts w:ascii="Times New Roman" w:hAnsi="Times New Roman" w:cs="Times New Roman"/>
          <w:noProof/>
          <w:sz w:val="24"/>
          <w:szCs w:val="24"/>
        </w:rPr>
      </w:pPr>
    </w:p>
    <w:p>
      <w:pPr>
        <w:spacing w:after="0" w:line="360" w:lineRule="auto"/>
        <w:ind w:left="567" w:hanging="567"/>
        <w:rPr>
          <w:rFonts w:ascii="Times New Roman" w:hAnsi="Times New Roman" w:cs="Times New Roman"/>
          <w:noProof/>
          <w:sz w:val="24"/>
          <w:szCs w:val="24"/>
        </w:rPr>
      </w:pPr>
      <w:r>
        <w:rPr>
          <w:rFonts w:ascii="Times New Roman" w:hAnsi="Times New Roman" w:cs="Times New Roman"/>
          <w:noProof/>
          <w:sz w:val="24"/>
          <w:szCs w:val="24"/>
        </w:rPr>
        <w:t>–</w:t>
      </w:r>
      <w:r>
        <w:rPr>
          <w:rFonts w:ascii="Times New Roman" w:hAnsi="Times New Roman" w:cs="Times New Roman"/>
          <w:noProof/>
          <w:sz w:val="24"/>
          <w:szCs w:val="24"/>
        </w:rPr>
        <w:tab/>
        <w:t>достъпа до специфична мрежова инфраструктура и използването ѝ</w:t>
      </w:r>
    </w:p>
    <w:p>
      <w:pPr>
        <w:spacing w:after="0" w:line="360" w:lineRule="auto"/>
        <w:ind w:left="567" w:hanging="567"/>
        <w:rPr>
          <w:rFonts w:ascii="Times New Roman" w:hAnsi="Times New Roman" w:cs="Times New Roman"/>
          <w:noProof/>
          <w:sz w:val="24"/>
          <w:szCs w:val="24"/>
        </w:rPr>
      </w:pPr>
    </w:p>
    <w:p>
      <w:pPr>
        <w:spacing w:after="0" w:line="360" w:lineRule="auto"/>
        <w:ind w:left="567" w:hanging="567"/>
        <w:rPr>
          <w:rFonts w:ascii="Times New Roman" w:hAnsi="Times New Roman" w:cs="Times New Roman"/>
          <w:noProof/>
          <w:sz w:val="24"/>
          <w:szCs w:val="24"/>
        </w:rPr>
      </w:pPr>
      <w:r>
        <w:rPr>
          <w:rFonts w:ascii="Times New Roman" w:hAnsi="Times New Roman" w:cs="Times New Roman"/>
          <w:noProof/>
          <w:sz w:val="24"/>
          <w:szCs w:val="24"/>
        </w:rPr>
        <w:t>–</w:t>
      </w:r>
      <w:r>
        <w:rPr>
          <w:rFonts w:ascii="Times New Roman" w:hAnsi="Times New Roman" w:cs="Times New Roman"/>
          <w:noProof/>
          <w:sz w:val="24"/>
          <w:szCs w:val="24"/>
        </w:rPr>
        <w:tab/>
        <w:t>ценовия контрол на таксите за достъп и за взаимно свързване, включително задължения за разходоориентираност</w:t>
      </w:r>
    </w:p>
    <w:p>
      <w:pPr>
        <w:spacing w:after="0" w:line="360" w:lineRule="auto"/>
        <w:ind w:left="567" w:hanging="567"/>
        <w:rPr>
          <w:rFonts w:ascii="Times New Roman" w:hAnsi="Times New Roman" w:cs="Times New Roman"/>
          <w:noProof/>
          <w:sz w:val="24"/>
          <w:szCs w:val="24"/>
          <w:highlight w:val="green"/>
        </w:rPr>
      </w:pPr>
    </w:p>
    <w:p>
      <w:pPr>
        <w:rPr>
          <w:rFonts w:ascii="Times New Roman" w:hAnsi="Times New Roman" w:cs="Times New Roman"/>
          <w:noProof/>
          <w:sz w:val="24"/>
          <w:szCs w:val="24"/>
          <w:highlight w:val="green"/>
        </w:rPr>
      </w:pPr>
      <w:r>
        <w:rPr>
          <w:rFonts w:ascii="Times New Roman" w:hAnsi="Times New Roman" w:cs="Times New Roman"/>
          <w:noProof/>
          <w:sz w:val="24"/>
          <w:szCs w:val="24"/>
        </w:rPr>
        <w:br w:type="page"/>
      </w:r>
    </w:p>
    <w:p>
      <w:pPr>
        <w:spacing w:after="0" w:line="360" w:lineRule="auto"/>
        <w:ind w:left="567" w:hanging="567"/>
        <w:rPr>
          <w:rFonts w:ascii="Times New Roman" w:hAnsi="Times New Roman" w:cs="Times New Roman"/>
          <w:noProof/>
          <w:sz w:val="24"/>
          <w:szCs w:val="24"/>
        </w:rPr>
      </w:pPr>
      <w:r>
        <w:rPr>
          <w:rFonts w:ascii="Times New Roman" w:hAnsi="Times New Roman" w:cs="Times New Roman"/>
          <w:noProof/>
          <w:sz w:val="24"/>
          <w:szCs w:val="24"/>
        </w:rPr>
        <w:t>–</w:t>
      </w:r>
      <w:r>
        <w:rPr>
          <w:rFonts w:ascii="Times New Roman" w:hAnsi="Times New Roman" w:cs="Times New Roman"/>
          <w:noProof/>
          <w:sz w:val="24"/>
          <w:szCs w:val="24"/>
        </w:rPr>
        <w:tab/>
        <w:t>прозрачността, недопускането на дискриминация и отделната счетоводна отчетност</w:t>
      </w:r>
    </w:p>
    <w:p>
      <w:pPr>
        <w:spacing w:after="0" w:line="360" w:lineRule="auto"/>
        <w:rPr>
          <w:rFonts w:ascii="Times New Roman" w:hAnsi="Times New Roman" w:cs="Times New Roman"/>
          <w:noProof/>
          <w:sz w:val="24"/>
          <w:szCs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Срокове: тези разпоредби на Директива 2002/19/ЕО започват да се прилагат в срок от 5 години след влизане в сила на настоящото споразумение.</w:t>
      </w:r>
    </w:p>
    <w:p>
      <w:pPr>
        <w:spacing w:after="0" w:line="360" w:lineRule="auto"/>
        <w:rPr>
          <w:rFonts w:ascii="Times New Roman" w:hAnsi="Times New Roman" w:cs="Times New Roman"/>
          <w:noProof/>
          <w:sz w:val="24"/>
          <w:szCs w:val="24"/>
        </w:rPr>
      </w:pPr>
    </w:p>
    <w:p>
      <w:pP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Директива 2002/22/ЕО на Европейския парламент и на Съвета от 7 март 2002 г. относно универсалната услуга и правата на потребителите във връзка с електронните съобщителни мрежи и услуги (Директива за универсалната услуга), изменена</w:t>
      </w:r>
    </w:p>
    <w:p>
      <w:pPr>
        <w:spacing w:after="0" w:line="360" w:lineRule="auto"/>
        <w:rPr>
          <w:rFonts w:ascii="Times New Roman" w:hAnsi="Times New Roman" w:cs="Times New Roman"/>
          <w:noProof/>
          <w:sz w:val="24"/>
          <w:szCs w:val="24"/>
        </w:rPr>
      </w:pPr>
    </w:p>
    <w:p>
      <w:pP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От тази директива се прилагат посочените по-долу разпоредби:</w:t>
      </w:r>
    </w:p>
    <w:p>
      <w:pPr>
        <w:spacing w:after="0" w:line="360" w:lineRule="auto"/>
        <w:rPr>
          <w:rFonts w:ascii="Times New Roman" w:hAnsi="Times New Roman" w:cs="Times New Roman"/>
          <w:noProof/>
          <w:sz w:val="24"/>
          <w:szCs w:val="24"/>
        </w:rPr>
      </w:pPr>
    </w:p>
    <w:p>
      <w:pPr>
        <w:spacing w:after="0" w:line="360" w:lineRule="auto"/>
        <w:ind w:left="567" w:hanging="567"/>
        <w:rPr>
          <w:rFonts w:ascii="Times New Roman" w:hAnsi="Times New Roman" w:cs="Times New Roman"/>
          <w:noProof/>
          <w:sz w:val="24"/>
          <w:szCs w:val="24"/>
        </w:rPr>
      </w:pPr>
      <w:r>
        <w:rPr>
          <w:rFonts w:ascii="Times New Roman" w:hAnsi="Times New Roman" w:cs="Times New Roman"/>
          <w:noProof/>
          <w:sz w:val="24"/>
          <w:szCs w:val="24"/>
        </w:rPr>
        <w:t>–</w:t>
      </w:r>
      <w:r>
        <w:rPr>
          <w:rFonts w:ascii="Times New Roman" w:hAnsi="Times New Roman" w:cs="Times New Roman"/>
          <w:noProof/>
          <w:sz w:val="24"/>
          <w:szCs w:val="24"/>
        </w:rPr>
        <w:tab/>
        <w:t>въвеждане на нормативна уредба относно задълженията за предоставяне на универсална услуга (ЗПУУ), включително въвеждането на механизми за остойностяване и финансиране</w:t>
      </w:r>
    </w:p>
    <w:p>
      <w:pPr>
        <w:spacing w:after="0" w:line="360" w:lineRule="auto"/>
        <w:ind w:left="567" w:hanging="567"/>
        <w:rPr>
          <w:rFonts w:ascii="Times New Roman" w:hAnsi="Times New Roman" w:cs="Times New Roman"/>
          <w:noProof/>
          <w:sz w:val="24"/>
          <w:szCs w:val="24"/>
        </w:rPr>
      </w:pPr>
    </w:p>
    <w:p>
      <w:pPr>
        <w:spacing w:after="0" w:line="360" w:lineRule="auto"/>
        <w:ind w:left="567" w:hanging="567"/>
        <w:rPr>
          <w:rFonts w:ascii="Times New Roman" w:hAnsi="Times New Roman" w:cs="Times New Roman"/>
          <w:noProof/>
          <w:sz w:val="24"/>
          <w:szCs w:val="24"/>
        </w:rPr>
      </w:pPr>
      <w:r>
        <w:rPr>
          <w:rFonts w:ascii="Times New Roman" w:hAnsi="Times New Roman" w:cs="Times New Roman"/>
          <w:noProof/>
          <w:sz w:val="24"/>
          <w:szCs w:val="24"/>
        </w:rPr>
        <w:t>–</w:t>
      </w:r>
      <w:r>
        <w:rPr>
          <w:rFonts w:ascii="Times New Roman" w:hAnsi="Times New Roman" w:cs="Times New Roman"/>
          <w:noProof/>
          <w:sz w:val="24"/>
          <w:szCs w:val="24"/>
        </w:rPr>
        <w:tab/>
        <w:t>гарантиране на зачитането на интересите и правата на потребителите, по-специално чрез въвеждането на преносимост на номерата и на единния европейски номер за спешни повиквания 112</w:t>
      </w:r>
    </w:p>
    <w:p>
      <w:pPr>
        <w:spacing w:after="0" w:line="360" w:lineRule="auto"/>
        <w:rPr>
          <w:rFonts w:ascii="Times New Roman" w:hAnsi="Times New Roman" w:cs="Times New Roman"/>
          <w:noProof/>
          <w:sz w:val="24"/>
          <w:szCs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Срокове: тези разпоредби на Директива 2002/22/ЕО започват да се прилагат в срок от 5 години след влизане в сила на настоящото споразумение.</w:t>
      </w:r>
    </w:p>
    <w:p>
      <w:pPr>
        <w:spacing w:after="0" w:line="360" w:lineRule="auto"/>
        <w:rPr>
          <w:rFonts w:ascii="Times New Roman" w:hAnsi="Times New Roman" w:cs="Times New Roman"/>
          <w:noProof/>
          <w:sz w:val="24"/>
          <w:szCs w:val="24"/>
        </w:rPr>
      </w:pPr>
    </w:p>
    <w:p>
      <w:pP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Директива 2002/58/ЕО на Европейския парламент и на Съвета от 12 юли 2002 г. относно обработката на лични данни и защита на правото на неприкосновеност на личния живот в сектора на електронните комуникации (Директива за правото на неприкосновеност на личния живот и електронни комуникации), изменена</w:t>
      </w:r>
    </w:p>
    <w:p>
      <w:pPr>
        <w:spacing w:after="0" w:line="360" w:lineRule="auto"/>
        <w:rPr>
          <w:rFonts w:ascii="Times New Roman" w:hAnsi="Times New Roman" w:cs="Times New Roman"/>
          <w:noProof/>
          <w:sz w:val="24"/>
          <w:szCs w:val="24"/>
        </w:rPr>
      </w:pPr>
    </w:p>
    <w:p>
      <w:pPr>
        <w:rPr>
          <w:rFonts w:ascii="Times New Roman" w:hAnsi="Times New Roman" w:cs="Times New Roman"/>
          <w:noProof/>
          <w:sz w:val="24"/>
          <w:szCs w:val="24"/>
        </w:rPr>
      </w:pPr>
      <w:r>
        <w:rPr>
          <w:rFonts w:ascii="Times New Roman" w:hAnsi="Times New Roman" w:cs="Times New Roman"/>
          <w:noProof/>
          <w:sz w:val="24"/>
          <w:szCs w:val="24"/>
        </w:rPr>
        <w:br w:type="page"/>
      </w:r>
    </w:p>
    <w:p>
      <w:pP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От тази директива се прилагат посочените по-долу разпоредби:</w:t>
      </w:r>
    </w:p>
    <w:p>
      <w:pPr>
        <w:spacing w:after="0" w:line="360" w:lineRule="auto"/>
        <w:rPr>
          <w:rFonts w:ascii="Times New Roman" w:hAnsi="Times New Roman" w:cs="Times New Roman"/>
          <w:noProof/>
          <w:sz w:val="24"/>
          <w:szCs w:val="24"/>
        </w:rPr>
      </w:pPr>
    </w:p>
    <w:p>
      <w:pPr>
        <w:spacing w:after="0" w:line="360" w:lineRule="auto"/>
        <w:ind w:left="567" w:hanging="567"/>
        <w:rPr>
          <w:rFonts w:ascii="Times New Roman" w:hAnsi="Times New Roman" w:cs="Times New Roman"/>
          <w:noProof/>
          <w:sz w:val="24"/>
          <w:szCs w:val="24"/>
        </w:rPr>
      </w:pPr>
      <w:r>
        <w:rPr>
          <w:rFonts w:ascii="Times New Roman" w:hAnsi="Times New Roman" w:cs="Times New Roman"/>
          <w:noProof/>
          <w:sz w:val="24"/>
          <w:szCs w:val="24"/>
        </w:rPr>
        <w:t>–</w:t>
      </w:r>
      <w:r>
        <w:rPr>
          <w:rFonts w:ascii="Times New Roman" w:hAnsi="Times New Roman" w:cs="Times New Roman"/>
          <w:noProof/>
          <w:sz w:val="24"/>
          <w:szCs w:val="24"/>
        </w:rPr>
        <w:tab/>
        <w:t>въвеждане на нормативна уредба с цел гарантиране на зачитането на основните права и свободи, и по-специално на правото на неприкосновеност на личния живот, по отношение на обработката на лични данни в сектора на електронните комуникации и гарантиране на свободното движение на такива данни и на електронните съобщителни съоръжения и услуги</w:t>
      </w:r>
    </w:p>
    <w:p>
      <w:pPr>
        <w:spacing w:after="0" w:line="360" w:lineRule="auto"/>
        <w:rPr>
          <w:rFonts w:ascii="Times New Roman" w:hAnsi="Times New Roman" w:cs="Times New Roman"/>
          <w:noProof/>
          <w:sz w:val="24"/>
          <w:szCs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Срокове: тези разпоредби на Директива 2002/58/ЕО започват да се прилагат в срок от 5 години след влизане в сила на настоящото споразумение.</w:t>
      </w:r>
    </w:p>
    <w:p>
      <w:pPr>
        <w:spacing w:after="0" w:line="360" w:lineRule="auto"/>
        <w:rPr>
          <w:rFonts w:ascii="Times New Roman" w:hAnsi="Times New Roman" w:cs="Times New Roman"/>
          <w:noProof/>
          <w:sz w:val="24"/>
          <w:szCs w:val="24"/>
        </w:rPr>
      </w:pPr>
    </w:p>
    <w:p>
      <w:pP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Решение № 676/2002/ЕО на Европейския парламент и на Съвета от 7 март 2002 г. относно регулаторната рамка за политиката на Европейската общност в областта на радиочестотния спектър</w:t>
      </w:r>
    </w:p>
    <w:p>
      <w:pPr>
        <w:spacing w:after="0" w:line="360" w:lineRule="auto"/>
        <w:rPr>
          <w:rFonts w:ascii="Times New Roman" w:hAnsi="Times New Roman" w:cs="Times New Roman"/>
          <w:noProof/>
          <w:sz w:val="24"/>
          <w:szCs w:val="24"/>
        </w:rPr>
      </w:pPr>
    </w:p>
    <w:p>
      <w:pP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От това решение се прилагат посочените по-долу разпоредби:</w:t>
      </w:r>
    </w:p>
    <w:p>
      <w:pPr>
        <w:spacing w:after="0" w:line="360" w:lineRule="auto"/>
        <w:rPr>
          <w:rFonts w:ascii="Times New Roman" w:hAnsi="Times New Roman" w:cs="Times New Roman"/>
          <w:noProof/>
          <w:sz w:val="24"/>
          <w:szCs w:val="24"/>
        </w:rPr>
      </w:pPr>
    </w:p>
    <w:p>
      <w:pPr>
        <w:spacing w:after="0" w:line="360" w:lineRule="auto"/>
        <w:ind w:left="567" w:hanging="567"/>
        <w:rPr>
          <w:rFonts w:ascii="Times New Roman" w:hAnsi="Times New Roman" w:cs="Times New Roman"/>
          <w:noProof/>
          <w:sz w:val="24"/>
          <w:szCs w:val="24"/>
        </w:rPr>
      </w:pPr>
      <w:r>
        <w:rPr>
          <w:rFonts w:ascii="Times New Roman" w:hAnsi="Times New Roman" w:cs="Times New Roman"/>
          <w:noProof/>
          <w:sz w:val="24"/>
          <w:szCs w:val="24"/>
        </w:rPr>
        <w:t>–</w:t>
      </w:r>
      <w:r>
        <w:rPr>
          <w:rFonts w:ascii="Times New Roman" w:hAnsi="Times New Roman" w:cs="Times New Roman"/>
          <w:noProof/>
          <w:sz w:val="24"/>
          <w:szCs w:val="24"/>
        </w:rPr>
        <w:tab/>
        <w:t>приемане на политика и нормативна уредба, осигуряваща хармонизирани условия по отношение на наличието и ефективното използване на радиочестотния спектър</w:t>
      </w:r>
    </w:p>
    <w:p>
      <w:pPr>
        <w:spacing w:after="0" w:line="360" w:lineRule="auto"/>
        <w:rPr>
          <w:rFonts w:ascii="Times New Roman" w:hAnsi="Times New Roman" w:cs="Times New Roman"/>
          <w:noProof/>
          <w:sz w:val="24"/>
          <w:szCs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Срокове: мерките, произтичащи от прилагането на Решение № 676/2002/ЕО, започват да се прилагат в срок от 5 години след влизане в сила на настоящото споразумение.</w:t>
      </w:r>
    </w:p>
    <w:p>
      <w:pPr>
        <w:spacing w:after="0" w:line="360" w:lineRule="auto"/>
        <w:rPr>
          <w:rFonts w:ascii="Times New Roman" w:hAnsi="Times New Roman" w:cs="Times New Roman"/>
          <w:noProof/>
          <w:sz w:val="24"/>
          <w:szCs w:val="24"/>
        </w:rPr>
      </w:pPr>
    </w:p>
    <w:p>
      <w:pP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Регламент (ЕС) 2015/2120 на Европейския парламент и на Съвета от 25 ноември 2015 г. за определяне на мерки относно достъпа до отворен интернет и за изменение на Директива 2002/22/ЕО относно универсалната услуга и правата на потребителите във връзка с електронните съобщителни мрежи и услуги и на Регламент (ЕС) № 531/2012 относно роуминга в обществени мобилни съобщителни мрежи в рамките на Съюза</w:t>
      </w:r>
    </w:p>
    <w:p>
      <w:pPr>
        <w:spacing w:after="0" w:line="360" w:lineRule="auto"/>
        <w:rPr>
          <w:rFonts w:ascii="Times New Roman" w:hAnsi="Times New Roman" w:cs="Times New Roman"/>
          <w:noProof/>
          <w:sz w:val="24"/>
          <w:szCs w:val="24"/>
        </w:rPr>
      </w:pPr>
    </w:p>
    <w:p>
      <w:pPr>
        <w:rPr>
          <w:rFonts w:ascii="Times New Roman" w:hAnsi="Times New Roman" w:cs="Times New Roman"/>
          <w:noProof/>
          <w:sz w:val="24"/>
          <w:szCs w:val="24"/>
          <w:highlight w:val="yellow"/>
        </w:rPr>
      </w:pPr>
      <w:r>
        <w:rPr>
          <w:rFonts w:ascii="Times New Roman" w:hAnsi="Times New Roman" w:cs="Times New Roman"/>
          <w:noProof/>
          <w:sz w:val="24"/>
          <w:szCs w:val="24"/>
        </w:rPr>
        <w:br w:type="page"/>
      </w: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Срокове: разпоредбите на Регламент (ЕС) 2015/2120 започват да се прилагат в срок от 5 години след влизане в сила на настоящото споразумение.</w:t>
      </w:r>
    </w:p>
    <w:p>
      <w:pPr>
        <w:spacing w:after="0" w:line="360" w:lineRule="auto"/>
        <w:rPr>
          <w:rFonts w:ascii="Times New Roman" w:hAnsi="Times New Roman" w:cs="Times New Roman"/>
          <w:noProof/>
          <w:sz w:val="24"/>
          <w:szCs w:val="24"/>
        </w:rPr>
      </w:pPr>
    </w:p>
    <w:p>
      <w:pP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Директива 2000/31/ЕО на Европейския парламент и на Съвета от 8 юни 2000 г. за някои правни аспекти на услугите на информационното общество, и по-специално на електронната търговия на вътрешния пазар (Директива за електронната търговия)</w:t>
      </w:r>
    </w:p>
    <w:p>
      <w:pPr>
        <w:spacing w:after="0" w:line="360" w:lineRule="auto"/>
        <w:rPr>
          <w:rFonts w:ascii="Times New Roman" w:hAnsi="Times New Roman" w:cs="Times New Roman"/>
          <w:noProof/>
          <w:sz w:val="24"/>
          <w:szCs w:val="24"/>
        </w:rPr>
      </w:pPr>
    </w:p>
    <w:p>
      <w:pP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От тази директива се прилагат посочените по-долу разпоредби:</w:t>
      </w:r>
    </w:p>
    <w:p>
      <w:pPr>
        <w:spacing w:after="0" w:line="360" w:lineRule="auto"/>
        <w:rPr>
          <w:rFonts w:ascii="Times New Roman" w:hAnsi="Times New Roman" w:cs="Times New Roman"/>
          <w:noProof/>
          <w:sz w:val="24"/>
          <w:szCs w:val="24"/>
        </w:rPr>
      </w:pPr>
    </w:p>
    <w:p>
      <w:pPr>
        <w:spacing w:after="0" w:line="360" w:lineRule="auto"/>
        <w:ind w:left="567" w:hanging="567"/>
        <w:rPr>
          <w:rFonts w:ascii="Times New Roman" w:hAnsi="Times New Roman" w:cs="Times New Roman"/>
          <w:noProof/>
          <w:sz w:val="24"/>
          <w:szCs w:val="24"/>
        </w:rPr>
      </w:pPr>
      <w:r>
        <w:rPr>
          <w:rFonts w:ascii="Times New Roman" w:hAnsi="Times New Roman" w:cs="Times New Roman"/>
          <w:noProof/>
          <w:sz w:val="24"/>
          <w:szCs w:val="24"/>
        </w:rPr>
        <w:t>–</w:t>
      </w:r>
      <w:r>
        <w:rPr>
          <w:rFonts w:ascii="Times New Roman" w:hAnsi="Times New Roman" w:cs="Times New Roman"/>
          <w:noProof/>
          <w:sz w:val="24"/>
          <w:szCs w:val="24"/>
        </w:rPr>
        <w:tab/>
        <w:t>насърчаване на развитието на електронната търговия</w:t>
      </w:r>
    </w:p>
    <w:p>
      <w:pPr>
        <w:spacing w:after="0" w:line="360" w:lineRule="auto"/>
        <w:ind w:left="567" w:hanging="567"/>
        <w:rPr>
          <w:rFonts w:ascii="Times New Roman" w:hAnsi="Times New Roman" w:cs="Times New Roman"/>
          <w:noProof/>
          <w:sz w:val="24"/>
          <w:szCs w:val="24"/>
        </w:rPr>
      </w:pPr>
    </w:p>
    <w:p>
      <w:pPr>
        <w:spacing w:after="0" w:line="360" w:lineRule="auto"/>
        <w:ind w:left="567" w:hanging="567"/>
        <w:rPr>
          <w:rFonts w:ascii="Times New Roman" w:hAnsi="Times New Roman" w:cs="Times New Roman"/>
          <w:noProof/>
          <w:sz w:val="24"/>
          <w:szCs w:val="24"/>
        </w:rPr>
      </w:pPr>
      <w:r>
        <w:rPr>
          <w:rFonts w:ascii="Times New Roman" w:hAnsi="Times New Roman" w:cs="Times New Roman"/>
          <w:noProof/>
          <w:sz w:val="24"/>
          <w:szCs w:val="24"/>
        </w:rPr>
        <w:t>–</w:t>
      </w:r>
      <w:r>
        <w:rPr>
          <w:rFonts w:ascii="Times New Roman" w:hAnsi="Times New Roman" w:cs="Times New Roman"/>
          <w:noProof/>
          <w:sz w:val="24"/>
          <w:szCs w:val="24"/>
        </w:rPr>
        <w:tab/>
        <w:t>премахване на пречките пред трансграничното предоставяне на услугите на информационното общество</w:t>
      </w:r>
    </w:p>
    <w:p>
      <w:pPr>
        <w:spacing w:after="0" w:line="360" w:lineRule="auto"/>
        <w:ind w:left="567" w:hanging="567"/>
        <w:rPr>
          <w:rFonts w:ascii="Times New Roman" w:hAnsi="Times New Roman" w:cs="Times New Roman"/>
          <w:noProof/>
          <w:sz w:val="24"/>
          <w:szCs w:val="24"/>
        </w:rPr>
      </w:pPr>
    </w:p>
    <w:p>
      <w:pPr>
        <w:spacing w:after="0" w:line="360" w:lineRule="auto"/>
        <w:ind w:left="567" w:hanging="567"/>
        <w:rPr>
          <w:rFonts w:ascii="Times New Roman" w:hAnsi="Times New Roman" w:cs="Times New Roman"/>
          <w:noProof/>
          <w:sz w:val="24"/>
          <w:szCs w:val="24"/>
        </w:rPr>
      </w:pPr>
      <w:r>
        <w:rPr>
          <w:rFonts w:ascii="Times New Roman" w:hAnsi="Times New Roman" w:cs="Times New Roman"/>
          <w:noProof/>
          <w:sz w:val="24"/>
          <w:szCs w:val="24"/>
        </w:rPr>
        <w:t>–</w:t>
      </w:r>
      <w:r>
        <w:rPr>
          <w:rFonts w:ascii="Times New Roman" w:hAnsi="Times New Roman" w:cs="Times New Roman"/>
          <w:noProof/>
          <w:sz w:val="24"/>
          <w:szCs w:val="24"/>
        </w:rPr>
        <w:tab/>
        <w:t>гарантиране на правна сигурност за доставчиците на услуги на информационното общество</w:t>
      </w:r>
    </w:p>
    <w:p>
      <w:pPr>
        <w:spacing w:after="0" w:line="360" w:lineRule="auto"/>
        <w:ind w:left="567" w:hanging="567"/>
        <w:rPr>
          <w:rFonts w:ascii="Times New Roman" w:hAnsi="Times New Roman" w:cs="Times New Roman"/>
          <w:noProof/>
          <w:sz w:val="24"/>
          <w:szCs w:val="24"/>
        </w:rPr>
      </w:pPr>
    </w:p>
    <w:p>
      <w:pPr>
        <w:spacing w:after="0" w:line="360" w:lineRule="auto"/>
        <w:ind w:left="567" w:hanging="567"/>
        <w:rPr>
          <w:rFonts w:ascii="Times New Roman" w:hAnsi="Times New Roman" w:cs="Times New Roman"/>
          <w:noProof/>
          <w:sz w:val="24"/>
          <w:szCs w:val="24"/>
        </w:rPr>
      </w:pPr>
      <w:r>
        <w:rPr>
          <w:rFonts w:ascii="Times New Roman" w:hAnsi="Times New Roman" w:cs="Times New Roman"/>
          <w:noProof/>
          <w:sz w:val="24"/>
          <w:szCs w:val="24"/>
        </w:rPr>
        <w:t>–</w:t>
      </w:r>
      <w:r>
        <w:rPr>
          <w:rFonts w:ascii="Times New Roman" w:hAnsi="Times New Roman" w:cs="Times New Roman"/>
          <w:noProof/>
          <w:sz w:val="24"/>
          <w:szCs w:val="24"/>
        </w:rPr>
        <w:tab/>
        <w:t>хармонизиране на ограниченията на отговорността на доставчиците на услуги, които действат като посредници при предоставянето на обикновен пренос, кеширане или хостинг, без налагане на общо задължение за контрол</w:t>
      </w:r>
    </w:p>
    <w:p>
      <w:pPr>
        <w:spacing w:after="0" w:line="360" w:lineRule="auto"/>
        <w:rPr>
          <w:rFonts w:ascii="Times New Roman" w:hAnsi="Times New Roman" w:cs="Times New Roman"/>
          <w:noProof/>
          <w:sz w:val="24"/>
          <w:szCs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Срокове: тези разпоредби на Директива 2000/31/ЕО започват да се прилагат в срок от 5 години след влизане в сила на настоящото споразумение.</w:t>
      </w:r>
    </w:p>
    <w:p>
      <w:pPr>
        <w:spacing w:after="0" w:line="360" w:lineRule="auto"/>
        <w:rPr>
          <w:rFonts w:ascii="Times New Roman" w:hAnsi="Times New Roman" w:cs="Times New Roman"/>
          <w:noProof/>
          <w:sz w:val="24"/>
          <w:szCs w:val="24"/>
        </w:rPr>
      </w:pPr>
    </w:p>
    <w:p>
      <w:pP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Регламент (ЕС) № 910/2014 на Европейския парламент и на Съвета от 23 юли 2014 г. относно електронната идентификация и удостоверителните услуги при електронни трансакции на вътрешния пазар и за отмяна на Директива 1999/93/ЕО</w:t>
      </w:r>
    </w:p>
    <w:p>
      <w:pPr>
        <w:spacing w:after="0" w:line="360" w:lineRule="auto"/>
        <w:rPr>
          <w:rFonts w:ascii="Times New Roman" w:hAnsi="Times New Roman" w:cs="Times New Roman"/>
          <w:noProof/>
          <w:sz w:val="24"/>
          <w:szCs w:val="24"/>
        </w:rPr>
      </w:pPr>
    </w:p>
    <w:p>
      <w:pPr>
        <w:rPr>
          <w:rFonts w:ascii="Times New Roman" w:hAnsi="Times New Roman" w:cs="Times New Roman"/>
          <w:noProof/>
          <w:sz w:val="24"/>
          <w:szCs w:val="24"/>
        </w:rPr>
      </w:pPr>
      <w:r>
        <w:rPr>
          <w:rFonts w:ascii="Times New Roman" w:hAnsi="Times New Roman" w:cs="Times New Roman"/>
          <w:noProof/>
          <w:sz w:val="24"/>
          <w:szCs w:val="24"/>
        </w:rPr>
        <w:br w:type="page"/>
      </w:r>
    </w:p>
    <w:p>
      <w:pP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Актове за изпълнение, свързани с удостоверителните услуги в рамките на Регламент (ЕС) № 910/2014:</w:t>
      </w:r>
    </w:p>
    <w:p>
      <w:pPr>
        <w:spacing w:after="0" w:line="360" w:lineRule="auto"/>
        <w:rPr>
          <w:rFonts w:ascii="Times New Roman" w:hAnsi="Times New Roman" w:cs="Times New Roman"/>
          <w:noProof/>
          <w:sz w:val="24"/>
          <w:szCs w:val="24"/>
        </w:rPr>
      </w:pPr>
    </w:p>
    <w:p>
      <w:pPr>
        <w:spacing w:after="0" w:line="360" w:lineRule="auto"/>
        <w:ind w:left="567" w:hanging="567"/>
        <w:rPr>
          <w:rFonts w:ascii="Times New Roman" w:hAnsi="Times New Roman" w:cs="Times New Roman"/>
          <w:noProof/>
          <w:sz w:val="24"/>
          <w:szCs w:val="24"/>
        </w:rPr>
      </w:pPr>
      <w:r>
        <w:rPr>
          <w:rFonts w:ascii="Times New Roman" w:hAnsi="Times New Roman" w:cs="Times New Roman"/>
          <w:noProof/>
          <w:sz w:val="24"/>
          <w:szCs w:val="24"/>
        </w:rPr>
        <w:t>–</w:t>
      </w:r>
      <w:r>
        <w:rPr>
          <w:rFonts w:ascii="Times New Roman" w:hAnsi="Times New Roman" w:cs="Times New Roman"/>
          <w:noProof/>
          <w:sz w:val="24"/>
          <w:szCs w:val="24"/>
        </w:rPr>
        <w:tab/>
        <w:t>Регламент за изпълнение (ЕС) 2015/806 на Комисията от 22 май 2015 г. за определяне на спецификации, отнасящи се до формата на марката за доверие на ЕС за квалифицирани удостоверителни услуги</w:t>
      </w:r>
    </w:p>
    <w:p>
      <w:pPr>
        <w:spacing w:after="0" w:line="360" w:lineRule="auto"/>
        <w:ind w:left="567" w:hanging="567"/>
        <w:rPr>
          <w:rFonts w:ascii="Times New Roman" w:hAnsi="Times New Roman" w:cs="Times New Roman"/>
          <w:noProof/>
          <w:sz w:val="24"/>
          <w:szCs w:val="24"/>
        </w:rPr>
      </w:pPr>
    </w:p>
    <w:p>
      <w:pPr>
        <w:spacing w:after="0" w:line="360" w:lineRule="auto"/>
        <w:ind w:left="567" w:hanging="567"/>
        <w:rPr>
          <w:rFonts w:ascii="Times New Roman" w:hAnsi="Times New Roman" w:cs="Times New Roman"/>
          <w:noProof/>
          <w:sz w:val="24"/>
          <w:szCs w:val="24"/>
        </w:rPr>
      </w:pPr>
      <w:r>
        <w:rPr>
          <w:rFonts w:ascii="Times New Roman" w:hAnsi="Times New Roman" w:cs="Times New Roman"/>
          <w:noProof/>
          <w:sz w:val="24"/>
          <w:szCs w:val="24"/>
        </w:rPr>
        <w:t>–</w:t>
      </w:r>
      <w:r>
        <w:rPr>
          <w:rFonts w:ascii="Times New Roman" w:hAnsi="Times New Roman" w:cs="Times New Roman"/>
          <w:noProof/>
          <w:sz w:val="24"/>
          <w:szCs w:val="24"/>
        </w:rPr>
        <w:tab/>
        <w:t>Решение за изпълнение (ЕС) 2015/1505 на Комисията от 8 септември 2015 г. за определяне на техническите спецификации и форматите на доверителните списъци съгласно член 22, параграф 5 от Регламент (ЕС) № 910/2014 на Европейския парламент и на Съвета относно електронната идентификация и удостоверителните услуги при електронни трансакции на вътрешния пазар</w:t>
      </w:r>
    </w:p>
    <w:p>
      <w:pPr>
        <w:spacing w:after="0" w:line="360" w:lineRule="auto"/>
        <w:ind w:left="567" w:hanging="567"/>
        <w:rPr>
          <w:rFonts w:ascii="Times New Roman" w:hAnsi="Times New Roman" w:cs="Times New Roman"/>
          <w:noProof/>
          <w:sz w:val="24"/>
          <w:szCs w:val="24"/>
        </w:rPr>
      </w:pPr>
    </w:p>
    <w:p>
      <w:pPr>
        <w:spacing w:after="0" w:line="360" w:lineRule="auto"/>
        <w:ind w:left="567" w:hanging="567"/>
        <w:rPr>
          <w:rFonts w:ascii="Times New Roman" w:hAnsi="Times New Roman" w:cs="Times New Roman"/>
          <w:noProof/>
          <w:sz w:val="24"/>
          <w:szCs w:val="24"/>
        </w:rPr>
      </w:pPr>
      <w:r>
        <w:rPr>
          <w:rFonts w:ascii="Times New Roman" w:hAnsi="Times New Roman" w:cs="Times New Roman"/>
          <w:noProof/>
          <w:sz w:val="24"/>
          <w:szCs w:val="24"/>
        </w:rPr>
        <w:t>–</w:t>
      </w:r>
      <w:r>
        <w:rPr>
          <w:rFonts w:ascii="Times New Roman" w:hAnsi="Times New Roman" w:cs="Times New Roman"/>
          <w:noProof/>
          <w:sz w:val="24"/>
          <w:szCs w:val="24"/>
        </w:rPr>
        <w:tab/>
        <w:t>Решение за изпълнение (ЕС) 2015/1506 на Комисията от 8 септември 2015 г. за определяне на спецификации, отнасящи се до форматите на усъвършенствани електронни подписи и усъвършенствани печати, които трябва да бъдат признати от органите от публичния сектор съгласно член 27, параграф 5 и член 37, параграф 5 от Регламент (ЕС) № 910/2014 на Европейския парламент и на Съвета относно електронната идентификация и удостоверителните услуги при електронни трансакции на вътрешния пазар</w:t>
      </w:r>
    </w:p>
    <w:p>
      <w:pPr>
        <w:spacing w:after="0" w:line="360" w:lineRule="auto"/>
        <w:ind w:left="567" w:hanging="567"/>
        <w:rPr>
          <w:rFonts w:ascii="Times New Roman" w:hAnsi="Times New Roman" w:cs="Times New Roman"/>
          <w:noProof/>
          <w:sz w:val="24"/>
          <w:szCs w:val="24"/>
        </w:rPr>
      </w:pPr>
    </w:p>
    <w:p>
      <w:pPr>
        <w:spacing w:after="0" w:line="360" w:lineRule="auto"/>
        <w:ind w:left="567" w:hanging="567"/>
        <w:rPr>
          <w:rFonts w:ascii="Times New Roman" w:hAnsi="Times New Roman" w:cs="Times New Roman"/>
          <w:noProof/>
          <w:sz w:val="24"/>
          <w:szCs w:val="24"/>
        </w:rPr>
      </w:pPr>
      <w:r>
        <w:rPr>
          <w:rFonts w:ascii="Times New Roman" w:hAnsi="Times New Roman" w:cs="Times New Roman"/>
          <w:noProof/>
          <w:sz w:val="24"/>
          <w:szCs w:val="24"/>
        </w:rPr>
        <w:t>–</w:t>
      </w:r>
      <w:r>
        <w:rPr>
          <w:rFonts w:ascii="Times New Roman" w:hAnsi="Times New Roman" w:cs="Times New Roman"/>
          <w:noProof/>
          <w:sz w:val="24"/>
          <w:szCs w:val="24"/>
        </w:rPr>
        <w:tab/>
        <w:t>Решение за изпълнение (ЕС) 2016/650 на Комисията от 25 април 2016 г. за определяне на стандарти за оценка на сигурността на устройствата за създаване на квалифициран електронен подпис и печат съгласно член 30, параграф 3 и член 39, параграф 2 от Регламент (ЕС) № 910/2014 на Европейския парламент и на Съвета относно електронната идентификация и удостоверителните услуги при електронни трансакции на вътрешния пазар</w:t>
      </w:r>
    </w:p>
    <w:p>
      <w:pPr>
        <w:spacing w:after="0" w:line="360" w:lineRule="auto"/>
        <w:rPr>
          <w:rFonts w:ascii="Times New Roman" w:hAnsi="Times New Roman" w:cs="Times New Roman"/>
          <w:noProof/>
          <w:sz w:val="24"/>
          <w:szCs w:val="24"/>
        </w:rPr>
      </w:pPr>
    </w:p>
    <w:p>
      <w:pP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Актове за изпълнение, свързани с главата за електронната идентификация от Регламент (ЕС) № 910/2014:</w:t>
      </w:r>
    </w:p>
    <w:p>
      <w:pPr>
        <w:spacing w:after="0" w:line="360" w:lineRule="auto"/>
        <w:rPr>
          <w:rFonts w:ascii="Times New Roman" w:hAnsi="Times New Roman" w:cs="Times New Roman"/>
          <w:noProof/>
          <w:sz w:val="24"/>
          <w:szCs w:val="24"/>
        </w:rPr>
      </w:pPr>
    </w:p>
    <w:p>
      <w:pPr>
        <w:rPr>
          <w:rFonts w:ascii="Times New Roman" w:hAnsi="Times New Roman" w:cs="Times New Roman"/>
          <w:noProof/>
          <w:sz w:val="24"/>
          <w:szCs w:val="24"/>
          <w:highlight w:val="green"/>
        </w:rPr>
      </w:pPr>
      <w:r>
        <w:rPr>
          <w:rFonts w:ascii="Times New Roman" w:hAnsi="Times New Roman" w:cs="Times New Roman"/>
          <w:noProof/>
          <w:sz w:val="24"/>
          <w:szCs w:val="24"/>
        </w:rPr>
        <w:br w:type="page"/>
      </w:r>
    </w:p>
    <w:p>
      <w:pPr>
        <w:spacing w:after="0" w:line="360" w:lineRule="auto"/>
        <w:ind w:left="567" w:hanging="567"/>
        <w:rPr>
          <w:rFonts w:ascii="Times New Roman" w:hAnsi="Times New Roman" w:cs="Times New Roman"/>
          <w:noProof/>
          <w:sz w:val="24"/>
          <w:szCs w:val="24"/>
        </w:rPr>
      </w:pPr>
      <w:r>
        <w:rPr>
          <w:rFonts w:ascii="Times New Roman" w:hAnsi="Times New Roman" w:cs="Times New Roman"/>
          <w:noProof/>
          <w:sz w:val="24"/>
          <w:szCs w:val="24"/>
        </w:rPr>
        <w:t>–</w:t>
      </w:r>
      <w:r>
        <w:rPr>
          <w:rFonts w:ascii="Times New Roman" w:hAnsi="Times New Roman" w:cs="Times New Roman"/>
          <w:noProof/>
          <w:sz w:val="24"/>
          <w:szCs w:val="24"/>
        </w:rPr>
        <w:tab/>
        <w:t>Решение за изпълнение (EС) 2015/296 на Комисията от 24 февруари 2015 г. за определяне на процедурни условия за сътрудничество между държавите членки по отношение на електронната идентификация съгласно член 12, параграф 7 от Регламент (ЕС) № 910/2014 на Европейския парламент и на Съвета относно електронната идентификация и удостоверителните услуги при електронни трансакции на вътрешния пазар</w:t>
      </w:r>
    </w:p>
    <w:p>
      <w:pPr>
        <w:spacing w:after="0" w:line="360" w:lineRule="auto"/>
        <w:ind w:left="567" w:hanging="567"/>
        <w:rPr>
          <w:rFonts w:ascii="Times New Roman" w:hAnsi="Times New Roman" w:cs="Times New Roman"/>
          <w:noProof/>
          <w:sz w:val="24"/>
          <w:szCs w:val="24"/>
        </w:rPr>
      </w:pPr>
    </w:p>
    <w:p>
      <w:pPr>
        <w:spacing w:after="0" w:line="360" w:lineRule="auto"/>
        <w:ind w:left="567" w:hanging="567"/>
        <w:rPr>
          <w:rFonts w:ascii="Times New Roman" w:hAnsi="Times New Roman" w:cs="Times New Roman"/>
          <w:noProof/>
          <w:sz w:val="24"/>
          <w:szCs w:val="24"/>
        </w:rPr>
      </w:pPr>
      <w:r>
        <w:rPr>
          <w:rFonts w:ascii="Times New Roman" w:hAnsi="Times New Roman" w:cs="Times New Roman"/>
          <w:noProof/>
          <w:sz w:val="24"/>
          <w:szCs w:val="24"/>
        </w:rPr>
        <w:t>–</w:t>
      </w:r>
      <w:r>
        <w:rPr>
          <w:rFonts w:ascii="Times New Roman" w:hAnsi="Times New Roman" w:cs="Times New Roman"/>
          <w:noProof/>
          <w:sz w:val="24"/>
          <w:szCs w:val="24"/>
        </w:rPr>
        <w:tab/>
        <w:t>Регламент за изпълнение (ЕС) 2015/1501 на Комисията от 8 септември 2015 г. относно рамката за оперативна съвместимост съгласно член 12, параграф 8 от Регламент (ЕС) № 910/2014 на Европейския парламент и на Съвета относно електронната идентификация и удостоверителните услуги при електронни трансакции на вътрешния пазар</w:t>
      </w:r>
    </w:p>
    <w:p>
      <w:pPr>
        <w:spacing w:after="0" w:line="360" w:lineRule="auto"/>
        <w:rPr>
          <w:rFonts w:ascii="Times New Roman" w:hAnsi="Times New Roman" w:cs="Times New Roman"/>
          <w:noProof/>
          <w:sz w:val="24"/>
          <w:szCs w:val="24"/>
        </w:rPr>
      </w:pPr>
    </w:p>
    <w:p>
      <w:pPr>
        <w:spacing w:after="0" w:line="360" w:lineRule="auto"/>
        <w:ind w:left="567" w:hanging="567"/>
        <w:rPr>
          <w:rFonts w:ascii="Times New Roman" w:hAnsi="Times New Roman" w:cs="Times New Roman"/>
          <w:noProof/>
          <w:sz w:val="24"/>
          <w:szCs w:val="24"/>
        </w:rPr>
      </w:pPr>
      <w:r>
        <w:rPr>
          <w:rFonts w:ascii="Times New Roman" w:hAnsi="Times New Roman" w:cs="Times New Roman"/>
          <w:noProof/>
          <w:sz w:val="24"/>
          <w:szCs w:val="24"/>
        </w:rPr>
        <w:t>–</w:t>
      </w:r>
      <w:r>
        <w:rPr>
          <w:rFonts w:ascii="Times New Roman" w:hAnsi="Times New Roman" w:cs="Times New Roman"/>
          <w:noProof/>
          <w:sz w:val="24"/>
          <w:szCs w:val="24"/>
        </w:rPr>
        <w:tab/>
        <w:t>Регламент за изпълнение (ЕС) 2015/1502 на Комисията от 8 септември 2015 г. за определяне на минимални технически спецификации и процедури за нивата на осигуреност за средствата за електронна идентификация съгласно член 8, параграф 3 от Регламент (ЕС) № 910/2014 на Европейския парламент и на Съвета относно електронната идентификация и удостоверителните услуги при електронни трансакции на вътрешния пазар</w:t>
      </w:r>
    </w:p>
    <w:p>
      <w:pPr>
        <w:spacing w:after="0" w:line="360" w:lineRule="auto"/>
        <w:ind w:left="567" w:hanging="567"/>
        <w:rPr>
          <w:rFonts w:ascii="Times New Roman" w:hAnsi="Times New Roman" w:cs="Times New Roman"/>
          <w:noProof/>
          <w:sz w:val="24"/>
          <w:szCs w:val="24"/>
        </w:rPr>
      </w:pPr>
    </w:p>
    <w:p>
      <w:pPr>
        <w:spacing w:after="0" w:line="360" w:lineRule="auto"/>
        <w:ind w:left="567" w:hanging="567"/>
        <w:rPr>
          <w:rFonts w:ascii="Times New Roman" w:hAnsi="Times New Roman" w:cs="Times New Roman"/>
          <w:noProof/>
          <w:sz w:val="24"/>
          <w:szCs w:val="24"/>
        </w:rPr>
      </w:pPr>
      <w:r>
        <w:rPr>
          <w:rFonts w:ascii="Times New Roman" w:hAnsi="Times New Roman" w:cs="Times New Roman"/>
          <w:noProof/>
          <w:sz w:val="24"/>
          <w:szCs w:val="24"/>
        </w:rPr>
        <w:t>–</w:t>
      </w:r>
      <w:r>
        <w:rPr>
          <w:rFonts w:ascii="Times New Roman" w:hAnsi="Times New Roman" w:cs="Times New Roman"/>
          <w:noProof/>
          <w:sz w:val="24"/>
          <w:szCs w:val="24"/>
        </w:rPr>
        <w:tab/>
        <w:t>Решение за изпълнение (ЕС) 2015/1984 на Комисията от 3 ноември 2015 г. за определяне на обстоятелствата, форматите и процедурите за уведомяване съгласно член 9, параграф 5 от Регламент (ЕС) № 910/2014 на Европейския парламент и на Съвета относно електронната идентификация и удостоверителните услуги при електронни трансакции на вътрешния пазар</w:t>
      </w:r>
    </w:p>
    <w:p>
      <w:pPr>
        <w:spacing w:after="0" w:line="360" w:lineRule="auto"/>
        <w:rPr>
          <w:rFonts w:ascii="Times New Roman" w:hAnsi="Times New Roman" w:cs="Times New Roman"/>
          <w:noProof/>
          <w:sz w:val="24"/>
          <w:szCs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Срокове: Съветът за партньорство ще определи сроковете за прилагане след подписване на настоящото споразумение.</w:t>
      </w:r>
    </w:p>
    <w:p>
      <w:pPr>
        <w:spacing w:after="0" w:line="360" w:lineRule="auto"/>
        <w:rPr>
          <w:rFonts w:ascii="Times New Roman" w:hAnsi="Times New Roman" w:cs="Times New Roman"/>
          <w:noProof/>
          <w:sz w:val="24"/>
          <w:szCs w:val="24"/>
        </w:rPr>
      </w:pPr>
    </w:p>
    <w:p>
      <w:pPr>
        <w:spacing w:after="0" w:line="360" w:lineRule="auto"/>
        <w:rPr>
          <w:rFonts w:ascii="Times New Roman" w:hAnsi="Times New Roman" w:cs="Times New Roman"/>
          <w:noProof/>
          <w:sz w:val="24"/>
          <w:szCs w:val="24"/>
        </w:rPr>
      </w:pPr>
    </w:p>
    <w:p>
      <w:pPr>
        <w:spacing w:after="0" w:line="360" w:lineRule="auto"/>
        <w:jc w:val="center"/>
        <w:rPr>
          <w:rFonts w:ascii="Times New Roman" w:hAnsi="Times New Roman" w:cs="Times New Roman"/>
          <w:noProof/>
          <w:sz w:val="24"/>
          <w:szCs w:val="24"/>
        </w:rPr>
      </w:pPr>
      <w:r>
        <w:rPr>
          <w:rFonts w:ascii="Times New Roman" w:hAnsi="Times New Roman" w:cs="Times New Roman"/>
          <w:noProof/>
          <w:sz w:val="24"/>
          <w:szCs w:val="24"/>
        </w:rPr>
        <w:t>________________</w:t>
      </w:r>
    </w:p>
    <w:p>
      <w:pPr>
        <w:spacing w:after="0" w:line="360" w:lineRule="auto"/>
        <w:rPr>
          <w:rFonts w:ascii="Times New Roman" w:hAnsi="Times New Roman" w:cs="Times New Roman"/>
          <w:noProof/>
          <w:sz w:val="24"/>
          <w:szCs w:val="24"/>
        </w:rPr>
      </w:pPr>
    </w:p>
    <w:p>
      <w:pPr>
        <w:spacing w:after="0" w:line="360" w:lineRule="auto"/>
        <w:rPr>
          <w:rFonts w:ascii="Times New Roman" w:hAnsi="Times New Roman" w:cs="Times New Roman"/>
          <w:noProof/>
          <w:sz w:val="24"/>
          <w:szCs w:val="24"/>
        </w:rPr>
        <w:sectPr>
          <w:headerReference w:type="even" r:id="rId46"/>
          <w:headerReference w:type="default" r:id="rId47"/>
          <w:footerReference w:type="even" r:id="rId48"/>
          <w:footerReference w:type="default" r:id="rId49"/>
          <w:headerReference w:type="first" r:id="rId50"/>
          <w:footerReference w:type="first" r:id="rId51"/>
          <w:pgSz w:w="11909" w:h="16834" w:code="9"/>
          <w:pgMar w:top="1134" w:right="1134" w:bottom="1134" w:left="1134" w:header="1134" w:footer="1134" w:gutter="0"/>
          <w:pgNumType w:start="1"/>
          <w:cols w:space="720"/>
        </w:sectPr>
      </w:pPr>
    </w:p>
    <w:p>
      <w:pPr>
        <w:spacing w:after="0" w:line="360" w:lineRule="auto"/>
        <w:jc w:val="right"/>
        <w:rPr>
          <w:rFonts w:ascii="Times New Roman" w:hAnsi="Times New Roman" w:cs="Times New Roman"/>
          <w:b/>
          <w:bCs/>
          <w:noProof/>
          <w:sz w:val="24"/>
          <w:szCs w:val="24"/>
          <w:u w:val="single"/>
        </w:rPr>
      </w:pPr>
      <w:r>
        <w:rPr>
          <w:rFonts w:ascii="Times New Roman" w:hAnsi="Times New Roman" w:cs="Times New Roman"/>
          <w:b/>
          <w:noProof/>
          <w:sz w:val="24"/>
          <w:szCs w:val="24"/>
          <w:u w:val="single"/>
        </w:rPr>
        <w:t>ПРИЛОЖЕНИЕ VI</w:t>
      </w:r>
    </w:p>
    <w:p>
      <w:pPr>
        <w:spacing w:after="0" w:line="360" w:lineRule="auto"/>
        <w:jc w:val="center"/>
        <w:rPr>
          <w:rFonts w:ascii="Times New Roman" w:hAnsi="Times New Roman" w:cs="Times New Roman"/>
          <w:noProof/>
          <w:sz w:val="24"/>
          <w:szCs w:val="24"/>
          <w:highlight w:val="red"/>
        </w:rPr>
      </w:pPr>
    </w:p>
    <w:p>
      <w:pPr>
        <w:spacing w:after="0" w:line="360" w:lineRule="auto"/>
        <w:jc w:val="center"/>
        <w:rPr>
          <w:rFonts w:ascii="Times New Roman" w:hAnsi="Times New Roman" w:cs="Times New Roman"/>
          <w:noProof/>
          <w:sz w:val="24"/>
          <w:szCs w:val="24"/>
          <w:highlight w:val="red"/>
        </w:rPr>
      </w:pPr>
    </w:p>
    <w:p>
      <w:pPr>
        <w:spacing w:after="0" w:line="360" w:lineRule="auto"/>
        <w:jc w:val="center"/>
        <w:rPr>
          <w:rFonts w:ascii="Times New Roman" w:hAnsi="Times New Roman" w:cs="Times New Roman"/>
          <w:noProof/>
          <w:sz w:val="24"/>
          <w:szCs w:val="24"/>
        </w:rPr>
      </w:pPr>
      <w:r>
        <w:rPr>
          <w:rFonts w:ascii="Times New Roman" w:hAnsi="Times New Roman" w:cs="Times New Roman"/>
          <w:noProof/>
          <w:sz w:val="24"/>
          <w:szCs w:val="24"/>
        </w:rPr>
        <w:t>към ГЛАВА 14 „ЗАЩИТА НА ПОТРЕБИТЕЛИТЕ“ от ДЯЛ V „ДРУГИ ПОЛИТИКИ ЗА СЪТРУДНИЧЕСТВО“</w:t>
      </w:r>
    </w:p>
    <w:p>
      <w:pPr>
        <w:spacing w:after="0" w:line="360" w:lineRule="auto"/>
        <w:rPr>
          <w:rFonts w:ascii="Times New Roman" w:hAnsi="Times New Roman" w:cs="Times New Roman"/>
          <w:noProof/>
          <w:sz w:val="24"/>
          <w:szCs w:val="24"/>
        </w:rPr>
      </w:pPr>
    </w:p>
    <w:p>
      <w:pPr>
        <w:spacing w:after="0" w:line="360" w:lineRule="auto"/>
        <w:rPr>
          <w:rFonts w:ascii="Times New Roman" w:hAnsi="Times New Roman" w:cs="Times New Roman"/>
          <w:noProof/>
          <w:spacing w:val="-2"/>
          <w:sz w:val="24"/>
          <w:szCs w:val="24"/>
        </w:rPr>
      </w:pPr>
      <w:r>
        <w:rPr>
          <w:rFonts w:ascii="Times New Roman" w:hAnsi="Times New Roman" w:cs="Times New Roman"/>
          <w:noProof/>
          <w:spacing w:val="-2"/>
          <w:sz w:val="24"/>
          <w:szCs w:val="24"/>
        </w:rPr>
        <w:t>Република Армения поема ангажимента за постепенно сближаване на своето законодателство с изброеното по-долу законодателство на Европейския съюз в посочените срокове.</w:t>
      </w:r>
    </w:p>
    <w:p>
      <w:pPr>
        <w:spacing w:after="0" w:line="360" w:lineRule="auto"/>
        <w:rPr>
          <w:rFonts w:ascii="Times New Roman" w:hAnsi="Times New Roman" w:cs="Times New Roman"/>
          <w:noProof/>
          <w:sz w:val="24"/>
          <w:szCs w:val="24"/>
        </w:rPr>
      </w:pPr>
    </w:p>
    <w:p>
      <w:pPr>
        <w:spacing w:after="0" w:line="360" w:lineRule="auto"/>
        <w:rPr>
          <w:rFonts w:ascii="Times New Roman" w:hAnsi="Times New Roman" w:cs="Times New Roman"/>
          <w:noProof/>
          <w:spacing w:val="-2"/>
          <w:sz w:val="24"/>
          <w:szCs w:val="24"/>
        </w:rPr>
      </w:pPr>
      <w:r>
        <w:rPr>
          <w:rFonts w:ascii="Times New Roman" w:hAnsi="Times New Roman" w:cs="Times New Roman"/>
          <w:noProof/>
          <w:spacing w:val="-2"/>
          <w:sz w:val="24"/>
          <w:szCs w:val="24"/>
        </w:rPr>
        <w:t>Директива 87/357/ЕИО на Съвета от 25 юни 1987 г. относно сближаване на законодателствата на държавите членки във връзка с продукти, чийто външен вид се различава от съдържанието им и които застрашават здравето или безопасността на потребителите</w:t>
      </w:r>
    </w:p>
    <w:p>
      <w:pPr>
        <w:spacing w:after="0" w:line="360" w:lineRule="auto"/>
        <w:rPr>
          <w:rFonts w:ascii="Times New Roman" w:hAnsi="Times New Roman" w:cs="Times New Roman"/>
          <w:noProof/>
          <w:sz w:val="24"/>
          <w:szCs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noProof/>
          <w:spacing w:val="-2"/>
          <w:sz w:val="24"/>
          <w:szCs w:val="24"/>
        </w:rPr>
      </w:pPr>
      <w:r>
        <w:rPr>
          <w:rFonts w:ascii="Times New Roman" w:hAnsi="Times New Roman" w:cs="Times New Roman"/>
          <w:noProof/>
          <w:spacing w:val="-2"/>
          <w:sz w:val="24"/>
          <w:szCs w:val="24"/>
        </w:rPr>
        <w:t>Срокове: разпоредбите на Директива 87/357/ЕИО, включително нейните актове за изпълнение, започват да се прилагат в срок от 8 години след влизане в сила на настоящото споразумение.</w:t>
      </w:r>
    </w:p>
    <w:p>
      <w:pPr>
        <w:spacing w:after="0" w:line="360" w:lineRule="auto"/>
        <w:rPr>
          <w:rFonts w:ascii="Times New Roman" w:hAnsi="Times New Roman" w:cs="Times New Roman"/>
          <w:noProof/>
          <w:sz w:val="24"/>
          <w:szCs w:val="24"/>
        </w:rPr>
      </w:pPr>
    </w:p>
    <w:p>
      <w:pP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Директива 93/13/ЕИО на Съвета от 5 април 1993 г. относно неравноправните клаузи в потребителските договори, изменена</w:t>
      </w:r>
    </w:p>
    <w:p>
      <w:pPr>
        <w:spacing w:after="0" w:line="360" w:lineRule="auto"/>
        <w:rPr>
          <w:rFonts w:ascii="Times New Roman" w:hAnsi="Times New Roman" w:cs="Times New Roman"/>
          <w:noProof/>
          <w:sz w:val="24"/>
          <w:szCs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noProof/>
          <w:spacing w:val="-2"/>
          <w:sz w:val="24"/>
          <w:szCs w:val="24"/>
        </w:rPr>
      </w:pPr>
      <w:r>
        <w:rPr>
          <w:rFonts w:ascii="Times New Roman" w:hAnsi="Times New Roman" w:cs="Times New Roman"/>
          <w:noProof/>
          <w:spacing w:val="-2"/>
          <w:sz w:val="24"/>
          <w:szCs w:val="24"/>
        </w:rPr>
        <w:t>Срокове: разпоредбите на Директива 93/13/ЕИО, включително нейните актове за изпълнение, започват да се прилагат в срок от 3 години след влизане в сила на настоящото споразумение.</w:t>
      </w:r>
    </w:p>
    <w:p>
      <w:pPr>
        <w:spacing w:after="0" w:line="360" w:lineRule="auto"/>
        <w:rPr>
          <w:rFonts w:ascii="Times New Roman" w:hAnsi="Times New Roman" w:cs="Times New Roman"/>
          <w:noProof/>
          <w:sz w:val="24"/>
          <w:szCs w:val="24"/>
        </w:rPr>
      </w:pPr>
    </w:p>
    <w:p>
      <w:pP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Директива 98/6/ЕО на Европейския парламент и на Съвета от 16 февруари 1998 г. относно защитата на потребителите при обозначаването на цените на стоките, предлагани на потребителите</w:t>
      </w:r>
    </w:p>
    <w:p>
      <w:pPr>
        <w:spacing w:after="0" w:line="360" w:lineRule="auto"/>
        <w:rPr>
          <w:rFonts w:ascii="Times New Roman" w:hAnsi="Times New Roman" w:cs="Times New Roman"/>
          <w:noProof/>
          <w:sz w:val="24"/>
          <w:szCs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Срокове: разпоредбите на Директива 98/6/ЕО, включително нейните актове за изпълнение, започват да се прилагат в срок от 3 години след влизане в сила на настоящото споразумение.</w:t>
      </w:r>
    </w:p>
    <w:p>
      <w:pPr>
        <w:spacing w:after="0" w:line="360" w:lineRule="auto"/>
        <w:rPr>
          <w:rFonts w:ascii="Times New Roman" w:hAnsi="Times New Roman" w:cs="Times New Roman"/>
          <w:noProof/>
          <w:sz w:val="24"/>
          <w:szCs w:val="24"/>
        </w:rPr>
      </w:pPr>
    </w:p>
    <w:p>
      <w:pP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Директива 1999/44/ЕО на Европейския парламент и на Съвета от 25 май 1999 г. относно някои аспекти на продажбата на потребителски стоки и свързаните с тях гаранции, изменена</w:t>
      </w:r>
    </w:p>
    <w:p>
      <w:pPr>
        <w:spacing w:after="0" w:line="360" w:lineRule="auto"/>
        <w:rPr>
          <w:rFonts w:ascii="Times New Roman" w:hAnsi="Times New Roman" w:cs="Times New Roman"/>
          <w:noProof/>
          <w:sz w:val="24"/>
          <w:szCs w:val="24"/>
          <w:highlight w:val="yellow"/>
        </w:rPr>
      </w:pPr>
    </w:p>
    <w:p>
      <w:pPr>
        <w:rPr>
          <w:rFonts w:ascii="Times New Roman" w:hAnsi="Times New Roman" w:cs="Times New Roman"/>
          <w:noProof/>
          <w:sz w:val="24"/>
          <w:szCs w:val="24"/>
          <w:highlight w:val="yellow"/>
        </w:rPr>
      </w:pPr>
      <w:r>
        <w:rPr>
          <w:rFonts w:ascii="Times New Roman" w:hAnsi="Times New Roman" w:cs="Times New Roman"/>
          <w:noProof/>
          <w:sz w:val="24"/>
          <w:szCs w:val="24"/>
        </w:rPr>
        <w:br w:type="page"/>
      </w: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Срокове: разпоредбите на Директива 1999/44/ЕО, включително нейните актове за изпълнение, започват да се прилагат в срок от 3 години след влизане в сила на настоящото споразумение.</w:t>
      </w:r>
    </w:p>
    <w:p>
      <w:pPr>
        <w:spacing w:after="0" w:line="360" w:lineRule="auto"/>
        <w:rPr>
          <w:rFonts w:ascii="Times New Roman" w:hAnsi="Times New Roman" w:cs="Times New Roman"/>
          <w:noProof/>
          <w:sz w:val="24"/>
          <w:szCs w:val="24"/>
        </w:rPr>
      </w:pPr>
    </w:p>
    <w:p>
      <w:pP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Директива 2001/95/ЕО на Европейския парламент и на Съвета от 3 декември 2001 г. относно общата безопасност на продуктите</w:t>
      </w:r>
    </w:p>
    <w:p>
      <w:pPr>
        <w:spacing w:after="0" w:line="360" w:lineRule="auto"/>
        <w:rPr>
          <w:rFonts w:ascii="Times New Roman" w:hAnsi="Times New Roman" w:cs="Times New Roman"/>
          <w:noProof/>
          <w:sz w:val="24"/>
          <w:szCs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Срокове: разпоредбите на Директива 2001/95/ЕО, включително нейните актове за изпълнение, започват да се прилагат в срок от 5 години след влизане в сила на настоящото споразумение.</w:t>
      </w:r>
    </w:p>
    <w:p>
      <w:pPr>
        <w:spacing w:after="0" w:line="360" w:lineRule="auto"/>
        <w:rPr>
          <w:rFonts w:ascii="Times New Roman" w:hAnsi="Times New Roman" w:cs="Times New Roman"/>
          <w:noProof/>
          <w:sz w:val="24"/>
          <w:szCs w:val="24"/>
        </w:rPr>
      </w:pPr>
    </w:p>
    <w:p>
      <w:pP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Директива 2002/65/ЕО на Европейския парламент и на Съвета от 23 септември 2002 г. относно дистанционна търговия на потребителски финансови услуги и за изменение на Директива 90/619/ЕИО на Съвета и на Директиви 97/7/ЕО и 98/27/ЕО</w:t>
      </w:r>
    </w:p>
    <w:p>
      <w:pPr>
        <w:spacing w:after="0" w:line="360" w:lineRule="auto"/>
        <w:rPr>
          <w:rFonts w:ascii="Times New Roman" w:hAnsi="Times New Roman" w:cs="Times New Roman"/>
          <w:noProof/>
          <w:sz w:val="24"/>
          <w:szCs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Срокове: разпоредбите на Директива 2002/65/ЕО, включително нейните актове за изпълнение, започват да се прилагат в Република Армения в срок от 3 години след влизане в сила на настоящото споразумение, а трансгранично — в срок от 8 години след влизане в сила на настоящото споразумение.</w:t>
      </w:r>
    </w:p>
    <w:p>
      <w:pPr>
        <w:spacing w:after="0" w:line="360" w:lineRule="auto"/>
        <w:rPr>
          <w:rFonts w:ascii="Times New Roman" w:hAnsi="Times New Roman" w:cs="Times New Roman"/>
          <w:noProof/>
          <w:sz w:val="24"/>
          <w:szCs w:val="24"/>
        </w:rPr>
      </w:pPr>
    </w:p>
    <w:p>
      <w:pP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Директива 2005/29/ЕО на Европейския Парламент и на Съвета от 11 май 2005 г. относно нелоялни търговски практики от страна на търговци към потребители на вътрешния пазар и изменение на Директива 84/450/ЕИО на Съвета, Директиви 97/7/ЕО 98/27/ЕО и 2002/65/ЕО на Европейския парламент и на Съвета, и Регламент (ЕО) № 2006/2004 на Европейския парламент и на Съвета („Директива за нелоялни търговски практики“)</w:t>
      </w:r>
    </w:p>
    <w:p>
      <w:pPr>
        <w:spacing w:after="0" w:line="360" w:lineRule="auto"/>
        <w:rPr>
          <w:rFonts w:ascii="Times New Roman" w:hAnsi="Times New Roman" w:cs="Times New Roman"/>
          <w:noProof/>
          <w:sz w:val="24"/>
          <w:szCs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Срокове: разпоредбите на Директива 2005/29/ЕО, включително нейните актове за изпълнение, започват да се прилагат в срок от 3 години след влизане в сила на настоящото споразумение.</w:t>
      </w:r>
    </w:p>
    <w:p>
      <w:pPr>
        <w:spacing w:after="0" w:line="360" w:lineRule="auto"/>
        <w:rPr>
          <w:rFonts w:ascii="Times New Roman" w:hAnsi="Times New Roman" w:cs="Times New Roman"/>
          <w:noProof/>
          <w:sz w:val="24"/>
          <w:szCs w:val="24"/>
        </w:rPr>
      </w:pPr>
    </w:p>
    <w:p>
      <w:pPr>
        <w:rPr>
          <w:rFonts w:ascii="Times New Roman" w:hAnsi="Times New Roman" w:cs="Times New Roman"/>
          <w:noProof/>
          <w:sz w:val="24"/>
          <w:szCs w:val="24"/>
        </w:rPr>
      </w:pPr>
      <w:r>
        <w:rPr>
          <w:rFonts w:ascii="Times New Roman" w:hAnsi="Times New Roman" w:cs="Times New Roman"/>
          <w:noProof/>
          <w:sz w:val="24"/>
          <w:szCs w:val="24"/>
        </w:rPr>
        <w:br w:type="page"/>
      </w:r>
    </w:p>
    <w:p>
      <w:pP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Директива 2006/114/ЕО на Европейския парламент и на Съвета от 12 декември 2006 г. относно заблуждаващата и сравнителната реклама</w:t>
      </w:r>
    </w:p>
    <w:p>
      <w:pPr>
        <w:spacing w:after="0" w:line="360" w:lineRule="auto"/>
        <w:rPr>
          <w:rFonts w:ascii="Times New Roman" w:hAnsi="Times New Roman" w:cs="Times New Roman"/>
          <w:noProof/>
          <w:sz w:val="24"/>
          <w:szCs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Срокове: разпоредбите на Директива 2006/114/ЕО, включително нейните актове за изпълнение, започват да се прилагат в срок от 3 години след влизане в сила на настоящото споразумение.</w:t>
      </w:r>
    </w:p>
    <w:p>
      <w:pPr>
        <w:spacing w:after="0" w:line="360" w:lineRule="auto"/>
        <w:rPr>
          <w:rFonts w:ascii="Times New Roman" w:hAnsi="Times New Roman" w:cs="Times New Roman"/>
          <w:noProof/>
          <w:sz w:val="24"/>
          <w:szCs w:val="24"/>
        </w:rPr>
      </w:pPr>
    </w:p>
    <w:p>
      <w:pP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Регламент (ЕО) № 2006/2004 на Европейския парламент и на Съвета от 27 октомври 2004 г. за сътрудничество между националните органи, отговорни за прилагане на законодателството за защита на потребителите (регламент за сътрудничество в областта на защита на потребителите)</w:t>
      </w:r>
    </w:p>
    <w:p>
      <w:pPr>
        <w:spacing w:after="0" w:line="360" w:lineRule="auto"/>
        <w:rPr>
          <w:rFonts w:ascii="Times New Roman" w:hAnsi="Times New Roman" w:cs="Times New Roman"/>
          <w:noProof/>
          <w:sz w:val="24"/>
          <w:szCs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Срокове: разпоредбите на Регламент (ЕО) № 2006/2004, включително неговите актове за изпълнение, започват да се прилагат в срок от 8 години след влизане в сила на настоящото споразумение.</w:t>
      </w:r>
    </w:p>
    <w:p>
      <w:pPr>
        <w:spacing w:after="0" w:line="360" w:lineRule="auto"/>
        <w:rPr>
          <w:rFonts w:ascii="Times New Roman" w:hAnsi="Times New Roman" w:cs="Times New Roman"/>
          <w:noProof/>
          <w:sz w:val="24"/>
          <w:szCs w:val="24"/>
        </w:rPr>
      </w:pPr>
    </w:p>
    <w:p>
      <w:pP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Директива 2008/48/ЕО на Европейския парламент и на Съвета от 23 април 2008 г. относно договорите за потребителски кредити и за отмяна на Директива 87/102/ЕИО на Съвета</w:t>
      </w:r>
    </w:p>
    <w:p>
      <w:pPr>
        <w:spacing w:after="0" w:line="360" w:lineRule="auto"/>
        <w:rPr>
          <w:rFonts w:ascii="Times New Roman" w:hAnsi="Times New Roman" w:cs="Times New Roman"/>
          <w:noProof/>
          <w:sz w:val="24"/>
          <w:szCs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Срокове: разпоредбите на Директива 2008/48/ЕО, включително нейните актове за изпълнение, започват да се прилагат в срок от 3 години след влизане в сила на настоящото споразумение.</w:t>
      </w:r>
    </w:p>
    <w:p>
      <w:pPr>
        <w:spacing w:after="0" w:line="360" w:lineRule="auto"/>
        <w:rPr>
          <w:rFonts w:ascii="Times New Roman" w:hAnsi="Times New Roman" w:cs="Times New Roman"/>
          <w:noProof/>
          <w:sz w:val="24"/>
          <w:szCs w:val="24"/>
        </w:rPr>
      </w:pPr>
    </w:p>
    <w:p>
      <w:pPr>
        <w:spacing w:after="0" w:line="360" w:lineRule="auto"/>
        <w:rPr>
          <w:rFonts w:ascii="Times New Roman" w:hAnsi="Times New Roman" w:cs="Times New Roman"/>
          <w:noProof/>
          <w:spacing w:val="-2"/>
          <w:sz w:val="24"/>
          <w:szCs w:val="24"/>
        </w:rPr>
      </w:pPr>
      <w:r>
        <w:rPr>
          <w:rFonts w:ascii="Times New Roman" w:hAnsi="Times New Roman" w:cs="Times New Roman"/>
          <w:noProof/>
          <w:spacing w:val="-2"/>
          <w:sz w:val="24"/>
          <w:szCs w:val="24"/>
        </w:rPr>
        <w:t>Директива 2008/122/ЕО на Европейския парламент и на Съвета от 14 януари 2009 г. относно защитата на потребителите по отношение на някои аспекти на договорите за разпределено във времето ползване на собственост, дългосрочни ваканционни продукти, препродажба и замяна</w:t>
      </w:r>
    </w:p>
    <w:p>
      <w:pPr>
        <w:spacing w:after="0" w:line="360" w:lineRule="auto"/>
        <w:rPr>
          <w:rFonts w:ascii="Times New Roman" w:hAnsi="Times New Roman" w:cs="Times New Roman"/>
          <w:noProof/>
          <w:sz w:val="24"/>
          <w:szCs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Срокове: разпоредбите на Директива 2008/122/ЕО, включително нейните актове за изпълнение, започват да се прилагат в срок от 3 години след влизане в сила на настоящото споразумение.</w:t>
      </w:r>
    </w:p>
    <w:p>
      <w:pPr>
        <w:spacing w:after="0" w:line="360" w:lineRule="auto"/>
        <w:rPr>
          <w:rFonts w:ascii="Times New Roman" w:hAnsi="Times New Roman" w:cs="Times New Roman"/>
          <w:noProof/>
          <w:sz w:val="24"/>
          <w:szCs w:val="24"/>
        </w:rPr>
      </w:pPr>
    </w:p>
    <w:p>
      <w:pPr>
        <w:rPr>
          <w:rFonts w:ascii="Times New Roman" w:hAnsi="Times New Roman" w:cs="Times New Roman"/>
          <w:noProof/>
          <w:sz w:val="24"/>
          <w:szCs w:val="24"/>
        </w:rPr>
      </w:pPr>
      <w:r>
        <w:rPr>
          <w:rFonts w:ascii="Times New Roman" w:hAnsi="Times New Roman" w:cs="Times New Roman"/>
          <w:noProof/>
          <w:sz w:val="24"/>
          <w:szCs w:val="24"/>
        </w:rPr>
        <w:br w:type="page"/>
      </w:r>
    </w:p>
    <w:p>
      <w:pP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Директива 2009/22/ЕО на Европейския парламент и на Съвета от 23 април 2009 г. относно исковете за преустановяване на нарушения с цел защита на интересите на потребителите</w:t>
      </w:r>
    </w:p>
    <w:p>
      <w:pPr>
        <w:spacing w:after="0" w:line="360" w:lineRule="auto"/>
        <w:rPr>
          <w:rFonts w:ascii="Times New Roman" w:hAnsi="Times New Roman" w:cs="Times New Roman"/>
          <w:noProof/>
          <w:sz w:val="24"/>
          <w:szCs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Срокове: разпоредбите на Директива 2009/22/ЕО, включително нейните актове за изпълнение, започват да се прилагат в срок от 8 години след влизане в сила на настоящото споразумение.</w:t>
      </w:r>
    </w:p>
    <w:p>
      <w:pPr>
        <w:spacing w:after="0" w:line="360" w:lineRule="auto"/>
        <w:rPr>
          <w:rFonts w:ascii="Times New Roman" w:hAnsi="Times New Roman" w:cs="Times New Roman"/>
          <w:noProof/>
          <w:sz w:val="24"/>
          <w:szCs w:val="24"/>
        </w:rPr>
      </w:pPr>
    </w:p>
    <w:p>
      <w:pP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Директива 2011/83/ЕС на Европейския парламент и на Съвета от 25 октомври 2011 г. относно правата на потребителите, за изменение на Директива 93/13/ЕИО на Съвета и Директива 1999/44/ЕО на Европейския парламент и на Съвета и за отмяна на Директива 85/577/ЕИО на Съвета и Директива 97/7/ЕО на Европейския парламент и на Съвета</w:t>
      </w:r>
    </w:p>
    <w:p>
      <w:pPr>
        <w:spacing w:after="0" w:line="360" w:lineRule="auto"/>
        <w:rPr>
          <w:rFonts w:ascii="Times New Roman" w:hAnsi="Times New Roman" w:cs="Times New Roman"/>
          <w:noProof/>
          <w:sz w:val="24"/>
          <w:szCs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Срокове: разпоредбите на Директива 2011/83/ЕС, включително нейните актове за изпълнение, започват да се прилагат в срок от 3 години след влизане в сила на настоящото споразумение.</w:t>
      </w:r>
    </w:p>
    <w:p>
      <w:pPr>
        <w:spacing w:after="0" w:line="360" w:lineRule="auto"/>
        <w:rPr>
          <w:rFonts w:ascii="Times New Roman" w:hAnsi="Times New Roman" w:cs="Times New Roman"/>
          <w:noProof/>
          <w:sz w:val="24"/>
          <w:szCs w:val="24"/>
        </w:rPr>
      </w:pPr>
    </w:p>
    <w:p>
      <w:pP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 xml:space="preserve">Регламент (ЕС) № 524/2013 на Европейския парламент и на Съвета от 21 май 2013 г. относно онлайн решаване на потребителски спорове и за изменение на Регламент (ЕО) № 2006/2004 и Директива 2009/22/ЕО (Регламент за ОРС за потребители) </w:t>
      </w:r>
    </w:p>
    <w:p>
      <w:pPr>
        <w:spacing w:after="0" w:line="360" w:lineRule="auto"/>
        <w:rPr>
          <w:rFonts w:ascii="Times New Roman" w:hAnsi="Times New Roman" w:cs="Times New Roman"/>
          <w:noProof/>
          <w:sz w:val="24"/>
          <w:szCs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Срокове: разпоредбите на Регламент (ЕС) № 524/2013, включително неговите актове за изпълнение, започват да се прилагат в срок от 8 години след влизане в сила на настоящото споразумение.</w:t>
      </w:r>
    </w:p>
    <w:p>
      <w:pPr>
        <w:spacing w:after="0" w:line="360" w:lineRule="auto"/>
        <w:rPr>
          <w:rFonts w:ascii="Times New Roman" w:hAnsi="Times New Roman" w:cs="Times New Roman"/>
          <w:noProof/>
          <w:sz w:val="24"/>
          <w:szCs w:val="24"/>
        </w:rPr>
      </w:pPr>
    </w:p>
    <w:p>
      <w:pP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Директива 2013/11/ЕС на Европейския парламент и на Съвета от 21 май 2013 г. за алтернативно решаване на потребителски спорове и за изменение на Регламент (ЕО) № 2006/2004 и Директива 2009/22/ЕО (Директива за АРС за потребители)</w:t>
      </w:r>
    </w:p>
    <w:p>
      <w:pPr>
        <w:spacing w:after="0" w:line="360" w:lineRule="auto"/>
        <w:rPr>
          <w:rFonts w:ascii="Times New Roman" w:hAnsi="Times New Roman" w:cs="Times New Roman"/>
          <w:noProof/>
          <w:sz w:val="24"/>
          <w:szCs w:val="24"/>
        </w:rPr>
      </w:pPr>
    </w:p>
    <w:p>
      <w:pPr>
        <w:rPr>
          <w:rFonts w:ascii="Times New Roman" w:hAnsi="Times New Roman" w:cs="Times New Roman"/>
          <w:noProof/>
          <w:sz w:val="24"/>
          <w:szCs w:val="24"/>
        </w:rPr>
      </w:pPr>
      <w:r>
        <w:rPr>
          <w:rFonts w:ascii="Times New Roman" w:hAnsi="Times New Roman" w:cs="Times New Roman"/>
          <w:noProof/>
          <w:sz w:val="24"/>
          <w:szCs w:val="24"/>
        </w:rPr>
        <w:br w:type="page"/>
      </w: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Срокове: разпоредбите на Директива 2013/11/ЕС, включително нейните актове за изпълнение, започват да се прилагат в срок от 3 години след влизане в сила на настоящото споразумение.</w:t>
      </w:r>
    </w:p>
    <w:p>
      <w:pPr>
        <w:spacing w:after="0" w:line="360" w:lineRule="auto"/>
        <w:rPr>
          <w:rFonts w:ascii="Times New Roman" w:hAnsi="Times New Roman" w:cs="Times New Roman"/>
          <w:noProof/>
          <w:sz w:val="24"/>
          <w:szCs w:val="24"/>
        </w:rPr>
      </w:pPr>
    </w:p>
    <w:p>
      <w:pP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Препоръка на Комисията от 11 юни 2013 г. за общи принципи на механизмите за колективни искове за преустановяване на нарушения и колективни искове за обезщетение в държавите членки, свързани с нарушения на правата, предоставени съгласно правото на Европейския съюз (2013/396/ЕС)</w:t>
      </w:r>
    </w:p>
    <w:p>
      <w:pPr>
        <w:spacing w:after="0" w:line="360" w:lineRule="auto"/>
        <w:rPr>
          <w:rFonts w:ascii="Times New Roman" w:hAnsi="Times New Roman" w:cs="Times New Roman"/>
          <w:noProof/>
          <w:sz w:val="24"/>
          <w:szCs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Срокове: Препоръка 2013/396/ЕС започва да се прилагат в срок от 3 години след влизане в сила на настоящото споразумение.</w:t>
      </w:r>
    </w:p>
    <w:p>
      <w:pPr>
        <w:spacing w:after="0" w:line="360" w:lineRule="auto"/>
        <w:rPr>
          <w:rFonts w:ascii="Times New Roman" w:hAnsi="Times New Roman" w:cs="Times New Roman"/>
          <w:noProof/>
          <w:sz w:val="24"/>
          <w:szCs w:val="24"/>
        </w:rPr>
      </w:pPr>
    </w:p>
    <w:p>
      <w:pP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Директива (EС) 2015/2302 на Европейския парламент и на Съвета от 25 ноември 2015 г. относно пакетните туристически пътувания и свързаните пътнически услуги, за изменение на Регламент (ЕО) № 2006/2004 и Директива 2011/83/ЕС на Европейския парламент и на Съвета и за отмяна на Директива 90/314/ЕИО на Съвета</w:t>
      </w:r>
    </w:p>
    <w:p>
      <w:pPr>
        <w:spacing w:after="0" w:line="360" w:lineRule="auto"/>
        <w:rPr>
          <w:rFonts w:ascii="Times New Roman" w:hAnsi="Times New Roman" w:cs="Times New Roman"/>
          <w:noProof/>
          <w:sz w:val="24"/>
          <w:szCs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Срокове: разпоредбите на Директива (ЕС) 2015/2302, включително нейните актове за изпълнение, започват да се прилагат в срок от 3 години след влизане в сила на настоящото споразумение.</w:t>
      </w:r>
    </w:p>
    <w:p>
      <w:pPr>
        <w:spacing w:after="0" w:line="360" w:lineRule="auto"/>
        <w:rPr>
          <w:rFonts w:ascii="Times New Roman" w:hAnsi="Times New Roman" w:cs="Times New Roman"/>
          <w:noProof/>
          <w:sz w:val="24"/>
          <w:szCs w:val="24"/>
        </w:rPr>
      </w:pPr>
    </w:p>
    <w:p>
      <w:pPr>
        <w:spacing w:after="0" w:line="360" w:lineRule="auto"/>
        <w:rPr>
          <w:rFonts w:ascii="Times New Roman" w:hAnsi="Times New Roman" w:cs="Times New Roman"/>
          <w:noProof/>
          <w:sz w:val="24"/>
          <w:szCs w:val="24"/>
        </w:rPr>
      </w:pPr>
    </w:p>
    <w:p>
      <w:pPr>
        <w:spacing w:after="0" w:line="360" w:lineRule="auto"/>
        <w:jc w:val="center"/>
        <w:rPr>
          <w:rFonts w:ascii="Times New Roman" w:hAnsi="Times New Roman" w:cs="Times New Roman"/>
          <w:noProof/>
          <w:sz w:val="24"/>
          <w:szCs w:val="24"/>
        </w:rPr>
      </w:pPr>
      <w:r>
        <w:rPr>
          <w:rFonts w:ascii="Times New Roman" w:hAnsi="Times New Roman" w:cs="Times New Roman"/>
          <w:noProof/>
          <w:sz w:val="24"/>
          <w:szCs w:val="24"/>
        </w:rPr>
        <w:t>________________</w:t>
      </w:r>
    </w:p>
    <w:p>
      <w:pPr>
        <w:spacing w:after="0" w:line="360" w:lineRule="auto"/>
        <w:rPr>
          <w:rFonts w:ascii="Times New Roman" w:hAnsi="Times New Roman" w:cs="Times New Roman"/>
          <w:noProof/>
          <w:sz w:val="24"/>
          <w:szCs w:val="24"/>
        </w:rPr>
      </w:pPr>
    </w:p>
    <w:p>
      <w:pPr>
        <w:spacing w:after="0" w:line="360" w:lineRule="auto"/>
        <w:rPr>
          <w:rFonts w:ascii="Times New Roman" w:hAnsi="Times New Roman" w:cs="Times New Roman"/>
          <w:noProof/>
          <w:sz w:val="24"/>
          <w:szCs w:val="24"/>
        </w:rPr>
        <w:sectPr>
          <w:headerReference w:type="even" r:id="rId52"/>
          <w:headerReference w:type="default" r:id="rId53"/>
          <w:footerReference w:type="even" r:id="rId54"/>
          <w:footerReference w:type="default" r:id="rId55"/>
          <w:headerReference w:type="first" r:id="rId56"/>
          <w:footerReference w:type="first" r:id="rId57"/>
          <w:pgSz w:w="11909" w:h="16834" w:code="9"/>
          <w:pgMar w:top="1134" w:right="1134" w:bottom="1134" w:left="1134" w:header="1134" w:footer="1134" w:gutter="0"/>
          <w:pgNumType w:start="1"/>
          <w:cols w:space="720"/>
        </w:sectPr>
      </w:pPr>
    </w:p>
    <w:p>
      <w:pPr>
        <w:spacing w:after="0" w:line="360" w:lineRule="auto"/>
        <w:jc w:val="right"/>
        <w:rPr>
          <w:rFonts w:ascii="Times New Roman" w:hAnsi="Times New Roman" w:cs="Times New Roman"/>
          <w:b/>
          <w:bCs/>
          <w:noProof/>
          <w:sz w:val="24"/>
          <w:szCs w:val="24"/>
          <w:u w:val="single"/>
        </w:rPr>
      </w:pPr>
      <w:r>
        <w:rPr>
          <w:rFonts w:ascii="Times New Roman" w:hAnsi="Times New Roman" w:cs="Times New Roman"/>
          <w:b/>
          <w:noProof/>
          <w:sz w:val="24"/>
          <w:szCs w:val="24"/>
          <w:u w:val="single"/>
        </w:rPr>
        <w:t>ПРИЛОЖЕНИЕ VII</w:t>
      </w:r>
    </w:p>
    <w:p>
      <w:pPr>
        <w:spacing w:after="0" w:line="360" w:lineRule="auto"/>
        <w:rPr>
          <w:rFonts w:ascii="Times New Roman" w:hAnsi="Times New Roman" w:cs="Times New Roman"/>
          <w:noProof/>
          <w:sz w:val="24"/>
          <w:szCs w:val="24"/>
        </w:rPr>
      </w:pPr>
    </w:p>
    <w:p>
      <w:pPr>
        <w:spacing w:after="0" w:line="360" w:lineRule="auto"/>
        <w:jc w:val="center"/>
        <w:rPr>
          <w:rFonts w:ascii="Times New Roman" w:hAnsi="Times New Roman" w:cs="Times New Roman"/>
          <w:noProof/>
          <w:sz w:val="24"/>
          <w:szCs w:val="24"/>
        </w:rPr>
      </w:pPr>
      <w:r>
        <w:rPr>
          <w:rFonts w:ascii="Times New Roman" w:hAnsi="Times New Roman" w:cs="Times New Roman"/>
          <w:noProof/>
          <w:spacing w:val="-6"/>
          <w:sz w:val="24"/>
          <w:szCs w:val="24"/>
        </w:rPr>
        <w:t xml:space="preserve">към ГЛАВА 15 „ТРУДОВА ЗАЕТОСТ, СОЦИАЛНА ПОЛИТИКА И РАВНИ ВЪЗМОЖНОСТИ“ </w:t>
      </w:r>
      <w:r>
        <w:rPr>
          <w:rFonts w:ascii="Times New Roman" w:hAnsi="Times New Roman" w:cs="Times New Roman"/>
          <w:noProof/>
          <w:sz w:val="24"/>
          <w:szCs w:val="24"/>
        </w:rPr>
        <w:br/>
        <w:t>от ДЯЛ V „ДРУГИ ПОЛИТИКИ ЗА СЪТРУДНИЧЕСТВО“</w:t>
      </w:r>
    </w:p>
    <w:p>
      <w:pPr>
        <w:spacing w:after="0" w:line="360" w:lineRule="auto"/>
        <w:rPr>
          <w:rFonts w:ascii="Times New Roman" w:hAnsi="Times New Roman" w:cs="Times New Roman"/>
          <w:noProof/>
          <w:sz w:val="24"/>
          <w:szCs w:val="24"/>
        </w:rPr>
      </w:pPr>
    </w:p>
    <w:p>
      <w:pP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Република Армения поема ангажимента за постепенно сближаване на своето законодателство със законодателството на Европейския съюз и международните инструменти, изброени по-долу, в посочените срокове.</w:t>
      </w:r>
    </w:p>
    <w:p>
      <w:pPr>
        <w:spacing w:after="0" w:line="240" w:lineRule="auto"/>
        <w:rPr>
          <w:rFonts w:ascii="Times New Roman" w:hAnsi="Times New Roman" w:cs="Times New Roman"/>
          <w:noProof/>
          <w:sz w:val="24"/>
          <w:szCs w:val="24"/>
        </w:rPr>
      </w:pPr>
    </w:p>
    <w:p>
      <w:pP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Трудово право</w:t>
      </w:r>
    </w:p>
    <w:p>
      <w:pPr>
        <w:spacing w:after="0" w:line="240" w:lineRule="auto"/>
        <w:rPr>
          <w:rFonts w:ascii="Times New Roman" w:hAnsi="Times New Roman" w:cs="Times New Roman"/>
          <w:noProof/>
          <w:sz w:val="24"/>
          <w:szCs w:val="24"/>
        </w:rPr>
      </w:pPr>
    </w:p>
    <w:p>
      <w:pP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Директива 91/533/ЕИО на Съвета от 14 октомври 1991 г. относно задължението на работодателя да информира работниците или служителите за условията на трудовия договор или на трудовото правоотношение</w:t>
      </w:r>
    </w:p>
    <w:p>
      <w:pPr>
        <w:spacing w:after="0" w:line="240" w:lineRule="auto"/>
        <w:rPr>
          <w:rFonts w:ascii="Times New Roman" w:hAnsi="Times New Roman" w:cs="Times New Roman"/>
          <w:noProof/>
          <w:sz w:val="24"/>
          <w:szCs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Срокове: разпоредбите на Директива 91/533/ЕИО започват да се прилагат в срок от 5 години след влизане в сила на настоящото споразумение.</w:t>
      </w:r>
    </w:p>
    <w:p>
      <w:pPr>
        <w:spacing w:after="0" w:line="360" w:lineRule="auto"/>
        <w:rPr>
          <w:rFonts w:ascii="Times New Roman" w:hAnsi="Times New Roman" w:cs="Times New Roman"/>
          <w:noProof/>
          <w:sz w:val="24"/>
          <w:szCs w:val="24"/>
        </w:rPr>
      </w:pPr>
    </w:p>
    <w:p>
      <w:pP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Директива 1999/70/ЕО на Съвета от 28 юни 1999 г. относно Рамково споразумение за срочната работа, сключено между Европейската конфедерация на профсъюзите (CES), Съюза на индустриалците в Европейската общност (UNICE) и Европейския център на предприятията с държавно участие (CEEP)</w:t>
      </w:r>
    </w:p>
    <w:p>
      <w:pPr>
        <w:spacing w:after="0" w:line="240" w:lineRule="auto"/>
        <w:rPr>
          <w:rFonts w:ascii="Times New Roman" w:hAnsi="Times New Roman" w:cs="Times New Roman"/>
          <w:noProof/>
          <w:sz w:val="24"/>
          <w:szCs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Срокове: разпоредбите на Директива 1999/70/ЕО започват да се прилагат в срок от 5 години след влизане в сила на настоящото споразумение.</w:t>
      </w:r>
    </w:p>
    <w:p>
      <w:pPr>
        <w:spacing w:after="0" w:line="240" w:lineRule="auto"/>
        <w:rPr>
          <w:rFonts w:ascii="Times New Roman" w:hAnsi="Times New Roman" w:cs="Times New Roman"/>
          <w:noProof/>
          <w:sz w:val="24"/>
          <w:szCs w:val="24"/>
        </w:rPr>
      </w:pPr>
    </w:p>
    <w:p>
      <w:pP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Директива 97/81/ЕО на Съвета от 15 декември 1997 г. относно Рамково споразумение за работа при непълно работно време, сключено между Съюза на конфедерациите на индустриалците и на работодателите в Европа (UNICE), Европейския център на предприятията с държавно участие (CEEP) и Европейската конфедерация на профсъюзите (ЕКП) — приложение: Рамково споразумение за работа при непълно работно време</w:t>
      </w:r>
    </w:p>
    <w:p>
      <w:pPr>
        <w:spacing w:after="0" w:line="240" w:lineRule="auto"/>
        <w:rPr>
          <w:rFonts w:ascii="Times New Roman" w:hAnsi="Times New Roman" w:cs="Times New Roman"/>
          <w:noProof/>
          <w:sz w:val="24"/>
          <w:szCs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Срокове: разпоредбите на Директива 97/81/ЕО започват да се прилагат в срок от 5 години след влизане в сила на настоящото споразумение.</w:t>
      </w:r>
    </w:p>
    <w:p>
      <w:pPr>
        <w:rPr>
          <w:rFonts w:ascii="Times New Roman" w:hAnsi="Times New Roman" w:cs="Times New Roman"/>
          <w:noProof/>
          <w:sz w:val="24"/>
          <w:szCs w:val="24"/>
        </w:rPr>
      </w:pPr>
      <w:r>
        <w:rPr>
          <w:rFonts w:ascii="Times New Roman" w:hAnsi="Times New Roman" w:cs="Times New Roman"/>
          <w:noProof/>
          <w:sz w:val="24"/>
          <w:szCs w:val="24"/>
        </w:rPr>
        <w:br w:type="page"/>
      </w:r>
    </w:p>
    <w:p>
      <w:pP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Директива 91/383/ЕИО на Съвета от 25 юни 1991 г. за допълнение на мерките за насърчаване на подобряването на безопасността и здравето на работното място на работниците на срочно трудово правоотношение или временно трудово правоотношение</w:t>
      </w:r>
    </w:p>
    <w:p>
      <w:pPr>
        <w:spacing w:after="0" w:line="360" w:lineRule="auto"/>
        <w:rPr>
          <w:rFonts w:ascii="Times New Roman" w:hAnsi="Times New Roman" w:cs="Times New Roman"/>
          <w:noProof/>
          <w:sz w:val="24"/>
          <w:szCs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Срокове: разпоредбите на Директива 91/383/ЕИО започват да се прилагат в срок от 5 години след влизане в сила на настоящото споразумение.</w:t>
      </w:r>
    </w:p>
    <w:p>
      <w:pPr>
        <w:spacing w:after="0" w:line="360" w:lineRule="auto"/>
        <w:rPr>
          <w:rFonts w:ascii="Times New Roman" w:hAnsi="Times New Roman" w:cs="Times New Roman"/>
          <w:noProof/>
          <w:sz w:val="24"/>
          <w:szCs w:val="24"/>
        </w:rPr>
      </w:pPr>
    </w:p>
    <w:p>
      <w:pP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Директива 98/59/ЕО на Съвета от 20 юли 1998 г. за сближаване на законодателствата на държавите членки в областта на колективните уволнения</w:t>
      </w:r>
    </w:p>
    <w:p>
      <w:pPr>
        <w:spacing w:after="0" w:line="360" w:lineRule="auto"/>
        <w:rPr>
          <w:rFonts w:ascii="Times New Roman" w:hAnsi="Times New Roman" w:cs="Times New Roman"/>
          <w:noProof/>
          <w:sz w:val="24"/>
          <w:szCs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Срокове: разпоредбите на Директива 98/59/ЕО започват да се прилагат в срок от 7 години след влизане в сила на настоящото споразумение.</w:t>
      </w:r>
    </w:p>
    <w:p>
      <w:pPr>
        <w:spacing w:after="0" w:line="360" w:lineRule="auto"/>
        <w:rPr>
          <w:rFonts w:ascii="Times New Roman" w:hAnsi="Times New Roman" w:cs="Times New Roman"/>
          <w:noProof/>
          <w:sz w:val="24"/>
          <w:szCs w:val="24"/>
        </w:rPr>
      </w:pPr>
    </w:p>
    <w:p>
      <w:pP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Директива 2001/23/ЕО на Съвета от 12 март 2001 г. относно сближаването на законодателствата на държавите членки във връзка с гарантирането на правата на работниците и служителите при прехвърляне на предприятия, стопански дейности или части от предприятия или стопански дейности</w:t>
      </w:r>
    </w:p>
    <w:p>
      <w:pPr>
        <w:spacing w:after="0" w:line="360" w:lineRule="auto"/>
        <w:rPr>
          <w:rFonts w:ascii="Times New Roman" w:hAnsi="Times New Roman" w:cs="Times New Roman"/>
          <w:noProof/>
          <w:sz w:val="24"/>
          <w:szCs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Срокове: разпоредбите на Директива 2001/23/ЕО започват да се прилагат в срок от 5 години след влизане в сила на настоящото споразумение.</w:t>
      </w:r>
    </w:p>
    <w:p>
      <w:pPr>
        <w:spacing w:after="0" w:line="360" w:lineRule="auto"/>
        <w:rPr>
          <w:rFonts w:ascii="Times New Roman" w:hAnsi="Times New Roman" w:cs="Times New Roman"/>
          <w:noProof/>
          <w:sz w:val="24"/>
          <w:szCs w:val="24"/>
        </w:rPr>
      </w:pPr>
    </w:p>
    <w:p>
      <w:pP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Директива 2002/14/ЕО на Европейския парламент и на Съвета от 11 март 2002 г. за създаване на обща рамка за информиране и консултиране на работниците и служителите в Европейската общност</w:t>
      </w:r>
    </w:p>
    <w:p>
      <w:pPr>
        <w:spacing w:after="0" w:line="360" w:lineRule="auto"/>
        <w:rPr>
          <w:rFonts w:ascii="Times New Roman" w:hAnsi="Times New Roman" w:cs="Times New Roman"/>
          <w:noProof/>
          <w:sz w:val="24"/>
          <w:szCs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Срокове: разпоредбите на Директива 2002/14/ЕО започват да се прилагат в срок от 5 години след влизане в сила на настоящото споразумение.</w:t>
      </w:r>
    </w:p>
    <w:p>
      <w:pPr>
        <w:spacing w:after="0" w:line="360" w:lineRule="auto"/>
        <w:rPr>
          <w:rFonts w:ascii="Times New Roman" w:hAnsi="Times New Roman" w:cs="Times New Roman"/>
          <w:noProof/>
          <w:sz w:val="24"/>
          <w:szCs w:val="24"/>
        </w:rPr>
      </w:pPr>
    </w:p>
    <w:p>
      <w:pPr>
        <w:rPr>
          <w:rFonts w:ascii="Times New Roman" w:hAnsi="Times New Roman" w:cs="Times New Roman"/>
          <w:noProof/>
          <w:sz w:val="24"/>
          <w:szCs w:val="24"/>
        </w:rPr>
      </w:pPr>
      <w:r>
        <w:rPr>
          <w:rFonts w:ascii="Times New Roman" w:hAnsi="Times New Roman" w:cs="Times New Roman"/>
          <w:noProof/>
          <w:sz w:val="24"/>
          <w:szCs w:val="24"/>
        </w:rPr>
        <w:br w:type="page"/>
      </w:r>
    </w:p>
    <w:p>
      <w:pP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Директива 2003/88/ЕО на Европейския парламент и на Съвета от 4 ноември 2003 г. относно някои аспекти на организацията на работното време</w:t>
      </w:r>
    </w:p>
    <w:p>
      <w:pPr>
        <w:spacing w:after="0" w:line="360" w:lineRule="auto"/>
        <w:rPr>
          <w:rFonts w:ascii="Times New Roman" w:hAnsi="Times New Roman" w:cs="Times New Roman"/>
          <w:noProof/>
          <w:sz w:val="24"/>
          <w:szCs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Срокове: разпоредбите на Директива 2003/88/ЕО започват да се прилагат в срок от 7 години след влизане в сила на настоящото споразумение.</w:t>
      </w:r>
    </w:p>
    <w:p>
      <w:pPr>
        <w:spacing w:after="0" w:line="360" w:lineRule="auto"/>
        <w:rPr>
          <w:rFonts w:ascii="Times New Roman" w:hAnsi="Times New Roman" w:cs="Times New Roman"/>
          <w:noProof/>
          <w:sz w:val="24"/>
          <w:szCs w:val="24"/>
        </w:rPr>
      </w:pPr>
    </w:p>
    <w:p>
      <w:pP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Борба с дискриминацията и равенство между половете</w:t>
      </w:r>
    </w:p>
    <w:p>
      <w:pPr>
        <w:spacing w:after="0" w:line="360" w:lineRule="auto"/>
        <w:rPr>
          <w:rFonts w:ascii="Times New Roman" w:hAnsi="Times New Roman" w:cs="Times New Roman"/>
          <w:noProof/>
          <w:sz w:val="24"/>
          <w:szCs w:val="24"/>
        </w:rPr>
      </w:pPr>
    </w:p>
    <w:p>
      <w:pP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Директива 2000/43/ЕО на Съвета от 29 юни 2000 г. относно прилагане на принципа на равно третиране на лица без разлика на расата или етническия произход</w:t>
      </w:r>
    </w:p>
    <w:p>
      <w:pPr>
        <w:spacing w:after="0" w:line="360" w:lineRule="auto"/>
        <w:rPr>
          <w:rFonts w:ascii="Times New Roman" w:hAnsi="Times New Roman" w:cs="Times New Roman"/>
          <w:noProof/>
          <w:sz w:val="24"/>
          <w:szCs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Срокове: разпоредбите на Директива 2000/43/ЕО започват да се прилагат в срок от 3 години след влизане в сила на настоящото споразумение.</w:t>
      </w:r>
    </w:p>
    <w:p>
      <w:pPr>
        <w:spacing w:after="0" w:line="360" w:lineRule="auto"/>
        <w:rPr>
          <w:rFonts w:ascii="Times New Roman" w:hAnsi="Times New Roman" w:cs="Times New Roman"/>
          <w:noProof/>
          <w:sz w:val="24"/>
          <w:szCs w:val="24"/>
        </w:rPr>
      </w:pPr>
    </w:p>
    <w:p>
      <w:pP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Директива 2000/78/ЕО от 27 ноември 2000 г. за създаване на основна рамка за равно третиране в областта на заетостта и професиите</w:t>
      </w:r>
    </w:p>
    <w:p>
      <w:pPr>
        <w:spacing w:after="0" w:line="360" w:lineRule="auto"/>
        <w:rPr>
          <w:rFonts w:ascii="Times New Roman" w:hAnsi="Times New Roman" w:cs="Times New Roman"/>
          <w:noProof/>
          <w:sz w:val="24"/>
          <w:szCs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Срокове: разпоредбите на Директива 2000/78/ЕО започват да се прилагат в срок от 5 години след влизане в сила на настоящото споразумение.</w:t>
      </w:r>
    </w:p>
    <w:p>
      <w:pPr>
        <w:spacing w:after="0" w:line="360" w:lineRule="auto"/>
        <w:rPr>
          <w:rFonts w:ascii="Times New Roman" w:hAnsi="Times New Roman" w:cs="Times New Roman"/>
          <w:noProof/>
          <w:sz w:val="24"/>
          <w:szCs w:val="24"/>
        </w:rPr>
      </w:pPr>
    </w:p>
    <w:p>
      <w:pP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Директива 2006/54/ЕО на Европейския парламент и на Съвета от 5 юли 2006 г. за прилагането на принципа на равните възможности и равното третиране на мъжете и жените в областта на заетостта и професиите</w:t>
      </w:r>
    </w:p>
    <w:p>
      <w:pPr>
        <w:spacing w:after="0" w:line="360" w:lineRule="auto"/>
        <w:rPr>
          <w:rFonts w:ascii="Times New Roman" w:hAnsi="Times New Roman" w:cs="Times New Roman"/>
          <w:noProof/>
          <w:sz w:val="24"/>
          <w:szCs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Срокове: разпоредбите на Директива 2006/54/ЕО започват да се прилагат в срок от 3 години след влизане в сила на настоящото споразумение.</w:t>
      </w:r>
    </w:p>
    <w:p>
      <w:pPr>
        <w:spacing w:after="0" w:line="360" w:lineRule="auto"/>
        <w:rPr>
          <w:rFonts w:ascii="Times New Roman" w:hAnsi="Times New Roman" w:cs="Times New Roman"/>
          <w:noProof/>
          <w:sz w:val="24"/>
          <w:szCs w:val="24"/>
        </w:rPr>
      </w:pPr>
    </w:p>
    <w:p>
      <w:pPr>
        <w:rPr>
          <w:rFonts w:ascii="Times New Roman" w:hAnsi="Times New Roman" w:cs="Times New Roman"/>
          <w:noProof/>
          <w:sz w:val="24"/>
          <w:szCs w:val="24"/>
        </w:rPr>
      </w:pPr>
      <w:r>
        <w:rPr>
          <w:rFonts w:ascii="Times New Roman" w:hAnsi="Times New Roman" w:cs="Times New Roman"/>
          <w:noProof/>
          <w:sz w:val="24"/>
          <w:szCs w:val="24"/>
        </w:rPr>
        <w:br w:type="page"/>
      </w:r>
    </w:p>
    <w:p>
      <w:pP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Директива 2004/113/ЕО на Съвета от 13 декември 2004 г. относно прилагане на принципа на равното третиране на мъжете и жените по отношение на достъпа до стоки и услуги и предоставянето на стоки и услуги</w:t>
      </w:r>
    </w:p>
    <w:p>
      <w:pPr>
        <w:spacing w:after="0" w:line="360" w:lineRule="auto"/>
        <w:rPr>
          <w:rFonts w:ascii="Times New Roman" w:hAnsi="Times New Roman" w:cs="Times New Roman"/>
          <w:noProof/>
          <w:sz w:val="24"/>
          <w:szCs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Срокове: разпоредбите на Директива 2004/113/ЕО започват да се прилагат в срок от 5 години след влизане в сила на настоящото споразумение.</w:t>
      </w:r>
    </w:p>
    <w:p>
      <w:pPr>
        <w:spacing w:after="0" w:line="360" w:lineRule="auto"/>
        <w:rPr>
          <w:rFonts w:ascii="Times New Roman" w:hAnsi="Times New Roman" w:cs="Times New Roman"/>
          <w:noProof/>
          <w:sz w:val="24"/>
          <w:szCs w:val="24"/>
        </w:rPr>
      </w:pPr>
    </w:p>
    <w:p>
      <w:pP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Директива 92/85/ЕИО на Съвета от 19 октомври 1992 г. за въвеждане на мерки за насърчаване подобряването на безопасността и здравето по време на работа на бременни работнички и на работнички родилки или кърмачки (Десета специална директива по смисъла на член 16, параграф 1 от Директива 89/391/ЕИО)</w:t>
      </w:r>
    </w:p>
    <w:p>
      <w:pPr>
        <w:spacing w:after="0" w:line="360" w:lineRule="auto"/>
        <w:rPr>
          <w:rFonts w:ascii="Times New Roman" w:hAnsi="Times New Roman" w:cs="Times New Roman"/>
          <w:noProof/>
          <w:sz w:val="24"/>
          <w:szCs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Срокове: разпоредбите на Директива 92/85/ЕИО започват да се прилагат в срок от 5 години след влизане в сила на настоящото споразумение.</w:t>
      </w:r>
    </w:p>
    <w:p>
      <w:pPr>
        <w:spacing w:after="0" w:line="360" w:lineRule="auto"/>
        <w:rPr>
          <w:rFonts w:ascii="Times New Roman" w:hAnsi="Times New Roman" w:cs="Times New Roman"/>
          <w:noProof/>
          <w:sz w:val="24"/>
          <w:szCs w:val="24"/>
        </w:rPr>
      </w:pPr>
    </w:p>
    <w:p>
      <w:pP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Директива 79/7/ЕИО на Съвета от 19 декември 1978 г. относно постепенното прилагане на принципа на равното третиране на мъжете и жените в сферата на социалното осигуряване</w:t>
      </w:r>
    </w:p>
    <w:p>
      <w:pPr>
        <w:spacing w:after="0" w:line="360" w:lineRule="auto"/>
        <w:rPr>
          <w:rFonts w:ascii="Times New Roman" w:hAnsi="Times New Roman" w:cs="Times New Roman"/>
          <w:noProof/>
          <w:sz w:val="24"/>
          <w:szCs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Срокове: разпоредбите на Директива 79/7/ЕИО започват да се прилагат в срок от 3 години след влизане в сила на настоящото споразумение.</w:t>
      </w:r>
    </w:p>
    <w:p>
      <w:pPr>
        <w:spacing w:after="0" w:line="360" w:lineRule="auto"/>
        <w:rPr>
          <w:rFonts w:ascii="Times New Roman" w:hAnsi="Times New Roman" w:cs="Times New Roman"/>
          <w:noProof/>
          <w:sz w:val="24"/>
          <w:szCs w:val="24"/>
        </w:rPr>
      </w:pPr>
    </w:p>
    <w:p>
      <w:pP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Здравословни и безопасни условия на труд</w:t>
      </w:r>
    </w:p>
    <w:p>
      <w:pPr>
        <w:spacing w:after="0" w:line="360" w:lineRule="auto"/>
        <w:rPr>
          <w:rFonts w:ascii="Times New Roman" w:hAnsi="Times New Roman" w:cs="Times New Roman"/>
          <w:noProof/>
          <w:sz w:val="24"/>
          <w:szCs w:val="24"/>
        </w:rPr>
      </w:pPr>
    </w:p>
    <w:p>
      <w:pP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Директива 89/391/ЕИО на Съвета от 12 юни 1989 г. за въвеждане на мерки за насърчаване подобряването на безопасността и здравето на работниците на работното място</w:t>
      </w:r>
    </w:p>
    <w:p>
      <w:pPr>
        <w:spacing w:after="0" w:line="360" w:lineRule="auto"/>
        <w:rPr>
          <w:rFonts w:ascii="Times New Roman" w:hAnsi="Times New Roman" w:cs="Times New Roman"/>
          <w:noProof/>
          <w:sz w:val="24"/>
          <w:szCs w:val="24"/>
        </w:rPr>
      </w:pPr>
    </w:p>
    <w:p>
      <w:pPr>
        <w:rPr>
          <w:rFonts w:ascii="Times New Roman" w:hAnsi="Times New Roman" w:cs="Times New Roman"/>
          <w:noProof/>
          <w:sz w:val="24"/>
          <w:szCs w:val="24"/>
        </w:rPr>
      </w:pPr>
      <w:r>
        <w:rPr>
          <w:rFonts w:ascii="Times New Roman" w:hAnsi="Times New Roman" w:cs="Times New Roman"/>
          <w:noProof/>
          <w:sz w:val="24"/>
          <w:szCs w:val="24"/>
        </w:rPr>
        <w:br w:type="page"/>
      </w:r>
    </w:p>
    <w:p>
      <w:pP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Директива 89/654/ЕИО на Съвета от 30 ноември 1989 г. относно минималните изисквания за безопасност и здраве на работното място (първа специална директива по смисъла на член 16, параграф 1 от Директива 89/391/ЕИО)</w:t>
      </w:r>
    </w:p>
    <w:p>
      <w:pPr>
        <w:spacing w:after="0" w:line="360" w:lineRule="auto"/>
        <w:rPr>
          <w:rFonts w:ascii="Times New Roman" w:hAnsi="Times New Roman" w:cs="Times New Roman"/>
          <w:noProof/>
          <w:sz w:val="24"/>
          <w:szCs w:val="24"/>
        </w:rPr>
      </w:pPr>
    </w:p>
    <w:p>
      <w:pP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Директива 2009/104/ЕО на Европейския парламент и на Съвета от 16 септември 2009 г. относно минималните изисквания за безопасността и здравето на работниците при използването на работно оборудване по време на работа (Втора специална директива по смисъла на член 16, параграф 1 от Директива 89/391/ЕИО)</w:t>
      </w:r>
    </w:p>
    <w:p>
      <w:pPr>
        <w:spacing w:after="0" w:line="360" w:lineRule="auto"/>
        <w:rPr>
          <w:rFonts w:ascii="Times New Roman" w:hAnsi="Times New Roman" w:cs="Times New Roman"/>
          <w:noProof/>
          <w:sz w:val="24"/>
          <w:szCs w:val="24"/>
        </w:rPr>
      </w:pPr>
    </w:p>
    <w:p>
      <w:pP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Директива 89/656/ЕИО на Съвета от 30 ноември 1989 г. относно минималните изисквания за безопасността и здравето на работниците при използването на лични предпазни средства на работното място (трета специална директива по смисъла на член 16, параграф 1 от Директива 89/391/ЕИО)</w:t>
      </w:r>
    </w:p>
    <w:p>
      <w:pPr>
        <w:spacing w:after="0" w:line="360" w:lineRule="auto"/>
        <w:rPr>
          <w:rFonts w:ascii="Times New Roman" w:hAnsi="Times New Roman" w:cs="Times New Roman"/>
          <w:noProof/>
          <w:sz w:val="24"/>
          <w:szCs w:val="24"/>
        </w:rPr>
      </w:pPr>
    </w:p>
    <w:p>
      <w:pP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Директива 92/57/ЕИО на Съвета от 24 юни 1992 г. за прилагане на минимални изисквания за безопасност и здраве на временни или подвижни строителни участъци (осма специална директива по смисъла на член 16, параграф 1 от Директива 89/391/ЕИО)</w:t>
      </w:r>
    </w:p>
    <w:p>
      <w:pPr>
        <w:spacing w:after="0" w:line="360" w:lineRule="auto"/>
        <w:rPr>
          <w:rFonts w:ascii="Times New Roman" w:hAnsi="Times New Roman" w:cs="Times New Roman"/>
          <w:noProof/>
          <w:sz w:val="24"/>
          <w:szCs w:val="24"/>
        </w:rPr>
      </w:pPr>
    </w:p>
    <w:p>
      <w:pPr>
        <w:spacing w:after="0" w:line="360" w:lineRule="auto"/>
        <w:rPr>
          <w:rFonts w:ascii="Times New Roman" w:hAnsi="Times New Roman" w:cs="Times New Roman"/>
          <w:noProof/>
          <w:spacing w:val="-2"/>
          <w:sz w:val="24"/>
          <w:szCs w:val="24"/>
        </w:rPr>
      </w:pPr>
      <w:r>
        <w:rPr>
          <w:rFonts w:ascii="Times New Roman" w:hAnsi="Times New Roman" w:cs="Times New Roman"/>
          <w:noProof/>
          <w:spacing w:val="-2"/>
          <w:sz w:val="24"/>
          <w:szCs w:val="24"/>
        </w:rPr>
        <w:t>Директива 2009/148/ЕО на Европейския парламент и на Съвета от 30 ноември 2009 г. относно защитата на работниците от рискове, свързани с експозиция на азбест по време на работа</w:t>
      </w:r>
    </w:p>
    <w:p>
      <w:pPr>
        <w:spacing w:after="0" w:line="360" w:lineRule="auto"/>
        <w:rPr>
          <w:rFonts w:ascii="Times New Roman" w:hAnsi="Times New Roman" w:cs="Times New Roman"/>
          <w:noProof/>
          <w:sz w:val="24"/>
          <w:szCs w:val="24"/>
        </w:rPr>
      </w:pPr>
    </w:p>
    <w:p>
      <w:pP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Директива 2004/37/ЕО на Европейския Парламент и на Съвета от 29 април 2004 г. относно защитата на работниците от рискове, свързани с експозицията на канцерогени или мутагени по време на работа (шеста специална директива по смисъла на член 16, параграф 1 на Директива 89/391/ЕИО на Съвета)</w:t>
      </w:r>
    </w:p>
    <w:p>
      <w:pPr>
        <w:spacing w:after="0" w:line="360" w:lineRule="auto"/>
        <w:rPr>
          <w:rFonts w:ascii="Times New Roman" w:hAnsi="Times New Roman" w:cs="Times New Roman"/>
          <w:noProof/>
          <w:sz w:val="24"/>
          <w:szCs w:val="24"/>
        </w:rPr>
      </w:pPr>
    </w:p>
    <w:p>
      <w:pPr>
        <w:rPr>
          <w:rFonts w:ascii="Times New Roman" w:hAnsi="Times New Roman" w:cs="Times New Roman"/>
          <w:noProof/>
          <w:sz w:val="24"/>
          <w:szCs w:val="24"/>
        </w:rPr>
      </w:pPr>
      <w:r>
        <w:rPr>
          <w:rFonts w:ascii="Times New Roman" w:hAnsi="Times New Roman" w:cs="Times New Roman"/>
          <w:noProof/>
          <w:sz w:val="24"/>
          <w:szCs w:val="24"/>
        </w:rPr>
        <w:br w:type="page"/>
      </w:r>
    </w:p>
    <w:p>
      <w:pP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Директива 2000/54/ЕО на Европейския парламент и на Съвета от 18 септември 2000 г. относно защита на работниците от рисковете, свързани с експозицията на биологични агенти при работа (Седма специална директива по смисъла на член 16, параграф 1 от Директива 89/391/ЕИО)</w:t>
      </w:r>
    </w:p>
    <w:p>
      <w:pPr>
        <w:spacing w:after="0" w:line="360" w:lineRule="auto"/>
        <w:rPr>
          <w:rFonts w:ascii="Times New Roman" w:hAnsi="Times New Roman" w:cs="Times New Roman"/>
          <w:noProof/>
          <w:sz w:val="24"/>
          <w:szCs w:val="24"/>
        </w:rPr>
      </w:pPr>
    </w:p>
    <w:p>
      <w:pP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Директива 90/270/ЕИО на Съвета от 29 май 1990 г. относно минималните изисквания за безопасни и здравословни условия на труд при работа с екранно оборудване (пета специална директива по смисъла на член 16, параграф 1 от Директива 87/391/ЕИО)</w:t>
      </w:r>
    </w:p>
    <w:p>
      <w:pPr>
        <w:spacing w:after="0" w:line="360" w:lineRule="auto"/>
        <w:rPr>
          <w:rFonts w:ascii="Times New Roman" w:hAnsi="Times New Roman" w:cs="Times New Roman"/>
          <w:noProof/>
          <w:sz w:val="24"/>
          <w:szCs w:val="24"/>
        </w:rPr>
      </w:pPr>
    </w:p>
    <w:p>
      <w:pP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Директива 92/58/ЕИО на Съвета от 24 юни 1992 г. относно минималните изисквания за осигуряване на знаци за безопасност и/или здраве по време на работа (Девета специална директива по смисъла на член 16, параграф 1 от Директива 89/391/ЕИО)</w:t>
      </w:r>
    </w:p>
    <w:p>
      <w:pPr>
        <w:spacing w:after="0" w:line="360" w:lineRule="auto"/>
        <w:rPr>
          <w:rFonts w:ascii="Times New Roman" w:hAnsi="Times New Roman" w:cs="Times New Roman"/>
          <w:noProof/>
          <w:sz w:val="24"/>
          <w:szCs w:val="24"/>
        </w:rPr>
      </w:pPr>
    </w:p>
    <w:p>
      <w:pP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Директива 92/91/ЕИО на Съвета от 3 ноември 1992 г. за минималните изисквания за подобряване опазването на безопасността и здравето на работниците в отрасли, свързани с рудодобива чрез сондиране (Единадесета специална директива по смисъла на член 16, параграф 1 от Директива 89/391/ЕИО)</w:t>
      </w:r>
    </w:p>
    <w:p>
      <w:pPr>
        <w:spacing w:after="0" w:line="360" w:lineRule="auto"/>
        <w:rPr>
          <w:rFonts w:ascii="Times New Roman" w:hAnsi="Times New Roman" w:cs="Times New Roman"/>
          <w:noProof/>
          <w:sz w:val="24"/>
          <w:szCs w:val="24"/>
        </w:rPr>
      </w:pPr>
    </w:p>
    <w:p>
      <w:pP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Директива 92/104/ЕИО на Съвета от 3 декември 1992 г. относно минималните изисквания за подобряване опазването на безопасността и здравето на работниците в отрасли, свързани с рудодобива по открит и подземен способ (Дванадесета специална директива по смисъла на член 16, параграф 1 от Директива 89/391/ЕИО)</w:t>
      </w:r>
    </w:p>
    <w:p>
      <w:pPr>
        <w:spacing w:after="0" w:line="360" w:lineRule="auto"/>
        <w:rPr>
          <w:rFonts w:ascii="Times New Roman" w:hAnsi="Times New Roman" w:cs="Times New Roman"/>
          <w:noProof/>
          <w:sz w:val="24"/>
          <w:szCs w:val="24"/>
        </w:rPr>
      </w:pPr>
    </w:p>
    <w:p>
      <w:pP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Директива 98/24/ЕО на Съвета от 7 април 1998 г. за опазване на здравето и безопасността на работниците от рискове, свързани с химични агенти на работното място (четиринадесета специална директива по смисъла на член 16, параграф 1 от Директива 89/391/ЕИО)</w:t>
      </w:r>
    </w:p>
    <w:p>
      <w:pPr>
        <w:spacing w:after="0" w:line="360" w:lineRule="auto"/>
        <w:rPr>
          <w:rFonts w:ascii="Times New Roman" w:hAnsi="Times New Roman" w:cs="Times New Roman"/>
          <w:noProof/>
          <w:sz w:val="24"/>
          <w:szCs w:val="24"/>
        </w:rPr>
      </w:pPr>
    </w:p>
    <w:p>
      <w:pPr>
        <w:rPr>
          <w:rFonts w:ascii="Times New Roman" w:hAnsi="Times New Roman" w:cs="Times New Roman"/>
          <w:noProof/>
          <w:sz w:val="24"/>
          <w:szCs w:val="24"/>
        </w:rPr>
      </w:pPr>
      <w:r>
        <w:rPr>
          <w:rFonts w:ascii="Times New Roman" w:hAnsi="Times New Roman" w:cs="Times New Roman"/>
          <w:noProof/>
          <w:sz w:val="24"/>
          <w:szCs w:val="24"/>
        </w:rPr>
        <w:br w:type="page"/>
      </w:r>
    </w:p>
    <w:p>
      <w:pP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Директива 1999/92/ЕО на Европейския парламент и на Съвета от 16 декември 1999 г. относно минималните изисквания за подобряване защитата на здравето и безопасността на работниците в потенциален риск от експлозивни атмосфери (петнадесета специална директива по смисъла на член 16, параграф 1 от Директива 89/391/ЕИО)</w:t>
      </w:r>
    </w:p>
    <w:p>
      <w:pPr>
        <w:spacing w:after="0" w:line="360" w:lineRule="auto"/>
        <w:rPr>
          <w:rFonts w:ascii="Times New Roman" w:hAnsi="Times New Roman" w:cs="Times New Roman"/>
          <w:noProof/>
          <w:sz w:val="24"/>
          <w:szCs w:val="24"/>
        </w:rPr>
      </w:pPr>
    </w:p>
    <w:p>
      <w:pP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Директива 2002/44/ЕО на Европейския парламент и на Съвета от 25 юни 2002 г. относно минималните изисквания за здраве и безопасност, свързани с експозицията на работниците на рисковете от физически агенти (вибрации) (шестнадесета специална директива по смисъла на член 16, параграф 1 от Директива 89/391/ЕИО)</w:t>
      </w:r>
    </w:p>
    <w:p>
      <w:pPr>
        <w:spacing w:after="0" w:line="360" w:lineRule="auto"/>
        <w:rPr>
          <w:rFonts w:ascii="Times New Roman" w:hAnsi="Times New Roman" w:cs="Times New Roman"/>
          <w:noProof/>
          <w:sz w:val="24"/>
          <w:szCs w:val="24"/>
        </w:rPr>
      </w:pPr>
    </w:p>
    <w:p>
      <w:pP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Директива 2003/10/ЕО на Европейския парламент и на Съвета от 6 февруари 2003 г. относно минималните изисквания за здраве и безопасност, свързани с експозицията на работниците на рисковете от физически агенти (шум) (седемнадесета специална директива по смисъла на член 16, параграф 1 от Директива 89/391/ЕИО)</w:t>
      </w:r>
    </w:p>
    <w:p>
      <w:pPr>
        <w:spacing w:after="0" w:line="360" w:lineRule="auto"/>
        <w:rPr>
          <w:rFonts w:ascii="Times New Roman" w:hAnsi="Times New Roman" w:cs="Times New Roman"/>
          <w:noProof/>
          <w:sz w:val="24"/>
          <w:szCs w:val="24"/>
        </w:rPr>
      </w:pPr>
    </w:p>
    <w:p>
      <w:pP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Директива 2006/25/ЕО на Европейския парламент и на Съвета от 5 април 2006 г. относно минималните изисквания за здраве и безопасност, свързани с експозицията на работниците на рискове, дължащи се на физически агенти (изкуствени оптични лъчения) (Деветнадесета специална директива по смисъла на член 16, параграф 1 от Директива 89/391/ЕИО)</w:t>
      </w:r>
    </w:p>
    <w:p>
      <w:pPr>
        <w:spacing w:after="0" w:line="360" w:lineRule="auto"/>
        <w:rPr>
          <w:rFonts w:ascii="Times New Roman" w:hAnsi="Times New Roman" w:cs="Times New Roman"/>
          <w:noProof/>
          <w:sz w:val="24"/>
          <w:szCs w:val="24"/>
        </w:rPr>
      </w:pPr>
    </w:p>
    <w:p>
      <w:pP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Директива 93/103/ЕО на Съвета от 23 ноември 1993 г. относно минималните изисквания за безопасност и здраве при работа на борда на риболовни кораби (тринадесета специална директива по смисъла на член 16, параграф 1 от Директива 89/391/ЕИО)</w:t>
      </w:r>
    </w:p>
    <w:p>
      <w:pPr>
        <w:spacing w:after="0" w:line="360" w:lineRule="auto"/>
        <w:rPr>
          <w:rFonts w:ascii="Times New Roman" w:hAnsi="Times New Roman" w:cs="Times New Roman"/>
          <w:noProof/>
          <w:sz w:val="24"/>
          <w:szCs w:val="24"/>
        </w:rPr>
      </w:pPr>
    </w:p>
    <w:p>
      <w:pPr>
        <w:rPr>
          <w:rFonts w:ascii="Times New Roman" w:hAnsi="Times New Roman" w:cs="Times New Roman"/>
          <w:noProof/>
          <w:sz w:val="24"/>
          <w:szCs w:val="24"/>
        </w:rPr>
      </w:pPr>
      <w:r>
        <w:rPr>
          <w:rFonts w:ascii="Times New Roman" w:hAnsi="Times New Roman" w:cs="Times New Roman"/>
          <w:noProof/>
          <w:sz w:val="24"/>
          <w:szCs w:val="24"/>
        </w:rPr>
        <w:br w:type="page"/>
      </w:r>
    </w:p>
    <w:p>
      <w:pP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Директива 92/29/ЕИО на Съвета от 31 март 1992 г. относно минималните изисквания за безопасност и здраве за подобряване на медицинското обслужване на борда на плавателните съдове</w:t>
      </w:r>
    </w:p>
    <w:p>
      <w:pPr>
        <w:spacing w:after="0" w:line="360" w:lineRule="auto"/>
        <w:rPr>
          <w:rFonts w:ascii="Times New Roman" w:hAnsi="Times New Roman" w:cs="Times New Roman"/>
          <w:noProof/>
          <w:sz w:val="24"/>
          <w:szCs w:val="24"/>
        </w:rPr>
      </w:pPr>
    </w:p>
    <w:p>
      <w:pP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Директива 90/269/ЕИО на Съвета от 29 май 1990 г. относно минималните изисквания за здравословни и безопасни условия на труд при ръчна обработка на товари, когато съществува опасност конкретно от нараняване на гърба на работниците (четвърта специална директива по смисъла на член 16, параграф 1 от Директива 89/391/ЕИО)</w:t>
      </w:r>
    </w:p>
    <w:p>
      <w:pPr>
        <w:spacing w:after="0" w:line="360" w:lineRule="auto"/>
        <w:rPr>
          <w:rFonts w:ascii="Times New Roman" w:hAnsi="Times New Roman" w:cs="Times New Roman"/>
          <w:noProof/>
          <w:sz w:val="24"/>
          <w:szCs w:val="24"/>
        </w:rPr>
      </w:pPr>
    </w:p>
    <w:p>
      <w:pP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Директива 91/322/ЕИО на Комисията от 29 май 1991 г. за установяване на индикативни гранични стойности в прилагането на Директива 80/1107/ЕИО на Съвета за защита на работниците от рискове, свързани с експозиция на химични, физични и биологични агенти по време на работа</w:t>
      </w:r>
    </w:p>
    <w:p>
      <w:pPr>
        <w:spacing w:after="0" w:line="360" w:lineRule="auto"/>
        <w:rPr>
          <w:rFonts w:ascii="Times New Roman" w:hAnsi="Times New Roman" w:cs="Times New Roman"/>
          <w:noProof/>
          <w:sz w:val="24"/>
          <w:szCs w:val="24"/>
        </w:rPr>
      </w:pPr>
    </w:p>
    <w:p>
      <w:pP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Директива 2000/39/ЕО на Комисията от 8 юни 2000 г. относно изготвяне на първи списък на индикативни гранични стойности на професионална експозиция за прилагане на Директива 98/24/ЕО на Съвета относно защитата на здравето и безопасността на работниците от рискове, свързани с химични агенти на работното място</w:t>
      </w:r>
    </w:p>
    <w:p>
      <w:pPr>
        <w:spacing w:after="0" w:line="360" w:lineRule="auto"/>
        <w:rPr>
          <w:rFonts w:ascii="Times New Roman" w:hAnsi="Times New Roman" w:cs="Times New Roman"/>
          <w:noProof/>
          <w:sz w:val="24"/>
          <w:szCs w:val="24"/>
        </w:rPr>
      </w:pPr>
    </w:p>
    <w:p>
      <w:pP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Директива 2006/15/ЕО на Комисията от 7 февруари 2006 г. за установяване на втори списък на индикативни гранични стойности на професионална експозиция при прилагането на Директива 98/24/ЕО на Съвета и за изменение на Директиви 91/322/ЕИО и 2000/39/ЕО</w:t>
      </w:r>
    </w:p>
    <w:p>
      <w:pPr>
        <w:spacing w:after="0" w:line="360" w:lineRule="auto"/>
        <w:rPr>
          <w:rFonts w:ascii="Times New Roman" w:hAnsi="Times New Roman" w:cs="Times New Roman"/>
          <w:noProof/>
          <w:sz w:val="24"/>
          <w:szCs w:val="24"/>
        </w:rPr>
      </w:pPr>
    </w:p>
    <w:p>
      <w:pP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Директива 2009/161/ЕС на Комисията от 17 декември 2009 г. за съставяне на трети списък с индикативни гранични стойности на професионална експозиция в изпълнение на Директива 98/24/ЕО на Съвета и за изменение на Директива 2000/39/ЕО на Комисията</w:t>
      </w:r>
    </w:p>
    <w:p>
      <w:pPr>
        <w:spacing w:after="0" w:line="360" w:lineRule="auto"/>
        <w:rPr>
          <w:rFonts w:ascii="Times New Roman" w:hAnsi="Times New Roman" w:cs="Times New Roman"/>
          <w:noProof/>
          <w:sz w:val="24"/>
          <w:szCs w:val="24"/>
        </w:rPr>
      </w:pPr>
    </w:p>
    <w:p>
      <w:pP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Директива 2010/32/ЕС на Съвета от 10 май 2010 г. за прилагане на рамковото споразумение за превенция на нараняванията с остри предмети в сектора на здравеопазването и болниците, сключено между HOSPEEM и EPSU</w:t>
      </w:r>
    </w:p>
    <w:p>
      <w:pPr>
        <w:spacing w:after="0" w:line="360" w:lineRule="auto"/>
        <w:rPr>
          <w:rFonts w:ascii="Times New Roman" w:hAnsi="Times New Roman" w:cs="Times New Roman"/>
          <w:noProof/>
          <w:sz w:val="24"/>
          <w:szCs w:val="24"/>
        </w:rPr>
      </w:pPr>
    </w:p>
    <w:p>
      <w:pPr>
        <w:rPr>
          <w:rFonts w:ascii="Times New Roman" w:hAnsi="Times New Roman" w:cs="Times New Roman"/>
          <w:noProof/>
          <w:sz w:val="24"/>
          <w:szCs w:val="24"/>
        </w:rPr>
      </w:pPr>
      <w:r>
        <w:rPr>
          <w:rFonts w:ascii="Times New Roman" w:hAnsi="Times New Roman" w:cs="Times New Roman"/>
          <w:noProof/>
          <w:sz w:val="24"/>
          <w:szCs w:val="24"/>
        </w:rPr>
        <w:br w:type="page"/>
      </w:r>
    </w:p>
    <w:p>
      <w:pP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 xml:space="preserve">Директива 2013/35/ЕС на Европейския парламент и на Съвета от 26 юни 2013 г. относно минималните изисквания за здраве и безопасност, свързани с експозицията на работниците на рискове, дължащи се на физически агенти (електромагнитни полета) (Двадесета специална директива по смисъла на член 16, параграф 1 от Директива 89/391/ЕИО) и за отмяна на Директива 2004/40/ЕО </w:t>
      </w:r>
    </w:p>
    <w:p>
      <w:pPr>
        <w:spacing w:after="0" w:line="360" w:lineRule="auto"/>
        <w:rPr>
          <w:rFonts w:ascii="Times New Roman" w:hAnsi="Times New Roman" w:cs="Times New Roman"/>
          <w:noProof/>
          <w:sz w:val="24"/>
          <w:szCs w:val="24"/>
        </w:rPr>
      </w:pPr>
    </w:p>
    <w:p>
      <w:pP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 xml:space="preserve">Директива 2014/27/ЕС на Европейския парламент и на Съвета от 26 февруари 2014 г. за изменение на директиви 92/58/ЕИО, 92/85/ЕИО, 94/33/ЕО, 98/24/ЕО на Съвета и на Директива 2004/37/ЕО на Европейския парламент и на Съвета, за да се приведат в съответствие с Регламент (ЕО) № 1272/2008 относно класифицирането, етикетирането и опаковането на вещества и смеси </w:t>
      </w:r>
    </w:p>
    <w:p>
      <w:pPr>
        <w:spacing w:after="0" w:line="360" w:lineRule="auto"/>
        <w:rPr>
          <w:rFonts w:ascii="Times New Roman" w:hAnsi="Times New Roman" w:cs="Times New Roman"/>
          <w:noProof/>
          <w:sz w:val="24"/>
          <w:szCs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Срокове: Съветът за партньорство ще определи сроковете за прилагане на всички споменати по-горе директиви под рубриката „Здраве и безопасност на работното място“ след подписване на настоящото споразумение.</w:t>
      </w:r>
    </w:p>
    <w:p>
      <w:pPr>
        <w:spacing w:after="0" w:line="360" w:lineRule="auto"/>
        <w:rPr>
          <w:rFonts w:ascii="Times New Roman" w:hAnsi="Times New Roman" w:cs="Times New Roman"/>
          <w:noProof/>
          <w:sz w:val="24"/>
          <w:szCs w:val="24"/>
        </w:rPr>
      </w:pPr>
    </w:p>
    <w:p>
      <w:pP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Трудово право</w:t>
      </w:r>
    </w:p>
    <w:p>
      <w:pPr>
        <w:spacing w:after="0" w:line="360" w:lineRule="auto"/>
        <w:rPr>
          <w:rFonts w:ascii="Times New Roman" w:hAnsi="Times New Roman" w:cs="Times New Roman"/>
          <w:noProof/>
          <w:sz w:val="24"/>
          <w:szCs w:val="24"/>
        </w:rPr>
      </w:pPr>
    </w:p>
    <w:p>
      <w:pPr>
        <w:spacing w:after="0" w:line="360" w:lineRule="auto"/>
        <w:ind w:left="567" w:hanging="567"/>
        <w:rPr>
          <w:rFonts w:ascii="Times New Roman" w:hAnsi="Times New Roman" w:cs="Times New Roman"/>
          <w:noProof/>
          <w:sz w:val="24"/>
          <w:szCs w:val="24"/>
        </w:rPr>
      </w:pPr>
      <w:r>
        <w:rPr>
          <w:rFonts w:ascii="Times New Roman" w:hAnsi="Times New Roman" w:cs="Times New Roman"/>
          <w:noProof/>
          <w:sz w:val="24"/>
          <w:szCs w:val="24"/>
        </w:rPr>
        <w:t>–</w:t>
      </w:r>
      <w:r>
        <w:rPr>
          <w:rFonts w:ascii="Times New Roman" w:hAnsi="Times New Roman" w:cs="Times New Roman"/>
          <w:noProof/>
          <w:sz w:val="24"/>
          <w:szCs w:val="24"/>
        </w:rPr>
        <w:tab/>
        <w:t>Директива (ЕС) 2015/1794 на Европейския парламент и на Съвета от 6 октомври 2015 г. за изменение на директиви 2008/94/ЕО, 2009/38/ЕО и 2002/14/ЕО на Европейския парламент и на Съвета и на директиви 98/59/ЕО и 2001/23/ЕО на Съвета относно морските лица (срок за транспониране: 10 октомври 2017 г.)</w:t>
      </w:r>
    </w:p>
    <w:p>
      <w:pPr>
        <w:spacing w:after="0" w:line="360" w:lineRule="auto"/>
        <w:rPr>
          <w:rFonts w:ascii="Times New Roman" w:hAnsi="Times New Roman" w:cs="Times New Roman"/>
          <w:noProof/>
          <w:sz w:val="24"/>
          <w:szCs w:val="24"/>
        </w:rPr>
      </w:pPr>
    </w:p>
    <w:p>
      <w:pPr>
        <w:spacing w:after="0" w:line="360" w:lineRule="auto"/>
        <w:ind w:left="567" w:hanging="567"/>
        <w:rPr>
          <w:rFonts w:ascii="Times New Roman" w:hAnsi="Times New Roman" w:cs="Times New Roman"/>
          <w:noProof/>
          <w:sz w:val="24"/>
          <w:szCs w:val="24"/>
        </w:rPr>
      </w:pPr>
      <w:r>
        <w:rPr>
          <w:rFonts w:ascii="Times New Roman" w:hAnsi="Times New Roman" w:cs="Times New Roman"/>
          <w:noProof/>
          <w:sz w:val="24"/>
          <w:szCs w:val="24"/>
        </w:rPr>
        <w:t>–</w:t>
      </w:r>
      <w:r>
        <w:rPr>
          <w:rFonts w:ascii="Times New Roman" w:hAnsi="Times New Roman" w:cs="Times New Roman"/>
          <w:noProof/>
          <w:sz w:val="24"/>
          <w:szCs w:val="24"/>
        </w:rPr>
        <w:tab/>
        <w:t>Директива 2014/112/ЕС на Съвета от 19 декември 2014 г. за прилагане на Европейското споразумение относно определени аспекти на организацията на работното време в сектора на вътрешния воден транспорт, сключено от Европейския съюз за речно корабоплаване (EBU), Европейската организация на речните превозвачи (ESO) и Европейската федерация на работниците от транспорта (ETF) (срок за транспониране: 31 декември 2016 г.)</w:t>
      </w:r>
    </w:p>
    <w:p>
      <w:pPr>
        <w:spacing w:after="0" w:line="360" w:lineRule="auto"/>
        <w:rPr>
          <w:rFonts w:ascii="Times New Roman" w:hAnsi="Times New Roman" w:cs="Times New Roman"/>
          <w:noProof/>
          <w:sz w:val="24"/>
          <w:szCs w:val="24"/>
        </w:rPr>
      </w:pPr>
    </w:p>
    <w:p>
      <w:pPr>
        <w:rPr>
          <w:rFonts w:ascii="Times New Roman" w:hAnsi="Times New Roman" w:cs="Times New Roman"/>
          <w:noProof/>
          <w:sz w:val="24"/>
          <w:szCs w:val="24"/>
        </w:rPr>
      </w:pPr>
      <w:r>
        <w:rPr>
          <w:rFonts w:ascii="Times New Roman" w:hAnsi="Times New Roman" w:cs="Times New Roman"/>
          <w:noProof/>
          <w:sz w:val="24"/>
          <w:szCs w:val="24"/>
        </w:rPr>
        <w:br w:type="page"/>
      </w:r>
    </w:p>
    <w:p>
      <w:pPr>
        <w:spacing w:after="0" w:line="360" w:lineRule="auto"/>
        <w:ind w:left="567" w:hanging="567"/>
        <w:rPr>
          <w:rFonts w:ascii="Times New Roman" w:hAnsi="Times New Roman" w:cs="Times New Roman"/>
          <w:noProof/>
          <w:sz w:val="24"/>
          <w:szCs w:val="24"/>
        </w:rPr>
      </w:pPr>
      <w:r>
        <w:rPr>
          <w:rFonts w:ascii="Times New Roman" w:hAnsi="Times New Roman" w:cs="Times New Roman"/>
          <w:noProof/>
          <w:sz w:val="24"/>
          <w:szCs w:val="24"/>
        </w:rPr>
        <w:t>–</w:t>
      </w:r>
      <w:r>
        <w:rPr>
          <w:rFonts w:ascii="Times New Roman" w:hAnsi="Times New Roman" w:cs="Times New Roman"/>
          <w:noProof/>
          <w:sz w:val="24"/>
          <w:szCs w:val="24"/>
        </w:rPr>
        <w:tab/>
        <w:t>Директива 94/33/ЕО на Съвета от 22 юни 1994 г. за закрила на младите хора на работното място не е включена в първоначалния пакет от мерки.</w:t>
      </w:r>
    </w:p>
    <w:p>
      <w:pPr>
        <w:spacing w:after="0" w:line="360" w:lineRule="auto"/>
        <w:rPr>
          <w:rFonts w:ascii="Times New Roman" w:hAnsi="Times New Roman" w:cs="Times New Roman"/>
          <w:noProof/>
          <w:sz w:val="24"/>
          <w:szCs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Срокове: разпоредбите на Директива (ЕС) 2015/1794 и Директива 2014/112/ЕС започват да се прилагат в срок от 5 години след влизането в сила на настоящото споразумение.</w:t>
      </w:r>
    </w:p>
    <w:p>
      <w:pPr>
        <w:spacing w:after="0" w:line="360" w:lineRule="auto"/>
        <w:rPr>
          <w:rFonts w:ascii="Times New Roman" w:hAnsi="Times New Roman" w:cs="Times New Roman"/>
          <w:noProof/>
          <w:sz w:val="24"/>
          <w:szCs w:val="24"/>
        </w:rPr>
      </w:pPr>
    </w:p>
    <w:p>
      <w:pPr>
        <w:spacing w:after="0" w:line="360" w:lineRule="auto"/>
        <w:rPr>
          <w:rFonts w:ascii="Times New Roman" w:hAnsi="Times New Roman" w:cs="Times New Roman"/>
          <w:noProof/>
          <w:sz w:val="24"/>
          <w:szCs w:val="24"/>
        </w:rPr>
      </w:pPr>
    </w:p>
    <w:p>
      <w:pPr>
        <w:spacing w:after="0" w:line="360" w:lineRule="auto"/>
        <w:jc w:val="center"/>
        <w:rPr>
          <w:rFonts w:ascii="Times New Roman" w:hAnsi="Times New Roman" w:cs="Times New Roman"/>
          <w:noProof/>
          <w:sz w:val="24"/>
          <w:szCs w:val="24"/>
        </w:rPr>
      </w:pPr>
      <w:r>
        <w:rPr>
          <w:rFonts w:ascii="Times New Roman" w:hAnsi="Times New Roman" w:cs="Times New Roman"/>
          <w:noProof/>
          <w:sz w:val="24"/>
          <w:szCs w:val="24"/>
        </w:rPr>
        <w:t>________________</w:t>
      </w:r>
    </w:p>
    <w:p>
      <w:pPr>
        <w:spacing w:after="0" w:line="360" w:lineRule="auto"/>
        <w:jc w:val="right"/>
        <w:rPr>
          <w:rFonts w:ascii="Times New Roman" w:hAnsi="Times New Roman" w:cs="Times New Roman"/>
          <w:noProof/>
          <w:sz w:val="24"/>
          <w:szCs w:val="24"/>
        </w:rPr>
      </w:pPr>
    </w:p>
    <w:p>
      <w:pPr>
        <w:rPr>
          <w:rFonts w:ascii="Times New Roman" w:hAnsi="Times New Roman" w:cs="Times New Roman"/>
          <w:noProof/>
          <w:sz w:val="24"/>
          <w:szCs w:val="24"/>
        </w:rPr>
      </w:pPr>
    </w:p>
    <w:p>
      <w:pPr>
        <w:spacing w:after="0" w:line="360" w:lineRule="auto"/>
        <w:ind w:left="567" w:hanging="567"/>
        <w:rPr>
          <w:rFonts w:ascii="Times New Roman" w:hAnsi="Times New Roman" w:cs="Times New Roman"/>
          <w:noProof/>
          <w:sz w:val="24"/>
          <w:szCs w:val="24"/>
        </w:rPr>
      </w:pPr>
    </w:p>
    <w:sectPr>
      <w:headerReference w:type="even" r:id="rId58"/>
      <w:headerReference w:type="default" r:id="rId59"/>
      <w:footerReference w:type="even" r:id="rId60"/>
      <w:footerReference w:type="default" r:id="rId61"/>
      <w:headerReference w:type="first" r:id="rId62"/>
      <w:footerReference w:type="first" r:id="rId63"/>
      <w:pgSz w:w="11909" w:h="16834" w:code="9"/>
      <w:pgMar w:top="1134" w:right="1134" w:bottom="1134" w:left="1134" w:header="1134" w:footer="113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sz w:val="2"/>
        <w:szCs w:val="2"/>
      </w:rPr>
    </w:pPr>
    <w:r>
      <w:rPr>
        <w:noProof/>
        <w:lang w:val="en-US"/>
      </w:rPr>
      <mc:AlternateContent>
        <mc:Choice Requires="wps">
          <w:drawing>
            <wp:anchor distT="63500" distB="63500" distL="63500" distR="63500" simplePos="0" relativeHeight="251656704" behindDoc="1" locked="0" layoutInCell="1" allowOverlap="1">
              <wp:simplePos x="0" y="0"/>
              <wp:positionH relativeFrom="page">
                <wp:posOffset>1127125</wp:posOffset>
              </wp:positionH>
              <wp:positionV relativeFrom="paragraph">
                <wp:posOffset>-928370</wp:posOffset>
              </wp:positionV>
              <wp:extent cx="121920" cy="335915"/>
              <wp:effectExtent l="0" t="0" r="11430" b="698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335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En-tteoupieddepage0"/>
                            <w:shd w:val="clear" w:color="auto" w:fill="auto"/>
                            <w:jc w:val="both"/>
                          </w:pPr>
                          <w:r>
                            <w:rPr>
                              <w:rStyle w:val="En-tteoupieddepage23pt"/>
                              <w:rFonts w:eastAsiaTheme="minorHAnsi"/>
                            </w:rPr>
                            <w:t>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44" type="#_x0000_t202" style="position:absolute;margin-left:88.75pt;margin-top:-73.1pt;width:9.6pt;height:26.45pt;z-index:-251659776;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" filled="f" stroked="f">
              <v:textbox style="mso-fit-shape-to-text:t" inset="0,0,0,0">
                <w:txbxContent>
                  <w:p>
                    <w:pPr>
                      <w:pStyle w:val="En-tteoupieddepage0"/>
                      <w:shd w:val="clear" w:color="auto" w:fill="auto"/>
                      <w:jc w:val="both"/>
                    </w:pPr>
                    <w:r>
                      <w:rPr>
                        <w:rStyle w:val="En-tteoupieddepage23pt"/>
                        <w:rFonts w:eastAsiaTheme="minorHAnsi"/>
                      </w:rPr>
                      <w:t>1</w:t>
                    </w:r>
                  </w:p>
                </w:txbxContent>
              </v:textbox>
              <w10:wrap anchorx="page"/>
            </v:shape>
          </w:pict>
        </mc:Fallback>
      </mc:AlternateContent>
    </w:r>
    <w:r>
      <w:rPr>
        <w:noProof/>
        <w:lang w:val="en-US"/>
      </w:rPr>
      <mc:AlternateContent>
        <mc:Choice Requires="wps">
          <w:drawing>
            <wp:anchor distT="63500" distB="63500" distL="63500" distR="63500" simplePos="0" relativeHeight="251657728" behindDoc="1" locked="0" layoutInCell="1" allowOverlap="1">
              <wp:simplePos x="0" y="0"/>
              <wp:positionH relativeFrom="page">
                <wp:posOffset>3575050</wp:posOffset>
              </wp:positionH>
              <wp:positionV relativeFrom="paragraph">
                <wp:posOffset>-928370</wp:posOffset>
              </wp:positionV>
              <wp:extent cx="133985" cy="153035"/>
              <wp:effectExtent l="0" t="0" r="8890" b="1841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En-tteoupieddepage0"/>
                            <w:shd w:val="clear" w:color="auto" w:fill="auto"/>
                            <w:jc w:val="both"/>
                          </w:pPr>
                          <w:r>
                            <w:fldChar w:fldCharType="begin"/>
                          </w:r>
                          <w:r>
                            <w:instrText xml:space="preserve"> PAGE \* MERGEFORMAT </w:instrText>
                          </w:r>
                          <w:r>
                            <w:fldChar w:fldCharType="separate"/>
                          </w:r>
                          <w:r>
                            <w:rPr>
                              <w:rStyle w:val="En-tteoupieddepage105pt"/>
                              <w:rFonts w:eastAsiaTheme="minorHAnsi"/>
                              <w:noProof/>
                            </w:rPr>
                            <w:t>4</w:t>
                          </w:r>
                          <w:r>
                            <w:rPr>
                              <w:rStyle w:val="En-tteoupieddepage105pt"/>
                              <w:rFonts w:eastAsiaTheme="minorHAnsi"/>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5" o:spid="_x0000_s1045" type="#_x0000_t202" style="position:absolute;margin-left:281.5pt;margin-top:-73.1pt;width:10.55pt;height:12.05pt;z-index:-251658752;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" filled="f" stroked="f">
              <v:textbox style="mso-fit-shape-to-text:t" inset="0,0,0,0">
                <w:txbxContent>
                  <w:p>
                    <w:pPr>
                      <w:pStyle w:val="En-tteoupieddepage0"/>
                      <w:shd w:val="clear" w:color="auto" w:fill="auto"/>
                      <w:jc w:val="both"/>
                    </w:pPr>
                    <w:r>
                      <w:fldChar w:fldCharType="begin"/>
                    </w:r>
                    <w:r>
                      <w:instrText xml:space="preserve"> PAGE \* MERGEFORMAT </w:instrText>
                    </w:r>
                    <w:r>
                      <w:fldChar w:fldCharType="separate"/>
                    </w:r>
                    <w:r>
                      <w:rPr>
                        <w:rStyle w:val="En-tteoupieddepage105pt"/>
                        <w:rFonts w:eastAsiaTheme="minorHAnsi"/>
                        <w:noProof/>
                      </w:rPr>
                      <w:t>4</w:t>
                    </w:r>
                    <w:r>
                      <w:rPr>
                        <w:rStyle w:val="En-tteoupieddepage105pt"/>
                        <w:rFonts w:eastAsiaTheme="minorHAnsi"/>
                      </w:rPr>
                      <w:fldChar w:fldCharType="end"/>
                    </w:r>
                  </w:p>
                </w:txbxContent>
              </v:textbox>
              <w10:wrap anchorx="page"/>
            </v:shape>
          </w:pict>
        </mc:Fallback>
      </mc:AlternateContent>
    </w:r>
    <w:r>
      <w:rPr>
        <w:noProof/>
        <w:lang w:val="en-US"/>
      </w:rPr>
      <mc:AlternateContent>
        <mc:Choice Requires="wps">
          <w:drawing>
            <wp:anchor distT="63500" distB="63500" distL="63500" distR="63500" simplePos="0" relativeHeight="251658752" behindDoc="1" locked="0" layoutInCell="1" allowOverlap="1">
              <wp:simplePos x="0" y="0"/>
              <wp:positionH relativeFrom="page">
                <wp:posOffset>5922010</wp:posOffset>
              </wp:positionH>
              <wp:positionV relativeFrom="paragraph">
                <wp:posOffset>-928370</wp:posOffset>
              </wp:positionV>
              <wp:extent cx="100330" cy="335915"/>
              <wp:effectExtent l="0" t="0" r="13970" b="698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335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En-tteoupieddepage0"/>
                            <w:shd w:val="clear" w:color="auto" w:fill="auto"/>
                            <w:jc w:val="both"/>
                          </w:pPr>
                          <w:r>
                            <w:rPr>
                              <w:rStyle w:val="En-tteoupieddepage23pt"/>
                              <w:rFonts w:eastAsiaTheme="minorHAnsi"/>
                            </w:rPr>
                            <w:t>I</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6" o:spid="_x0000_s1046" type="#_x0000_t202" style="position:absolute;margin-left:466.3pt;margin-top:-73.1pt;width:7.9pt;height:26.45pt;z-index:-251657728;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" filled="f" stroked="f">
              <v:textbox style="mso-fit-shape-to-text:t" inset="0,0,0,0">
                <w:txbxContent>
                  <w:p>
                    <w:pPr>
                      <w:pStyle w:val="En-tteoupieddepage0"/>
                      <w:shd w:val="clear" w:color="auto" w:fill="auto"/>
                      <w:jc w:val="both"/>
                    </w:pPr>
                    <w:r>
                      <w:rPr>
                        <w:rStyle w:val="En-tteoupieddepage23pt"/>
                        <w:rFonts w:eastAsiaTheme="minorHAnsi"/>
                      </w:rPr>
                      <w:t>I</w:t>
                    </w:r>
                  </w:p>
                </w:txbxContent>
              </v:textbox>
              <w10:wrap anchorx="page"/>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pPr>
    <w:r>
      <w:t xml:space="preserve">AM/EU/Annex II/bg </w:t>
    </w:r>
    <w:sdt>
      <w:sdtPr>
        <w:id w:val="146789750"/>
        <w:docPartObj>
          <w:docPartGallery w:val="Page Numbers (Bottom of Page)"/>
          <w:docPartUnique/>
        </w:docPartObj>
      </w:sdtPr>
      <w:sdtContent>
        <w:r>
          <w:fldChar w:fldCharType="begin"/>
        </w:r>
        <w:r>
          <w:instrText xml:space="preserve"> PAGE   \* MERGEFORMAT </w:instrText>
        </w:r>
        <w:r>
          <w:fldChar w:fldCharType="separate"/>
        </w:r>
        <w:r>
          <w:rPr>
            <w:noProof/>
          </w:rPr>
          <w:t>20</w:t>
        </w:r>
        <w:r>
          <w:fldChar w:fldCharType="end"/>
        </w:r>
      </w:sdtContent>
    </w:sdt>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sz w:val="2"/>
        <w:szCs w:val="2"/>
      </w:rPr>
    </w:pPr>
    <w:r>
      <w:rPr>
        <w:noProof/>
        <w:lang w:val="en-US"/>
      </w:rPr>
      <mc:AlternateContent>
        <mc:Choice Requires="wps">
          <w:drawing>
            <wp:anchor distT="63500" distB="63500" distL="63500" distR="63500" simplePos="0" relativeHeight="251654656" behindDoc="1" locked="0" layoutInCell="1" allowOverlap="1">
              <wp:simplePos x="0" y="0"/>
              <wp:positionH relativeFrom="page">
                <wp:posOffset>1165860</wp:posOffset>
              </wp:positionH>
              <wp:positionV relativeFrom="paragraph">
                <wp:posOffset>-928370</wp:posOffset>
              </wp:positionV>
              <wp:extent cx="74295" cy="306705"/>
              <wp:effectExtent l="0" t="0" r="13970" b="698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En-tteoupieddepage0"/>
                            <w:shd w:val="clear" w:color="auto" w:fill="auto"/>
                            <w:jc w:val="both"/>
                          </w:pPr>
                          <w:r>
                            <w:rPr>
                              <w:rStyle w:val="En-tteoupieddepage23pt"/>
                              <w:rFonts w:eastAsiaTheme="minorHAnsi"/>
                            </w:rPr>
                            <w:t>I</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48" type="#_x0000_t202" style="position:absolute;margin-left:91.8pt;margin-top:-73.1pt;width:5.85pt;height:24.15pt;z-index:-251661824;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" filled="f" stroked="f">
              <v:textbox style="mso-fit-shape-to-text:t" inset="0,0,0,0">
                <w:txbxContent>
                  <w:p>
                    <w:pPr>
                      <w:pStyle w:val="En-tteoupieddepage0"/>
                      <w:shd w:val="clear" w:color="auto" w:fill="auto"/>
                      <w:jc w:val="both"/>
                    </w:pPr>
                    <w:r>
                      <w:rPr>
                        <w:rStyle w:val="En-tteoupieddepage23pt"/>
                        <w:rFonts w:eastAsiaTheme="minorHAnsi"/>
                      </w:rPr>
                      <w:t>I</w:t>
                    </w:r>
                  </w:p>
                </w:txbxContent>
              </v:textbox>
              <w10:wrap anchorx="page"/>
            </v:shape>
          </w:pict>
        </mc:Fallback>
      </mc:AlternateContent>
    </w:r>
    <w:r>
      <w:rPr>
        <w:noProof/>
        <w:lang w:val="en-US"/>
      </w:rPr>
      <mc:AlternateContent>
        <mc:Choice Requires="wps">
          <w:drawing>
            <wp:anchor distT="63500" distB="63500" distL="63500" distR="63500" simplePos="0" relativeHeight="251655680" behindDoc="1" locked="0" layoutInCell="1" allowOverlap="1">
              <wp:simplePos x="0" y="0"/>
              <wp:positionH relativeFrom="page">
                <wp:posOffset>5960110</wp:posOffset>
              </wp:positionH>
              <wp:positionV relativeFrom="paragraph">
                <wp:posOffset>-928370</wp:posOffset>
              </wp:positionV>
              <wp:extent cx="74295" cy="306705"/>
              <wp:effectExtent l="0" t="0" r="13970" b="698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En-tteoupieddepage0"/>
                            <w:shd w:val="clear" w:color="auto" w:fill="auto"/>
                            <w:jc w:val="both"/>
                          </w:pPr>
                          <w:r>
                            <w:rPr>
                              <w:rStyle w:val="En-tteoupieddepage23pt"/>
                              <w:rFonts w:eastAsiaTheme="minorHAnsi"/>
                            </w:rPr>
                            <w:t>I</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 o:spid="_x0000_s1049" type="#_x0000_t202" style="position:absolute;margin-left:469.3pt;margin-top:-73.1pt;width:5.85pt;height:24.15pt;z-index:-251660800;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" filled="f" stroked="f">
              <v:textbox style="mso-fit-shape-to-text:t" inset="0,0,0,0">
                <w:txbxContent>
                  <w:p>
                    <w:pPr>
                      <w:pStyle w:val="En-tteoupieddepage0"/>
                      <w:shd w:val="clear" w:color="auto" w:fill="auto"/>
                      <w:jc w:val="both"/>
                    </w:pPr>
                    <w:r>
                      <w:rPr>
                        <w:rStyle w:val="En-tteoupieddepage23pt"/>
                        <w:rFonts w:eastAsiaTheme="minorHAnsi"/>
                      </w:rPr>
                      <w:t>I</w:t>
                    </w:r>
                  </w:p>
                </w:txbxContent>
              </v:textbox>
              <w10:wrap anchorx="page"/>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sz w:val="2"/>
        <w:szCs w:val="2"/>
      </w:rPr>
    </w:pPr>
    <w:r>
      <w:rPr>
        <w:noProof/>
        <w:lang w:val="en-US"/>
      </w:rPr>
      <mc:AlternateContent>
        <mc:Choice Requires="wps">
          <w:drawing>
            <wp:anchor distT="63500" distB="63500" distL="63500" distR="63500" simplePos="0" relativeHeight="251663872" behindDoc="1" locked="0" layoutInCell="1" allowOverlap="1">
              <wp:simplePos x="0" y="0"/>
              <wp:positionH relativeFrom="page">
                <wp:posOffset>1127125</wp:posOffset>
              </wp:positionH>
              <wp:positionV relativeFrom="paragraph">
                <wp:posOffset>-928370</wp:posOffset>
              </wp:positionV>
              <wp:extent cx="121920" cy="335915"/>
              <wp:effectExtent l="0" t="0" r="11430" b="698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335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En-tteoupieddepage0"/>
                            <w:shd w:val="clear" w:color="auto" w:fill="auto"/>
                            <w:jc w:val="both"/>
                          </w:pPr>
                          <w:r>
                            <w:rPr>
                              <w:rStyle w:val="En-tteoupieddepage23pt"/>
                              <w:rFonts w:eastAsiaTheme="minorHAnsi"/>
                            </w:rPr>
                            <w:t>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52" type="#_x0000_t202" style="position:absolute;margin-left:88.75pt;margin-top:-73.1pt;width:9.6pt;height:26.45pt;z-index:-251652608;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" filled="f" stroked="f">
              <v:textbox style="mso-fit-shape-to-text:t" inset="0,0,0,0">
                <w:txbxContent>
                  <w:p>
                    <w:pPr>
                      <w:pStyle w:val="En-tteoupieddepage0"/>
                      <w:shd w:val="clear" w:color="auto" w:fill="auto"/>
                      <w:jc w:val="both"/>
                    </w:pPr>
                    <w:r>
                      <w:rPr>
                        <w:rStyle w:val="En-tteoupieddepage23pt"/>
                        <w:rFonts w:eastAsiaTheme="minorHAnsi"/>
                      </w:rPr>
                      <w:t>1</w:t>
                    </w:r>
                  </w:p>
                </w:txbxContent>
              </v:textbox>
              <w10:wrap anchorx="page"/>
            </v:shape>
          </w:pict>
        </mc:Fallback>
      </mc:AlternateContent>
    </w:r>
    <w:r>
      <w:rPr>
        <w:noProof/>
        <w:lang w:val="en-US"/>
      </w:rPr>
      <mc:AlternateContent>
        <mc:Choice Requires="wps">
          <w:drawing>
            <wp:anchor distT="63500" distB="63500" distL="63500" distR="63500" simplePos="0" relativeHeight="251664896" behindDoc="1" locked="0" layoutInCell="1" allowOverlap="1">
              <wp:simplePos x="0" y="0"/>
              <wp:positionH relativeFrom="page">
                <wp:posOffset>3575050</wp:posOffset>
              </wp:positionH>
              <wp:positionV relativeFrom="paragraph">
                <wp:posOffset>-928370</wp:posOffset>
              </wp:positionV>
              <wp:extent cx="133985" cy="153035"/>
              <wp:effectExtent l="0" t="0" r="8890" b="18415"/>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En-tteoupieddepage0"/>
                            <w:shd w:val="clear" w:color="auto" w:fill="auto"/>
                            <w:jc w:val="both"/>
                          </w:pPr>
                          <w:r>
                            <w:fldChar w:fldCharType="begin"/>
                          </w:r>
                          <w:r>
                            <w:instrText xml:space="preserve"> PAGE \* MERGEFORMAT </w:instrText>
                          </w:r>
                          <w:r>
                            <w:fldChar w:fldCharType="separate"/>
                          </w:r>
                          <w:r>
                            <w:rPr>
                              <w:rStyle w:val="En-tteoupieddepage105pt"/>
                              <w:rFonts w:eastAsiaTheme="minorHAnsi"/>
                              <w:noProof/>
                            </w:rPr>
                            <w:t>4</w:t>
                          </w:r>
                          <w:r>
                            <w:rPr>
                              <w:rStyle w:val="En-tteoupieddepage105pt"/>
                              <w:rFonts w:eastAsiaTheme="minorHAnsi"/>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2" o:spid="_x0000_s1053" type="#_x0000_t202" style="position:absolute;margin-left:281.5pt;margin-top:-73.1pt;width:10.55pt;height:12.05pt;z-index:-251651584;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" filled="f" stroked="f">
              <v:textbox style="mso-fit-shape-to-text:t" inset="0,0,0,0">
                <w:txbxContent>
                  <w:p>
                    <w:pPr>
                      <w:pStyle w:val="En-tteoupieddepage0"/>
                      <w:shd w:val="clear" w:color="auto" w:fill="auto"/>
                      <w:jc w:val="both"/>
                    </w:pPr>
                    <w:r>
                      <w:fldChar w:fldCharType="begin"/>
                    </w:r>
                    <w:r>
                      <w:instrText xml:space="preserve"> PAGE \* MERGEFORMAT </w:instrText>
                    </w:r>
                    <w:r>
                      <w:fldChar w:fldCharType="separate"/>
                    </w:r>
                    <w:r>
                      <w:rPr>
                        <w:rStyle w:val="En-tteoupieddepage105pt"/>
                        <w:rFonts w:eastAsiaTheme="minorHAnsi"/>
                        <w:noProof/>
                      </w:rPr>
                      <w:t>4</w:t>
                    </w:r>
                    <w:r>
                      <w:rPr>
                        <w:rStyle w:val="En-tteoupieddepage105pt"/>
                        <w:rFonts w:eastAsiaTheme="minorHAnsi"/>
                      </w:rPr>
                      <w:fldChar w:fldCharType="end"/>
                    </w:r>
                  </w:p>
                </w:txbxContent>
              </v:textbox>
              <w10:wrap anchorx="page"/>
            </v:shape>
          </w:pict>
        </mc:Fallback>
      </mc:AlternateContent>
    </w:r>
    <w:r>
      <w:rPr>
        <w:noProof/>
        <w:lang w:val="en-US"/>
      </w:rPr>
      <mc:AlternateContent>
        <mc:Choice Requires="wps">
          <w:drawing>
            <wp:anchor distT="63500" distB="63500" distL="63500" distR="63500" simplePos="0" relativeHeight="251665920" behindDoc="1" locked="0" layoutInCell="1" allowOverlap="1">
              <wp:simplePos x="0" y="0"/>
              <wp:positionH relativeFrom="page">
                <wp:posOffset>5922010</wp:posOffset>
              </wp:positionH>
              <wp:positionV relativeFrom="paragraph">
                <wp:posOffset>-928370</wp:posOffset>
              </wp:positionV>
              <wp:extent cx="100330" cy="335915"/>
              <wp:effectExtent l="0" t="0" r="13970" b="6985"/>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335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En-tteoupieddepage0"/>
                            <w:shd w:val="clear" w:color="auto" w:fill="auto"/>
                            <w:jc w:val="both"/>
                          </w:pPr>
                          <w:r>
                            <w:rPr>
                              <w:rStyle w:val="En-tteoupieddepage23pt"/>
                              <w:rFonts w:eastAsiaTheme="minorHAnsi"/>
                            </w:rPr>
                            <w:t>I</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3" o:spid="_x0000_s1054" type="#_x0000_t202" style="position:absolute;margin-left:466.3pt;margin-top:-73.1pt;width:7.9pt;height:26.45pt;z-index:-251650560;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" filled="f" stroked="f">
              <v:textbox style="mso-fit-shape-to-text:t" inset="0,0,0,0">
                <w:txbxContent>
                  <w:p>
                    <w:pPr>
                      <w:pStyle w:val="En-tteoupieddepage0"/>
                      <w:shd w:val="clear" w:color="auto" w:fill="auto"/>
                      <w:jc w:val="both"/>
                    </w:pPr>
                    <w:r>
                      <w:rPr>
                        <w:rStyle w:val="En-tteoupieddepage23pt"/>
                        <w:rFonts w:eastAsiaTheme="minorHAnsi"/>
                      </w:rPr>
                      <w:t>I</w:t>
                    </w:r>
                  </w:p>
                </w:txbxContent>
              </v:textbox>
              <w10:wrap anchorx="page"/>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pPr>
    <w:r>
      <w:t xml:space="preserve">AM/EU/Annex III/bg </w:t>
    </w:r>
    <w:sdt>
      <w:sdtPr>
        <w:id w:val="-1695768289"/>
        <w:docPartObj>
          <w:docPartGallery w:val="Page Numbers (Bottom of Page)"/>
          <w:docPartUnique/>
        </w:docPartObj>
      </w:sdtPr>
      <w:sdtContent>
        <w:r>
          <w:fldChar w:fldCharType="begin"/>
        </w:r>
        <w:r>
          <w:instrText xml:space="preserve"> PAGE   \* MERGEFORMAT </w:instrText>
        </w:r>
        <w:r>
          <w:fldChar w:fldCharType="separate"/>
        </w:r>
        <w:r>
          <w:rPr>
            <w:noProof/>
          </w:rPr>
          <w:t>24</w:t>
        </w:r>
        <w:r>
          <w:fldChar w:fldCharType="end"/>
        </w:r>
      </w:sdtContent>
    </w:sdt>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sz w:val="2"/>
        <w:szCs w:val="2"/>
      </w:rPr>
    </w:pPr>
    <w:r>
      <w:rPr>
        <w:noProof/>
        <w:lang w:val="en-US"/>
      </w:rPr>
      <mc:AlternateContent>
        <mc:Choice Requires="wps">
          <w:drawing>
            <wp:anchor distT="63500" distB="63500" distL="63500" distR="63500" simplePos="0" relativeHeight="251661824" behindDoc="1" locked="0" layoutInCell="1" allowOverlap="1">
              <wp:simplePos x="0" y="0"/>
              <wp:positionH relativeFrom="page">
                <wp:posOffset>1165860</wp:posOffset>
              </wp:positionH>
              <wp:positionV relativeFrom="paragraph">
                <wp:posOffset>-928370</wp:posOffset>
              </wp:positionV>
              <wp:extent cx="74295" cy="306705"/>
              <wp:effectExtent l="0" t="0" r="13970" b="698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En-tteoupieddepage0"/>
                            <w:shd w:val="clear" w:color="auto" w:fill="auto"/>
                            <w:jc w:val="both"/>
                          </w:pPr>
                          <w:r>
                            <w:rPr>
                              <w:rStyle w:val="En-tteoupieddepage23pt"/>
                              <w:rFonts w:eastAsiaTheme="minorHAnsi"/>
                            </w:rPr>
                            <w:t>I</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55" type="#_x0000_t202" style="position:absolute;margin-left:91.8pt;margin-top:-73.1pt;width:5.85pt;height:24.15pt;z-index:-251654656;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" filled="f" stroked="f">
              <v:textbox style="mso-fit-shape-to-text:t" inset="0,0,0,0">
                <w:txbxContent>
                  <w:p>
                    <w:pPr>
                      <w:pStyle w:val="En-tteoupieddepage0"/>
                      <w:shd w:val="clear" w:color="auto" w:fill="auto"/>
                      <w:jc w:val="both"/>
                    </w:pPr>
                    <w:r>
                      <w:rPr>
                        <w:rStyle w:val="En-tteoupieddepage23pt"/>
                        <w:rFonts w:eastAsiaTheme="minorHAnsi"/>
                      </w:rPr>
                      <w:t>I</w:t>
                    </w:r>
                  </w:p>
                </w:txbxContent>
              </v:textbox>
              <w10:wrap anchorx="page"/>
            </v:shape>
          </w:pict>
        </mc:Fallback>
      </mc:AlternateContent>
    </w:r>
    <w:r>
      <w:rPr>
        <w:noProof/>
        <w:lang w:val="en-US"/>
      </w:rPr>
      <mc:AlternateContent>
        <mc:Choice Requires="wps">
          <w:drawing>
            <wp:anchor distT="63500" distB="63500" distL="63500" distR="63500" simplePos="0" relativeHeight="251662848" behindDoc="1" locked="0" layoutInCell="1" allowOverlap="1">
              <wp:simplePos x="0" y="0"/>
              <wp:positionH relativeFrom="page">
                <wp:posOffset>5960110</wp:posOffset>
              </wp:positionH>
              <wp:positionV relativeFrom="paragraph">
                <wp:posOffset>-928370</wp:posOffset>
              </wp:positionV>
              <wp:extent cx="74295" cy="306705"/>
              <wp:effectExtent l="0" t="0" r="13970" b="698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En-tteoupieddepage0"/>
                            <w:shd w:val="clear" w:color="auto" w:fill="auto"/>
                            <w:jc w:val="both"/>
                          </w:pPr>
                          <w:r>
                            <w:rPr>
                              <w:rStyle w:val="En-tteoupieddepage23pt"/>
                              <w:rFonts w:eastAsiaTheme="minorHAnsi"/>
                            </w:rPr>
                            <w:t>I</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0" o:spid="_x0000_s1056" type="#_x0000_t202" style="position:absolute;margin-left:469.3pt;margin-top:-73.1pt;width:5.85pt;height:24.15pt;z-index:-251653632;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" filled="f" stroked="f">
              <v:textbox style="mso-fit-shape-to-text:t" inset="0,0,0,0">
                <w:txbxContent>
                  <w:p>
                    <w:pPr>
                      <w:pStyle w:val="En-tteoupieddepage0"/>
                      <w:shd w:val="clear" w:color="auto" w:fill="auto"/>
                      <w:jc w:val="both"/>
                    </w:pPr>
                    <w:r>
                      <w:rPr>
                        <w:rStyle w:val="En-tteoupieddepage23pt"/>
                        <w:rFonts w:eastAsiaTheme="minorHAnsi"/>
                      </w:rPr>
                      <w:t>I</w:t>
                    </w:r>
                  </w:p>
                </w:txbxContent>
              </v:textbox>
              <w10:wrap anchorx="page"/>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sz w:val="2"/>
        <w:szCs w:val="2"/>
      </w:rPr>
    </w:pPr>
    <w:r>
      <w:rPr>
        <w:noProof/>
        <w:lang w:val="en-US"/>
      </w:rPr>
      <mc:AlternateContent>
        <mc:Choice Requires="wps">
          <w:drawing>
            <wp:anchor distT="63500" distB="63500" distL="63500" distR="63500" simplePos="0" relativeHeight="251671040" behindDoc="1" locked="0" layoutInCell="1" allowOverlap="1">
              <wp:simplePos x="0" y="0"/>
              <wp:positionH relativeFrom="page">
                <wp:posOffset>1127125</wp:posOffset>
              </wp:positionH>
              <wp:positionV relativeFrom="paragraph">
                <wp:posOffset>-928370</wp:posOffset>
              </wp:positionV>
              <wp:extent cx="121920" cy="335915"/>
              <wp:effectExtent l="0" t="0" r="11430" b="6985"/>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335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En-tteoupieddepage0"/>
                            <w:shd w:val="clear" w:color="auto" w:fill="auto"/>
                            <w:jc w:val="both"/>
                          </w:pPr>
                          <w:r>
                            <w:rPr>
                              <w:rStyle w:val="En-tteoupieddepage23pt"/>
                              <w:rFonts w:eastAsiaTheme="minorHAnsi"/>
                            </w:rPr>
                            <w:t>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8" o:spid="_x0000_s1059" type="#_x0000_t202" style="position:absolute;margin-left:88.75pt;margin-top:-73.1pt;width:9.6pt;height:26.45pt;z-index:-251645440;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" filled="f" stroked="f">
              <v:textbox style="mso-fit-shape-to-text:t" inset="0,0,0,0">
                <w:txbxContent>
                  <w:p>
                    <w:pPr>
                      <w:pStyle w:val="En-tteoupieddepage0"/>
                      <w:shd w:val="clear" w:color="auto" w:fill="auto"/>
                      <w:jc w:val="both"/>
                    </w:pPr>
                    <w:r>
                      <w:rPr>
                        <w:rStyle w:val="En-tteoupieddepage23pt"/>
                        <w:rFonts w:eastAsiaTheme="minorHAnsi"/>
                      </w:rPr>
                      <w:t>1</w:t>
                    </w:r>
                  </w:p>
                </w:txbxContent>
              </v:textbox>
              <w10:wrap anchorx="page"/>
            </v:shape>
          </w:pict>
        </mc:Fallback>
      </mc:AlternateContent>
    </w:r>
    <w:r>
      <w:rPr>
        <w:noProof/>
        <w:lang w:val="en-US"/>
      </w:rPr>
      <mc:AlternateContent>
        <mc:Choice Requires="wps">
          <w:drawing>
            <wp:anchor distT="63500" distB="63500" distL="63500" distR="63500" simplePos="0" relativeHeight="251672064" behindDoc="1" locked="0" layoutInCell="1" allowOverlap="1">
              <wp:simplePos x="0" y="0"/>
              <wp:positionH relativeFrom="page">
                <wp:posOffset>3575050</wp:posOffset>
              </wp:positionH>
              <wp:positionV relativeFrom="paragraph">
                <wp:posOffset>-928370</wp:posOffset>
              </wp:positionV>
              <wp:extent cx="133985" cy="153035"/>
              <wp:effectExtent l="0" t="0" r="8890" b="18415"/>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En-tteoupieddepage0"/>
                            <w:shd w:val="clear" w:color="auto" w:fill="auto"/>
                            <w:jc w:val="both"/>
                          </w:pPr>
                          <w:r>
                            <w:fldChar w:fldCharType="begin"/>
                          </w:r>
                          <w:r>
                            <w:instrText xml:space="preserve"> PAGE \* MERGEFORMAT </w:instrText>
                          </w:r>
                          <w:r>
                            <w:fldChar w:fldCharType="separate"/>
                          </w:r>
                          <w:r>
                            <w:rPr>
                              <w:rStyle w:val="En-tteoupieddepage105pt"/>
                              <w:rFonts w:eastAsiaTheme="minorHAnsi"/>
                              <w:noProof/>
                            </w:rPr>
                            <w:t>4</w:t>
                          </w:r>
                          <w:r>
                            <w:rPr>
                              <w:rStyle w:val="En-tteoupieddepage105pt"/>
                              <w:rFonts w:eastAsiaTheme="minorHAnsi"/>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9" o:spid="_x0000_s1060" type="#_x0000_t202" style="position:absolute;margin-left:281.5pt;margin-top:-73.1pt;width:10.55pt;height:12.05pt;z-index:-251644416;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" filled="f" stroked="f">
              <v:textbox style="mso-fit-shape-to-text:t" inset="0,0,0,0">
                <w:txbxContent>
                  <w:p>
                    <w:pPr>
                      <w:pStyle w:val="En-tteoupieddepage0"/>
                      <w:shd w:val="clear" w:color="auto" w:fill="auto"/>
                      <w:jc w:val="both"/>
                    </w:pPr>
                    <w:r>
                      <w:fldChar w:fldCharType="begin"/>
                    </w:r>
                    <w:r>
                      <w:instrText xml:space="preserve"> PAGE \* MERGEFORMAT </w:instrText>
                    </w:r>
                    <w:r>
                      <w:fldChar w:fldCharType="separate"/>
                    </w:r>
                    <w:r>
                      <w:rPr>
                        <w:rStyle w:val="En-tteoupieddepage105pt"/>
                        <w:rFonts w:eastAsiaTheme="minorHAnsi"/>
                        <w:noProof/>
                      </w:rPr>
                      <w:t>4</w:t>
                    </w:r>
                    <w:r>
                      <w:rPr>
                        <w:rStyle w:val="En-tteoupieddepage105pt"/>
                        <w:rFonts w:eastAsiaTheme="minorHAnsi"/>
                      </w:rPr>
                      <w:fldChar w:fldCharType="end"/>
                    </w:r>
                  </w:p>
                </w:txbxContent>
              </v:textbox>
              <w10:wrap anchorx="page"/>
            </v:shape>
          </w:pict>
        </mc:Fallback>
      </mc:AlternateContent>
    </w:r>
    <w:r>
      <w:rPr>
        <w:noProof/>
        <w:lang w:val="en-US"/>
      </w:rPr>
      <mc:AlternateContent>
        <mc:Choice Requires="wps">
          <w:drawing>
            <wp:anchor distT="63500" distB="63500" distL="63500" distR="63500" simplePos="0" relativeHeight="251673088" behindDoc="1" locked="0" layoutInCell="1" allowOverlap="1">
              <wp:simplePos x="0" y="0"/>
              <wp:positionH relativeFrom="page">
                <wp:posOffset>5922010</wp:posOffset>
              </wp:positionH>
              <wp:positionV relativeFrom="paragraph">
                <wp:posOffset>-928370</wp:posOffset>
              </wp:positionV>
              <wp:extent cx="100330" cy="335915"/>
              <wp:effectExtent l="0" t="0" r="13970" b="6985"/>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335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En-tteoupieddepage0"/>
                            <w:shd w:val="clear" w:color="auto" w:fill="auto"/>
                            <w:jc w:val="both"/>
                          </w:pPr>
                          <w:r>
                            <w:rPr>
                              <w:rStyle w:val="En-tteoupieddepage23pt"/>
                              <w:rFonts w:eastAsiaTheme="minorHAnsi"/>
                            </w:rPr>
                            <w:t>I</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0" o:spid="_x0000_s1061" type="#_x0000_t202" style="position:absolute;margin-left:466.3pt;margin-top:-73.1pt;width:7.9pt;height:26.45pt;z-index:-251643392;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" filled="f" stroked="f">
              <v:textbox style="mso-fit-shape-to-text:t" inset="0,0,0,0">
                <w:txbxContent>
                  <w:p>
                    <w:pPr>
                      <w:pStyle w:val="En-tteoupieddepage0"/>
                      <w:shd w:val="clear" w:color="auto" w:fill="auto"/>
                      <w:jc w:val="both"/>
                    </w:pPr>
                    <w:r>
                      <w:rPr>
                        <w:rStyle w:val="En-tteoupieddepage23pt"/>
                        <w:rFonts w:eastAsiaTheme="minorHAnsi"/>
                      </w:rPr>
                      <w:t>I</w:t>
                    </w:r>
                  </w:p>
                </w:txbxContent>
              </v:textbox>
              <w10:wrap anchorx="page"/>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pPr>
    <w:r>
      <w:t xml:space="preserve">AM/EU/Annex IV/bg </w:t>
    </w:r>
    <w:sdt>
      <w:sdtPr>
        <w:id w:val="-1933970241"/>
        <w:docPartObj>
          <w:docPartGallery w:val="Page Numbers (Bottom of Page)"/>
          <w:docPartUnique/>
        </w:docPartObj>
      </w:sdtPr>
      <w:sdtContent>
        <w:r>
          <w:fldChar w:fldCharType="begin"/>
        </w:r>
        <w:r>
          <w:instrText xml:space="preserve"> PAGE   \* MERGEFORMAT </w:instrText>
        </w:r>
        <w:r>
          <w:fldChar w:fldCharType="separate"/>
        </w:r>
        <w:r>
          <w:rPr>
            <w:noProof/>
          </w:rPr>
          <w:t>5</w:t>
        </w:r>
        <w:r>
          <w:fldChar w:fldCharType="end"/>
        </w:r>
      </w:sdtContent>
    </w:sdt>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sz w:val="2"/>
        <w:szCs w:val="2"/>
      </w:rPr>
    </w:pPr>
    <w:r>
      <w:rPr>
        <w:noProof/>
        <w:lang w:val="en-US"/>
      </w:rPr>
      <mc:AlternateContent>
        <mc:Choice Requires="wps">
          <w:drawing>
            <wp:anchor distT="63500" distB="63500" distL="63500" distR="63500" simplePos="0" relativeHeight="251668992" behindDoc="1" locked="0" layoutInCell="1" allowOverlap="1">
              <wp:simplePos x="0" y="0"/>
              <wp:positionH relativeFrom="page">
                <wp:posOffset>1165860</wp:posOffset>
              </wp:positionH>
              <wp:positionV relativeFrom="paragraph">
                <wp:posOffset>-928370</wp:posOffset>
              </wp:positionV>
              <wp:extent cx="74295" cy="306705"/>
              <wp:effectExtent l="0" t="0" r="13970" b="6985"/>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En-tteoupieddepage0"/>
                            <w:shd w:val="clear" w:color="auto" w:fill="auto"/>
                            <w:jc w:val="both"/>
                          </w:pPr>
                          <w:r>
                            <w:rPr>
                              <w:rStyle w:val="En-tteoupieddepage23pt"/>
                              <w:rFonts w:eastAsiaTheme="minorHAnsi"/>
                            </w:rPr>
                            <w:t>I</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 o:spid="_x0000_s1062" type="#_x0000_t202" style="position:absolute;margin-left:91.8pt;margin-top:-73.1pt;width:5.85pt;height:24.15pt;z-index:-251647488;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" filled="f" stroked="f">
              <v:textbox style="mso-fit-shape-to-text:t" inset="0,0,0,0">
                <w:txbxContent>
                  <w:p>
                    <w:pPr>
                      <w:pStyle w:val="En-tteoupieddepage0"/>
                      <w:shd w:val="clear" w:color="auto" w:fill="auto"/>
                      <w:jc w:val="both"/>
                    </w:pPr>
                    <w:r>
                      <w:rPr>
                        <w:rStyle w:val="En-tteoupieddepage23pt"/>
                        <w:rFonts w:eastAsiaTheme="minorHAnsi"/>
                      </w:rPr>
                      <w:t>I</w:t>
                    </w:r>
                  </w:p>
                </w:txbxContent>
              </v:textbox>
              <w10:wrap anchorx="page"/>
            </v:shape>
          </w:pict>
        </mc:Fallback>
      </mc:AlternateContent>
    </w:r>
    <w:r>
      <w:rPr>
        <w:noProof/>
        <w:lang w:val="en-US"/>
      </w:rPr>
      <mc:AlternateContent>
        <mc:Choice Requires="wps">
          <w:drawing>
            <wp:anchor distT="63500" distB="63500" distL="63500" distR="63500" simplePos="0" relativeHeight="251670016" behindDoc="1" locked="0" layoutInCell="1" allowOverlap="1">
              <wp:simplePos x="0" y="0"/>
              <wp:positionH relativeFrom="page">
                <wp:posOffset>5960110</wp:posOffset>
              </wp:positionH>
              <wp:positionV relativeFrom="paragraph">
                <wp:posOffset>-928370</wp:posOffset>
              </wp:positionV>
              <wp:extent cx="74295" cy="306705"/>
              <wp:effectExtent l="0" t="0" r="13970" b="6985"/>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En-tteoupieddepage0"/>
                            <w:shd w:val="clear" w:color="auto" w:fill="auto"/>
                            <w:jc w:val="both"/>
                          </w:pPr>
                          <w:r>
                            <w:rPr>
                              <w:rStyle w:val="En-tteoupieddepage23pt"/>
                              <w:rFonts w:eastAsiaTheme="minorHAnsi"/>
                            </w:rPr>
                            <w:t>I</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7" o:spid="_x0000_s1063" type="#_x0000_t202" style="position:absolute;margin-left:469.3pt;margin-top:-73.1pt;width:5.85pt;height:24.15pt;z-index:-251646464;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" filled="f" stroked="f">
              <v:textbox style="mso-fit-shape-to-text:t" inset="0,0,0,0">
                <w:txbxContent>
                  <w:p>
                    <w:pPr>
                      <w:pStyle w:val="En-tteoupieddepage0"/>
                      <w:shd w:val="clear" w:color="auto" w:fill="auto"/>
                      <w:jc w:val="both"/>
                    </w:pPr>
                    <w:r>
                      <w:rPr>
                        <w:rStyle w:val="En-tteoupieddepage23pt"/>
                        <w:rFonts w:eastAsiaTheme="minorHAnsi"/>
                      </w:rPr>
                      <w:t>I</w:t>
                    </w:r>
                  </w:p>
                </w:txbxContent>
              </v:textbox>
              <w10:wrap anchorx="page"/>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sz w:val="2"/>
        <w:szCs w:val="2"/>
      </w:rPr>
    </w:pPr>
    <w:r>
      <w:rPr>
        <w:noProof/>
        <w:lang w:val="en-US"/>
      </w:rPr>
      <mc:AlternateContent>
        <mc:Choice Requires="wps">
          <w:drawing>
            <wp:anchor distT="63500" distB="63500" distL="63500" distR="63500" simplePos="0" relativeHeight="251678208" behindDoc="1" locked="0" layoutInCell="1" allowOverlap="1">
              <wp:simplePos x="0" y="0"/>
              <wp:positionH relativeFrom="page">
                <wp:posOffset>1127125</wp:posOffset>
              </wp:positionH>
              <wp:positionV relativeFrom="paragraph">
                <wp:posOffset>-928370</wp:posOffset>
              </wp:positionV>
              <wp:extent cx="121920" cy="335915"/>
              <wp:effectExtent l="0" t="0" r="11430" b="6985"/>
              <wp:wrapNone/>
              <wp:docPr id="67"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335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En-tteoupieddepage0"/>
                            <w:shd w:val="clear" w:color="auto" w:fill="auto"/>
                            <w:jc w:val="both"/>
                          </w:pPr>
                          <w:r>
                            <w:rPr>
                              <w:rStyle w:val="En-tteoupieddepage23pt"/>
                              <w:rFonts w:eastAsiaTheme="minorHAnsi"/>
                            </w:rPr>
                            <w:t>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7" o:spid="_x0000_s1066" type="#_x0000_t202" style="position:absolute;margin-left:88.75pt;margin-top:-73.1pt;width:9.6pt;height:26.45pt;z-index:-251638272;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" filled="f" stroked="f">
              <v:textbox style="mso-fit-shape-to-text:t" inset="0,0,0,0">
                <w:txbxContent>
                  <w:p>
                    <w:pPr>
                      <w:pStyle w:val="En-tteoupieddepage0"/>
                      <w:shd w:val="clear" w:color="auto" w:fill="auto"/>
                      <w:jc w:val="both"/>
                    </w:pPr>
                    <w:r>
                      <w:rPr>
                        <w:rStyle w:val="En-tteoupieddepage23pt"/>
                        <w:rFonts w:eastAsiaTheme="minorHAnsi"/>
                      </w:rPr>
                      <w:t>1</w:t>
                    </w:r>
                  </w:p>
                </w:txbxContent>
              </v:textbox>
              <w10:wrap anchorx="page"/>
            </v:shape>
          </w:pict>
        </mc:Fallback>
      </mc:AlternateContent>
    </w:r>
    <w:r>
      <w:rPr>
        <w:noProof/>
        <w:lang w:val="en-US"/>
      </w:rPr>
      <mc:AlternateContent>
        <mc:Choice Requires="wps">
          <w:drawing>
            <wp:anchor distT="63500" distB="63500" distL="63500" distR="63500" simplePos="0" relativeHeight="251679232" behindDoc="1" locked="0" layoutInCell="1" allowOverlap="1">
              <wp:simplePos x="0" y="0"/>
              <wp:positionH relativeFrom="page">
                <wp:posOffset>3575050</wp:posOffset>
              </wp:positionH>
              <wp:positionV relativeFrom="paragraph">
                <wp:posOffset>-928370</wp:posOffset>
              </wp:positionV>
              <wp:extent cx="133985" cy="153035"/>
              <wp:effectExtent l="0" t="0" r="8890" b="18415"/>
              <wp:wrapNone/>
              <wp:docPr id="68"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En-tteoupieddepage0"/>
                            <w:shd w:val="clear" w:color="auto" w:fill="auto"/>
                            <w:jc w:val="both"/>
                          </w:pPr>
                          <w:r>
                            <w:fldChar w:fldCharType="begin"/>
                          </w:r>
                          <w:r>
                            <w:instrText xml:space="preserve"> PAGE \* MERGEFORMAT </w:instrText>
                          </w:r>
                          <w:r>
                            <w:fldChar w:fldCharType="separate"/>
                          </w:r>
                          <w:r>
                            <w:rPr>
                              <w:rStyle w:val="En-tteoupieddepage105pt"/>
                              <w:rFonts w:eastAsiaTheme="minorHAnsi"/>
                              <w:noProof/>
                            </w:rPr>
                            <w:t>4</w:t>
                          </w:r>
                          <w:r>
                            <w:rPr>
                              <w:rStyle w:val="En-tteoupieddepage105pt"/>
                              <w:rFonts w:eastAsiaTheme="minorHAnsi"/>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8" o:spid="_x0000_s1067" type="#_x0000_t202" style="position:absolute;margin-left:281.5pt;margin-top:-73.1pt;width:10.55pt;height:12.05pt;z-index:-251637248;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" filled="f" stroked="f">
              <v:textbox style="mso-fit-shape-to-text:t" inset="0,0,0,0">
                <w:txbxContent>
                  <w:p>
                    <w:pPr>
                      <w:pStyle w:val="En-tteoupieddepage0"/>
                      <w:shd w:val="clear" w:color="auto" w:fill="auto"/>
                      <w:jc w:val="both"/>
                    </w:pPr>
                    <w:r>
                      <w:fldChar w:fldCharType="begin"/>
                    </w:r>
                    <w:r>
                      <w:instrText xml:space="preserve"> PAGE \* MERGEFORMAT </w:instrText>
                    </w:r>
                    <w:r>
                      <w:fldChar w:fldCharType="separate"/>
                    </w:r>
                    <w:r>
                      <w:rPr>
                        <w:rStyle w:val="En-tteoupieddepage105pt"/>
                        <w:rFonts w:eastAsiaTheme="minorHAnsi"/>
                        <w:noProof/>
                      </w:rPr>
                      <w:t>4</w:t>
                    </w:r>
                    <w:r>
                      <w:rPr>
                        <w:rStyle w:val="En-tteoupieddepage105pt"/>
                        <w:rFonts w:eastAsiaTheme="minorHAnsi"/>
                      </w:rPr>
                      <w:fldChar w:fldCharType="end"/>
                    </w:r>
                  </w:p>
                </w:txbxContent>
              </v:textbox>
              <w10:wrap anchorx="page"/>
            </v:shape>
          </w:pict>
        </mc:Fallback>
      </mc:AlternateContent>
    </w:r>
    <w:r>
      <w:rPr>
        <w:noProof/>
        <w:lang w:val="en-US"/>
      </w:rPr>
      <mc:AlternateContent>
        <mc:Choice Requires="wps">
          <w:drawing>
            <wp:anchor distT="63500" distB="63500" distL="63500" distR="63500" simplePos="0" relativeHeight="251680256" behindDoc="1" locked="0" layoutInCell="1" allowOverlap="1">
              <wp:simplePos x="0" y="0"/>
              <wp:positionH relativeFrom="page">
                <wp:posOffset>5922010</wp:posOffset>
              </wp:positionH>
              <wp:positionV relativeFrom="paragraph">
                <wp:posOffset>-928370</wp:posOffset>
              </wp:positionV>
              <wp:extent cx="100330" cy="335915"/>
              <wp:effectExtent l="0" t="0" r="13970" b="6985"/>
              <wp:wrapNone/>
              <wp:docPr id="69"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335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En-tteoupieddepage0"/>
                            <w:shd w:val="clear" w:color="auto" w:fill="auto"/>
                            <w:jc w:val="both"/>
                          </w:pPr>
                          <w:r>
                            <w:rPr>
                              <w:rStyle w:val="En-tteoupieddepage23pt"/>
                              <w:rFonts w:eastAsiaTheme="minorHAnsi"/>
                            </w:rPr>
                            <w:t>I</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9" o:spid="_x0000_s1068" type="#_x0000_t202" style="position:absolute;margin-left:466.3pt;margin-top:-73.1pt;width:7.9pt;height:26.45pt;z-index:-251636224;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" filled="f" stroked="f">
              <v:textbox style="mso-fit-shape-to-text:t" inset="0,0,0,0">
                <w:txbxContent>
                  <w:p>
                    <w:pPr>
                      <w:pStyle w:val="En-tteoupieddepage0"/>
                      <w:shd w:val="clear" w:color="auto" w:fill="auto"/>
                      <w:jc w:val="both"/>
                    </w:pPr>
                    <w:r>
                      <w:rPr>
                        <w:rStyle w:val="En-tteoupieddepage23pt"/>
                        <w:rFonts w:eastAsiaTheme="minorHAnsi"/>
                      </w:rPr>
                      <w:t>I</w:t>
                    </w:r>
                  </w:p>
                </w:txbxContent>
              </v:textbox>
              <w10:wrap anchorx="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pPr>
    <w:r>
      <w:t xml:space="preserve">AM/EU/Annex V/bg </w:t>
    </w:r>
    <w:sdt>
      <w:sdtPr>
        <w:id w:val="939717745"/>
        <w:docPartObj>
          <w:docPartGallery w:val="Page Numbers (Bottom of Page)"/>
          <w:docPartUnique/>
        </w:docPartObj>
      </w:sdtPr>
      <w:sdtContent>
        <w:r>
          <w:fldChar w:fldCharType="begin"/>
        </w:r>
        <w:r>
          <w:instrText xml:space="preserve"> PAGE   \* MERGEFORMAT </w:instrText>
        </w:r>
        <w:r>
          <w:fldChar w:fldCharType="separate"/>
        </w:r>
        <w:r>
          <w:rPr>
            <w:noProof/>
          </w:rPr>
          <w:t>7</w:t>
        </w:r>
        <w:r>
          <w:fldChar w:fldCharType="end"/>
        </w:r>
      </w:sdtContent>
    </w:sdt>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sz w:val="2"/>
        <w:szCs w:val="2"/>
      </w:rPr>
    </w:pPr>
    <w:r>
      <w:rPr>
        <w:noProof/>
        <w:lang w:val="en-US"/>
      </w:rPr>
      <mc:AlternateContent>
        <mc:Choice Requires="wps">
          <w:drawing>
            <wp:anchor distT="63500" distB="63500" distL="63500" distR="63500" simplePos="0" relativeHeight="251676160" behindDoc="1" locked="0" layoutInCell="1" allowOverlap="1">
              <wp:simplePos x="0" y="0"/>
              <wp:positionH relativeFrom="page">
                <wp:posOffset>1165860</wp:posOffset>
              </wp:positionH>
              <wp:positionV relativeFrom="paragraph">
                <wp:posOffset>-928370</wp:posOffset>
              </wp:positionV>
              <wp:extent cx="74295" cy="306705"/>
              <wp:effectExtent l="0" t="0" r="13970" b="6985"/>
              <wp:wrapNone/>
              <wp:docPr id="65"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En-tteoupieddepage0"/>
                            <w:shd w:val="clear" w:color="auto" w:fill="auto"/>
                            <w:jc w:val="both"/>
                          </w:pPr>
                          <w:r>
                            <w:rPr>
                              <w:rStyle w:val="En-tteoupieddepage23pt"/>
                              <w:rFonts w:eastAsiaTheme="minorHAnsi"/>
                            </w:rPr>
                            <w:t>I</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5" o:spid="_x0000_s1069" type="#_x0000_t202" style="position:absolute;margin-left:91.8pt;margin-top:-73.1pt;width:5.85pt;height:24.15pt;z-index:-251640320;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" filled="f" stroked="f">
              <v:textbox style="mso-fit-shape-to-text:t" inset="0,0,0,0">
                <w:txbxContent>
                  <w:p>
                    <w:pPr>
                      <w:pStyle w:val="En-tteoupieddepage0"/>
                      <w:shd w:val="clear" w:color="auto" w:fill="auto"/>
                      <w:jc w:val="both"/>
                    </w:pPr>
                    <w:r>
                      <w:rPr>
                        <w:rStyle w:val="En-tteoupieddepage23pt"/>
                        <w:rFonts w:eastAsiaTheme="minorHAnsi"/>
                      </w:rPr>
                      <w:t>I</w:t>
                    </w:r>
                  </w:p>
                </w:txbxContent>
              </v:textbox>
              <w10:wrap anchorx="page"/>
            </v:shape>
          </w:pict>
        </mc:Fallback>
      </mc:AlternateContent>
    </w:r>
    <w:r>
      <w:rPr>
        <w:noProof/>
        <w:lang w:val="en-US"/>
      </w:rPr>
      <mc:AlternateContent>
        <mc:Choice Requires="wps">
          <w:drawing>
            <wp:anchor distT="63500" distB="63500" distL="63500" distR="63500" simplePos="0" relativeHeight="251677184" behindDoc="1" locked="0" layoutInCell="1" allowOverlap="1">
              <wp:simplePos x="0" y="0"/>
              <wp:positionH relativeFrom="page">
                <wp:posOffset>5960110</wp:posOffset>
              </wp:positionH>
              <wp:positionV relativeFrom="paragraph">
                <wp:posOffset>-928370</wp:posOffset>
              </wp:positionV>
              <wp:extent cx="74295" cy="306705"/>
              <wp:effectExtent l="0" t="0" r="13970" b="6985"/>
              <wp:wrapNone/>
              <wp:docPr id="6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En-tteoupieddepage0"/>
                            <w:shd w:val="clear" w:color="auto" w:fill="auto"/>
                            <w:jc w:val="both"/>
                          </w:pPr>
                          <w:r>
                            <w:rPr>
                              <w:rStyle w:val="En-tteoupieddepage23pt"/>
                              <w:rFonts w:eastAsiaTheme="minorHAnsi"/>
                            </w:rPr>
                            <w:t>I</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6" o:spid="_x0000_s1070" type="#_x0000_t202" style="position:absolute;margin-left:469.3pt;margin-top:-73.1pt;width:5.85pt;height:24.15pt;z-index:-251639296;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" filled="f" stroked="f">
              <v:textbox style="mso-fit-shape-to-text:t" inset="0,0,0,0">
                <w:txbxContent>
                  <w:p>
                    <w:pPr>
                      <w:pStyle w:val="En-tteoupieddepage0"/>
                      <w:shd w:val="clear" w:color="auto" w:fill="auto"/>
                      <w:jc w:val="both"/>
                    </w:pPr>
                    <w:r>
                      <w:rPr>
                        <w:rStyle w:val="En-tteoupieddepage23pt"/>
                        <w:rFonts w:eastAsiaTheme="minorHAnsi"/>
                      </w:rPr>
                      <w:t>I</w:t>
                    </w:r>
                  </w:p>
                </w:txbxContent>
              </v:textbox>
              <w10:wrap anchorx="page"/>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sz w:val="2"/>
        <w:szCs w:val="2"/>
      </w:rPr>
    </w:pPr>
    <w:r>
      <w:rPr>
        <w:noProof/>
        <w:lang w:val="en-US"/>
      </w:rPr>
      <mc:AlternateContent>
        <mc:Choice Requires="wps">
          <w:drawing>
            <wp:anchor distT="63500" distB="63500" distL="63500" distR="63500" simplePos="0" relativeHeight="251685376" behindDoc="1" locked="0" layoutInCell="1" allowOverlap="1">
              <wp:simplePos x="0" y="0"/>
              <wp:positionH relativeFrom="page">
                <wp:posOffset>1127125</wp:posOffset>
              </wp:positionH>
              <wp:positionV relativeFrom="paragraph">
                <wp:posOffset>-928370</wp:posOffset>
              </wp:positionV>
              <wp:extent cx="121920" cy="335915"/>
              <wp:effectExtent l="0" t="0" r="11430" b="6985"/>
              <wp:wrapNone/>
              <wp:docPr id="77"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335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En-tteoupieddepage0"/>
                            <w:shd w:val="clear" w:color="auto" w:fill="auto"/>
                            <w:jc w:val="both"/>
                          </w:pPr>
                          <w:r>
                            <w:rPr>
                              <w:rStyle w:val="En-tteoupieddepage23pt"/>
                              <w:rFonts w:eastAsiaTheme="minorHAnsi"/>
                            </w:rPr>
                            <w:t>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7" o:spid="_x0000_s1073" type="#_x0000_t202" style="position:absolute;margin-left:88.75pt;margin-top:-73.1pt;width:9.6pt;height:26.45pt;z-index:-251631104;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" filled="f" stroked="f">
              <v:textbox style="mso-fit-shape-to-text:t" inset="0,0,0,0">
                <w:txbxContent>
                  <w:p>
                    <w:pPr>
                      <w:pStyle w:val="En-tteoupieddepage0"/>
                      <w:shd w:val="clear" w:color="auto" w:fill="auto"/>
                      <w:jc w:val="both"/>
                    </w:pPr>
                    <w:r>
                      <w:rPr>
                        <w:rStyle w:val="En-tteoupieddepage23pt"/>
                        <w:rFonts w:eastAsiaTheme="minorHAnsi"/>
                      </w:rPr>
                      <w:t>1</w:t>
                    </w:r>
                  </w:p>
                </w:txbxContent>
              </v:textbox>
              <w10:wrap anchorx="page"/>
            </v:shape>
          </w:pict>
        </mc:Fallback>
      </mc:AlternateContent>
    </w:r>
    <w:r>
      <w:rPr>
        <w:noProof/>
        <w:lang w:val="en-US"/>
      </w:rPr>
      <mc:AlternateContent>
        <mc:Choice Requires="wps">
          <w:drawing>
            <wp:anchor distT="63500" distB="63500" distL="63500" distR="63500" simplePos="0" relativeHeight="251686400" behindDoc="1" locked="0" layoutInCell="1" allowOverlap="1">
              <wp:simplePos x="0" y="0"/>
              <wp:positionH relativeFrom="page">
                <wp:posOffset>3575050</wp:posOffset>
              </wp:positionH>
              <wp:positionV relativeFrom="paragraph">
                <wp:posOffset>-928370</wp:posOffset>
              </wp:positionV>
              <wp:extent cx="133985" cy="153035"/>
              <wp:effectExtent l="0" t="0" r="8890" b="18415"/>
              <wp:wrapNone/>
              <wp:docPr id="7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En-tteoupieddepage0"/>
                            <w:shd w:val="clear" w:color="auto" w:fill="auto"/>
                            <w:jc w:val="both"/>
                          </w:pPr>
                          <w:r>
                            <w:fldChar w:fldCharType="begin"/>
                          </w:r>
                          <w:r>
                            <w:instrText xml:space="preserve"> PAGE \* MERGEFORMAT </w:instrText>
                          </w:r>
                          <w:r>
                            <w:fldChar w:fldCharType="separate"/>
                          </w:r>
                          <w:r>
                            <w:rPr>
                              <w:rStyle w:val="En-tteoupieddepage105pt"/>
                              <w:rFonts w:eastAsiaTheme="minorHAnsi"/>
                              <w:noProof/>
                            </w:rPr>
                            <w:t>4</w:t>
                          </w:r>
                          <w:r>
                            <w:rPr>
                              <w:rStyle w:val="En-tteoupieddepage105pt"/>
                              <w:rFonts w:eastAsiaTheme="minorHAnsi"/>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8" o:spid="_x0000_s1074" type="#_x0000_t202" style="position:absolute;margin-left:281.5pt;margin-top:-73.1pt;width:10.55pt;height:12.05pt;z-index:-251630080;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" filled="f" stroked="f">
              <v:textbox style="mso-fit-shape-to-text:t" inset="0,0,0,0">
                <w:txbxContent>
                  <w:p>
                    <w:pPr>
                      <w:pStyle w:val="En-tteoupieddepage0"/>
                      <w:shd w:val="clear" w:color="auto" w:fill="auto"/>
                      <w:jc w:val="both"/>
                    </w:pPr>
                    <w:r>
                      <w:fldChar w:fldCharType="begin"/>
                    </w:r>
                    <w:r>
                      <w:instrText xml:space="preserve"> PAGE \* MERGEFORMAT </w:instrText>
                    </w:r>
                    <w:r>
                      <w:fldChar w:fldCharType="separate"/>
                    </w:r>
                    <w:r>
                      <w:rPr>
                        <w:rStyle w:val="En-tteoupieddepage105pt"/>
                        <w:rFonts w:eastAsiaTheme="minorHAnsi"/>
                        <w:noProof/>
                      </w:rPr>
                      <w:t>4</w:t>
                    </w:r>
                    <w:r>
                      <w:rPr>
                        <w:rStyle w:val="En-tteoupieddepage105pt"/>
                        <w:rFonts w:eastAsiaTheme="minorHAnsi"/>
                      </w:rPr>
                      <w:fldChar w:fldCharType="end"/>
                    </w:r>
                  </w:p>
                </w:txbxContent>
              </v:textbox>
              <w10:wrap anchorx="page"/>
            </v:shape>
          </w:pict>
        </mc:Fallback>
      </mc:AlternateContent>
    </w:r>
    <w:r>
      <w:rPr>
        <w:noProof/>
        <w:lang w:val="en-US"/>
      </w:rPr>
      <mc:AlternateContent>
        <mc:Choice Requires="wps">
          <w:drawing>
            <wp:anchor distT="63500" distB="63500" distL="63500" distR="63500" simplePos="0" relativeHeight="251687424" behindDoc="1" locked="0" layoutInCell="1" allowOverlap="1">
              <wp:simplePos x="0" y="0"/>
              <wp:positionH relativeFrom="page">
                <wp:posOffset>5922010</wp:posOffset>
              </wp:positionH>
              <wp:positionV relativeFrom="paragraph">
                <wp:posOffset>-928370</wp:posOffset>
              </wp:positionV>
              <wp:extent cx="100330" cy="335915"/>
              <wp:effectExtent l="0" t="0" r="13970" b="6985"/>
              <wp:wrapNone/>
              <wp:docPr id="79"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335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En-tteoupieddepage0"/>
                            <w:shd w:val="clear" w:color="auto" w:fill="auto"/>
                            <w:jc w:val="both"/>
                          </w:pPr>
                          <w:r>
                            <w:rPr>
                              <w:rStyle w:val="En-tteoupieddepage23pt"/>
                              <w:rFonts w:eastAsiaTheme="minorHAnsi"/>
                            </w:rPr>
                            <w:t>I</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9" o:spid="_x0000_s1075" type="#_x0000_t202" style="position:absolute;margin-left:466.3pt;margin-top:-73.1pt;width:7.9pt;height:26.45pt;z-index:-251629056;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" filled="f" stroked="f">
              <v:textbox style="mso-fit-shape-to-text:t" inset="0,0,0,0">
                <w:txbxContent>
                  <w:p>
                    <w:pPr>
                      <w:pStyle w:val="En-tteoupieddepage0"/>
                      <w:shd w:val="clear" w:color="auto" w:fill="auto"/>
                      <w:jc w:val="both"/>
                    </w:pPr>
                    <w:r>
                      <w:rPr>
                        <w:rStyle w:val="En-tteoupieddepage23pt"/>
                        <w:rFonts w:eastAsiaTheme="minorHAnsi"/>
                      </w:rPr>
                      <w:t>I</w:t>
                    </w:r>
                  </w:p>
                </w:txbxContent>
              </v:textbox>
              <w10:wrap anchorx="page"/>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pPr>
    <w:r>
      <w:t xml:space="preserve">AM/EU/Annex VI/bg </w:t>
    </w:r>
    <w:sdt>
      <w:sdtPr>
        <w:id w:val="-1394356067"/>
        <w:docPartObj>
          <w:docPartGallery w:val="Page Numbers (Bottom of Page)"/>
          <w:docPartUnique/>
        </w:docPartObj>
      </w:sdtPr>
      <w:sdtContent>
        <w:r>
          <w:fldChar w:fldCharType="begin"/>
        </w:r>
        <w:r>
          <w:instrText xml:space="preserve"> PAGE   \* MERGEFORMAT </w:instrText>
        </w:r>
        <w:r>
          <w:fldChar w:fldCharType="separate"/>
        </w:r>
        <w:r>
          <w:rPr>
            <w:noProof/>
          </w:rPr>
          <w:t>5</w:t>
        </w:r>
        <w:r>
          <w:fldChar w:fldCharType="end"/>
        </w:r>
      </w:sdtContent>
    </w:sdt>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sz w:val="2"/>
        <w:szCs w:val="2"/>
      </w:rPr>
    </w:pPr>
    <w:r>
      <w:rPr>
        <w:noProof/>
        <w:lang w:val="en-US"/>
      </w:rPr>
      <mc:AlternateContent>
        <mc:Choice Requires="wps">
          <w:drawing>
            <wp:anchor distT="63500" distB="63500" distL="63500" distR="63500" simplePos="0" relativeHeight="251683328" behindDoc="1" locked="0" layoutInCell="1" allowOverlap="1">
              <wp:simplePos x="0" y="0"/>
              <wp:positionH relativeFrom="page">
                <wp:posOffset>1165860</wp:posOffset>
              </wp:positionH>
              <wp:positionV relativeFrom="paragraph">
                <wp:posOffset>-928370</wp:posOffset>
              </wp:positionV>
              <wp:extent cx="74295" cy="306705"/>
              <wp:effectExtent l="0" t="0" r="13970" b="6985"/>
              <wp:wrapNone/>
              <wp:docPr id="72"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En-tteoupieddepage0"/>
                            <w:shd w:val="clear" w:color="auto" w:fill="auto"/>
                            <w:jc w:val="both"/>
                          </w:pPr>
                          <w:r>
                            <w:rPr>
                              <w:rStyle w:val="En-tteoupieddepage23pt"/>
                              <w:rFonts w:eastAsiaTheme="minorHAnsi"/>
                            </w:rPr>
                            <w:t>I</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2" o:spid="_x0000_s1076" type="#_x0000_t202" style="position:absolute;margin-left:91.8pt;margin-top:-73.1pt;width:5.85pt;height:24.15pt;z-index:-251633152;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" filled="f" stroked="f">
              <v:textbox style="mso-fit-shape-to-text:t" inset="0,0,0,0">
                <w:txbxContent>
                  <w:p>
                    <w:pPr>
                      <w:pStyle w:val="En-tteoupieddepage0"/>
                      <w:shd w:val="clear" w:color="auto" w:fill="auto"/>
                      <w:jc w:val="both"/>
                    </w:pPr>
                    <w:r>
                      <w:rPr>
                        <w:rStyle w:val="En-tteoupieddepage23pt"/>
                        <w:rFonts w:eastAsiaTheme="minorHAnsi"/>
                      </w:rPr>
                      <w:t>I</w:t>
                    </w:r>
                  </w:p>
                </w:txbxContent>
              </v:textbox>
              <w10:wrap anchorx="page"/>
            </v:shape>
          </w:pict>
        </mc:Fallback>
      </mc:AlternateContent>
    </w:r>
    <w:r>
      <w:rPr>
        <w:noProof/>
        <w:lang w:val="en-US"/>
      </w:rPr>
      <mc:AlternateContent>
        <mc:Choice Requires="wps">
          <w:drawing>
            <wp:anchor distT="63500" distB="63500" distL="63500" distR="63500" simplePos="0" relativeHeight="251684352" behindDoc="1" locked="0" layoutInCell="1" allowOverlap="1">
              <wp:simplePos x="0" y="0"/>
              <wp:positionH relativeFrom="page">
                <wp:posOffset>5960110</wp:posOffset>
              </wp:positionH>
              <wp:positionV relativeFrom="paragraph">
                <wp:posOffset>-928370</wp:posOffset>
              </wp:positionV>
              <wp:extent cx="74295" cy="306705"/>
              <wp:effectExtent l="0" t="0" r="13970" b="6985"/>
              <wp:wrapNone/>
              <wp:docPr id="73"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En-tteoupieddepage0"/>
                            <w:shd w:val="clear" w:color="auto" w:fill="auto"/>
                            <w:jc w:val="both"/>
                          </w:pPr>
                          <w:r>
                            <w:rPr>
                              <w:rStyle w:val="En-tteoupieddepage23pt"/>
                              <w:rFonts w:eastAsiaTheme="minorHAnsi"/>
                            </w:rPr>
                            <w:t>I</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3" o:spid="_x0000_s1077" type="#_x0000_t202" style="position:absolute;margin-left:469.3pt;margin-top:-73.1pt;width:5.85pt;height:24.15pt;z-index:-251632128;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" filled="f" stroked="f">
              <v:textbox style="mso-fit-shape-to-text:t" inset="0,0,0,0">
                <w:txbxContent>
                  <w:p>
                    <w:pPr>
                      <w:pStyle w:val="En-tteoupieddepage0"/>
                      <w:shd w:val="clear" w:color="auto" w:fill="auto"/>
                      <w:jc w:val="both"/>
                    </w:pPr>
                    <w:r>
                      <w:rPr>
                        <w:rStyle w:val="En-tteoupieddepage23pt"/>
                        <w:rFonts w:eastAsiaTheme="minorHAnsi"/>
                      </w:rPr>
                      <w:t>I</w:t>
                    </w:r>
                  </w:p>
                </w:txbxContent>
              </v:textbox>
              <w10:wrap anchorx="page"/>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sz w:val="2"/>
        <w:szCs w:val="2"/>
      </w:rPr>
    </w:pPr>
    <w:r>
      <w:rPr>
        <w:noProof/>
        <w:lang w:val="en-US"/>
      </w:rPr>
      <mc:AlternateContent>
        <mc:Choice Requires="wps">
          <w:drawing>
            <wp:anchor distT="63500" distB="63500" distL="63500" distR="63500" simplePos="0" relativeHeight="251645440" behindDoc="1" locked="0" layoutInCell="1" allowOverlap="1">
              <wp:simplePos x="0" y="0"/>
              <wp:positionH relativeFrom="page">
                <wp:posOffset>1127125</wp:posOffset>
              </wp:positionH>
              <wp:positionV relativeFrom="paragraph">
                <wp:posOffset>-928370</wp:posOffset>
              </wp:positionV>
              <wp:extent cx="121920" cy="335915"/>
              <wp:effectExtent l="0" t="0" r="11430" b="6985"/>
              <wp:wrapNone/>
              <wp:docPr id="94"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335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En-tteoupieddepage0"/>
                            <w:shd w:val="clear" w:color="auto" w:fill="auto"/>
                            <w:jc w:val="both"/>
                          </w:pPr>
                          <w:r>
                            <w:rPr>
                              <w:rStyle w:val="En-tteoupieddepage23pt"/>
                              <w:rFonts w:eastAsiaTheme="minorHAnsi"/>
                            </w:rPr>
                            <w:t>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4" o:spid="_x0000_s1080" type="#_x0000_t202" style="position:absolute;margin-left:88.75pt;margin-top:-73.1pt;width:9.6pt;height:26.45pt;z-index:-251671040;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" filled="f" stroked="f">
              <v:textbox style="mso-fit-shape-to-text:t" inset="0,0,0,0">
                <w:txbxContent>
                  <w:p>
                    <w:pPr>
                      <w:pStyle w:val="En-tteoupieddepage0"/>
                      <w:shd w:val="clear" w:color="auto" w:fill="auto"/>
                      <w:jc w:val="both"/>
                    </w:pPr>
                    <w:r>
                      <w:rPr>
                        <w:rStyle w:val="En-tteoupieddepage23pt"/>
                        <w:rFonts w:eastAsiaTheme="minorHAnsi"/>
                      </w:rPr>
                      <w:t>1</w:t>
                    </w:r>
                  </w:p>
                </w:txbxContent>
              </v:textbox>
              <w10:wrap anchorx="page"/>
            </v:shape>
          </w:pict>
        </mc:Fallback>
      </mc:AlternateContent>
    </w:r>
    <w:r>
      <w:rPr>
        <w:noProof/>
        <w:lang w:val="en-US"/>
      </w:rPr>
      <mc:AlternateContent>
        <mc:Choice Requires="wps">
          <w:drawing>
            <wp:anchor distT="63500" distB="63500" distL="63500" distR="63500" simplePos="0" relativeHeight="251647488" behindDoc="1" locked="0" layoutInCell="1" allowOverlap="1">
              <wp:simplePos x="0" y="0"/>
              <wp:positionH relativeFrom="page">
                <wp:posOffset>3575050</wp:posOffset>
              </wp:positionH>
              <wp:positionV relativeFrom="paragraph">
                <wp:posOffset>-928370</wp:posOffset>
              </wp:positionV>
              <wp:extent cx="133985" cy="153035"/>
              <wp:effectExtent l="0" t="0" r="8890" b="18415"/>
              <wp:wrapNone/>
              <wp:docPr id="95"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En-tteoupieddepage0"/>
                            <w:shd w:val="clear" w:color="auto" w:fill="auto"/>
                            <w:jc w:val="both"/>
                          </w:pPr>
                          <w:r>
                            <w:fldChar w:fldCharType="begin"/>
                          </w:r>
                          <w:r>
                            <w:instrText xml:space="preserve"> PAGE \* MERGEFORMAT </w:instrText>
                          </w:r>
                          <w:r>
                            <w:fldChar w:fldCharType="separate"/>
                          </w:r>
                          <w:r>
                            <w:rPr>
                              <w:rStyle w:val="En-tteoupieddepage105pt"/>
                              <w:rFonts w:eastAsiaTheme="minorHAnsi"/>
                              <w:noProof/>
                            </w:rPr>
                            <w:t>4</w:t>
                          </w:r>
                          <w:r>
                            <w:rPr>
                              <w:rStyle w:val="En-tteoupieddepage105pt"/>
                              <w:rFonts w:eastAsiaTheme="minorHAnsi"/>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5" o:spid="_x0000_s1081" type="#_x0000_t202" style="position:absolute;margin-left:281.5pt;margin-top:-73.1pt;width:10.55pt;height:12.05pt;z-index:-251668992;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" filled="f" stroked="f">
              <v:textbox style="mso-fit-shape-to-text:t" inset="0,0,0,0">
                <w:txbxContent>
                  <w:p>
                    <w:pPr>
                      <w:pStyle w:val="En-tteoupieddepage0"/>
                      <w:shd w:val="clear" w:color="auto" w:fill="auto"/>
                      <w:jc w:val="both"/>
                    </w:pPr>
                    <w:r>
                      <w:fldChar w:fldCharType="begin"/>
                    </w:r>
                    <w:r>
                      <w:instrText xml:space="preserve"> PAGE \* MERGEFORMAT </w:instrText>
                    </w:r>
                    <w:r>
                      <w:fldChar w:fldCharType="separate"/>
                    </w:r>
                    <w:r>
                      <w:rPr>
                        <w:rStyle w:val="En-tteoupieddepage105pt"/>
                        <w:rFonts w:eastAsiaTheme="minorHAnsi"/>
                        <w:noProof/>
                      </w:rPr>
                      <w:t>4</w:t>
                    </w:r>
                    <w:r>
                      <w:rPr>
                        <w:rStyle w:val="En-tteoupieddepage105pt"/>
                        <w:rFonts w:eastAsiaTheme="minorHAnsi"/>
                      </w:rPr>
                      <w:fldChar w:fldCharType="end"/>
                    </w:r>
                  </w:p>
                </w:txbxContent>
              </v:textbox>
              <w10:wrap anchorx="page"/>
            </v:shape>
          </w:pict>
        </mc:Fallback>
      </mc:AlternateContent>
    </w:r>
    <w:r>
      <w:rPr>
        <w:noProof/>
        <w:lang w:val="en-US"/>
      </w:rPr>
      <mc:AlternateContent>
        <mc:Choice Requires="wps">
          <w:drawing>
            <wp:anchor distT="63500" distB="63500" distL="63500" distR="63500" simplePos="0" relativeHeight="251649536" behindDoc="1" locked="0" layoutInCell="1" allowOverlap="1">
              <wp:simplePos x="0" y="0"/>
              <wp:positionH relativeFrom="page">
                <wp:posOffset>5922010</wp:posOffset>
              </wp:positionH>
              <wp:positionV relativeFrom="paragraph">
                <wp:posOffset>-928370</wp:posOffset>
              </wp:positionV>
              <wp:extent cx="100330" cy="335915"/>
              <wp:effectExtent l="0" t="0" r="13970" b="6985"/>
              <wp:wrapNone/>
              <wp:docPr id="96"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335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En-tteoupieddepage0"/>
                            <w:shd w:val="clear" w:color="auto" w:fill="auto"/>
                            <w:jc w:val="both"/>
                          </w:pPr>
                          <w:r>
                            <w:rPr>
                              <w:rStyle w:val="En-tteoupieddepage23pt"/>
                              <w:rFonts w:eastAsiaTheme="minorHAnsi"/>
                            </w:rPr>
                            <w:t>I</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6" o:spid="_x0000_s1082" type="#_x0000_t202" style="position:absolute;margin-left:466.3pt;margin-top:-73.1pt;width:7.9pt;height:26.45pt;z-index:-251666944;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" filled="f" stroked="f">
              <v:textbox style="mso-fit-shape-to-text:t" inset="0,0,0,0">
                <w:txbxContent>
                  <w:p>
                    <w:pPr>
                      <w:pStyle w:val="En-tteoupieddepage0"/>
                      <w:shd w:val="clear" w:color="auto" w:fill="auto"/>
                      <w:jc w:val="both"/>
                    </w:pPr>
                    <w:r>
                      <w:rPr>
                        <w:rStyle w:val="En-tteoupieddepage23pt"/>
                        <w:rFonts w:eastAsiaTheme="minorHAnsi"/>
                      </w:rPr>
                      <w:t>I</w:t>
                    </w:r>
                  </w:p>
                </w:txbxContent>
              </v:textbox>
              <w10:wrap anchorx="page"/>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pPr>
    <w:r>
      <w:t xml:space="preserve">AM/EU/Annex VII/bg </w:t>
    </w:r>
    <w:sdt>
      <w:sdtPr>
        <w:id w:val="-1228987121"/>
        <w:docPartObj>
          <w:docPartGallery w:val="Page Numbers (Bottom of Page)"/>
          <w:docPartUnique/>
        </w:docPartObj>
      </w:sdtPr>
      <w:sdtContent>
        <w:r>
          <w:fldChar w:fldCharType="begin"/>
        </w:r>
        <w:r>
          <w:instrText xml:space="preserve"> PAGE   \* MERGEFORMAT </w:instrText>
        </w:r>
        <w:r>
          <w:fldChar w:fldCharType="separate"/>
        </w:r>
        <w:r>
          <w:rPr>
            <w:noProof/>
          </w:rPr>
          <w:t>10</w:t>
        </w:r>
        <w:r>
          <w:fldChar w:fldCharType="end"/>
        </w:r>
      </w:sdtContent>
    </w:sdt>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sz w:val="2"/>
        <w:szCs w:val="2"/>
      </w:rPr>
    </w:pPr>
    <w:r>
      <w:rPr>
        <w:noProof/>
        <w:lang w:val="en-US"/>
      </w:rPr>
      <mc:AlternateContent>
        <mc:Choice Requires="wps">
          <w:drawing>
            <wp:anchor distT="63500" distB="63500" distL="63500" distR="63500" simplePos="0" relativeHeight="251641344" behindDoc="1" locked="0" layoutInCell="1" allowOverlap="1">
              <wp:simplePos x="0" y="0"/>
              <wp:positionH relativeFrom="page">
                <wp:posOffset>1165860</wp:posOffset>
              </wp:positionH>
              <wp:positionV relativeFrom="paragraph">
                <wp:posOffset>-928370</wp:posOffset>
              </wp:positionV>
              <wp:extent cx="74295" cy="306705"/>
              <wp:effectExtent l="0" t="0" r="13970" b="6985"/>
              <wp:wrapNone/>
              <wp:docPr id="97"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En-tteoupieddepage0"/>
                            <w:shd w:val="clear" w:color="auto" w:fill="auto"/>
                            <w:jc w:val="both"/>
                          </w:pPr>
                          <w:r>
                            <w:rPr>
                              <w:rStyle w:val="En-tteoupieddepage23pt"/>
                              <w:rFonts w:eastAsiaTheme="minorHAnsi"/>
                            </w:rPr>
                            <w:t>I</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7" o:spid="_x0000_s1083" type="#_x0000_t202" style="position:absolute;margin-left:91.8pt;margin-top:-73.1pt;width:5.85pt;height:24.15pt;z-index:-251675136;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" filled="f" stroked="f">
              <v:textbox style="mso-fit-shape-to-text:t" inset="0,0,0,0">
                <w:txbxContent>
                  <w:p>
                    <w:pPr>
                      <w:pStyle w:val="En-tteoupieddepage0"/>
                      <w:shd w:val="clear" w:color="auto" w:fill="auto"/>
                      <w:jc w:val="both"/>
                    </w:pPr>
                    <w:r>
                      <w:rPr>
                        <w:rStyle w:val="En-tteoupieddepage23pt"/>
                        <w:rFonts w:eastAsiaTheme="minorHAnsi"/>
                      </w:rPr>
                      <w:t>I</w:t>
                    </w:r>
                  </w:p>
                </w:txbxContent>
              </v:textbox>
              <w10:wrap anchorx="page"/>
            </v:shape>
          </w:pict>
        </mc:Fallback>
      </mc:AlternateContent>
    </w:r>
    <w:r>
      <w:rPr>
        <w:noProof/>
        <w:lang w:val="en-US"/>
      </w:rPr>
      <mc:AlternateContent>
        <mc:Choice Requires="wps">
          <w:drawing>
            <wp:anchor distT="63500" distB="63500" distL="63500" distR="63500" simplePos="0" relativeHeight="251643392" behindDoc="1" locked="0" layoutInCell="1" allowOverlap="1">
              <wp:simplePos x="0" y="0"/>
              <wp:positionH relativeFrom="page">
                <wp:posOffset>5960110</wp:posOffset>
              </wp:positionH>
              <wp:positionV relativeFrom="paragraph">
                <wp:posOffset>-928370</wp:posOffset>
              </wp:positionV>
              <wp:extent cx="74295" cy="306705"/>
              <wp:effectExtent l="0" t="0" r="13970" b="6985"/>
              <wp:wrapNone/>
              <wp:docPr id="98"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En-tteoupieddepage0"/>
                            <w:shd w:val="clear" w:color="auto" w:fill="auto"/>
                            <w:jc w:val="both"/>
                          </w:pPr>
                          <w:r>
                            <w:rPr>
                              <w:rStyle w:val="En-tteoupieddepage23pt"/>
                              <w:rFonts w:eastAsiaTheme="minorHAnsi"/>
                            </w:rPr>
                            <w:t>I</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8" o:spid="_x0000_s1084" type="#_x0000_t202" style="position:absolute;margin-left:469.3pt;margin-top:-73.1pt;width:5.85pt;height:24.15pt;z-index:-251673088;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" filled="f" stroked="f">
              <v:textbox style="mso-fit-shape-to-text:t" inset="0,0,0,0">
                <w:txbxContent>
                  <w:p>
                    <w:pPr>
                      <w:pStyle w:val="En-tteoupieddepage0"/>
                      <w:shd w:val="clear" w:color="auto" w:fill="auto"/>
                      <w:jc w:val="both"/>
                    </w:pPr>
                    <w:r>
                      <w:rPr>
                        <w:rStyle w:val="En-tteoupieddepage23pt"/>
                        <w:rFonts w:eastAsiaTheme="minorHAnsi"/>
                      </w:rPr>
                      <w:t>I</w:t>
                    </w:r>
                  </w:p>
                </w:txbxContent>
              </v:textbox>
              <w10:wrap anchorx="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sz w:val="2"/>
        <w:szCs w:val="2"/>
      </w:rPr>
    </w:pPr>
    <w:r>
      <w:rPr>
        <w:noProof/>
        <w:lang w:val="en-US"/>
      </w:rPr>
      <mc:AlternateContent>
        <mc:Choice Requires="wps">
          <w:drawing>
            <wp:anchor distT="63500" distB="63500" distL="63500" distR="63500" simplePos="0" relativeHeight="251630080" behindDoc="1" locked="0" layoutInCell="1" allowOverlap="1">
              <wp:simplePos x="0" y="0"/>
              <wp:positionH relativeFrom="page">
                <wp:posOffset>1127125</wp:posOffset>
              </wp:positionH>
              <wp:positionV relativeFrom="paragraph">
                <wp:posOffset>-928370</wp:posOffset>
              </wp:positionV>
              <wp:extent cx="121920" cy="335915"/>
              <wp:effectExtent l="0" t="0" r="11430" b="6985"/>
              <wp:wrapNone/>
              <wp:docPr id="83"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335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En-tteoupieddepage0"/>
                            <w:shd w:val="clear" w:color="auto" w:fill="auto"/>
                            <w:jc w:val="both"/>
                          </w:pPr>
                          <w:r>
                            <w:rPr>
                              <w:rStyle w:val="En-tteoupieddepage23pt"/>
                              <w:rFonts w:eastAsiaTheme="minorHAnsi"/>
                              <w:lang w:val="sl"/>
                            </w:rPr>
                            <w:t>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3" o:spid="_x0000_s1028" type="#_x0000_t202" style="position:absolute;margin-left:88.75pt;margin-top:-73.1pt;width:9.6pt;height:26.45pt;z-index:-251686400;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" filled="f" stroked="f">
              <v:textbox style="mso-fit-shape-to-text:t" inset="0,0,0,0">
                <w:txbxContent>
                  <w:p>
                    <w:pPr>
                      <w:pStyle w:val="En-tteoupieddepage0"/>
                      <w:shd w:val="clear" w:color="auto" w:fill="auto"/>
                      <w:jc w:val="both"/>
                    </w:pPr>
                    <w:r>
                      <w:rPr>
                        <w:rStyle w:val="En-tteoupieddepage23pt"/>
                        <w:rFonts w:eastAsiaTheme="minorHAnsi"/>
                        <w:lang w:val="sl"/>
                      </w:rPr>
                      <w:t>1</w:t>
                    </w:r>
                  </w:p>
                </w:txbxContent>
              </v:textbox>
              <w10:wrap anchorx="page"/>
            </v:shape>
          </w:pict>
        </mc:Fallback>
      </mc:AlternateContent>
    </w:r>
    <w:r>
      <w:rPr>
        <w:noProof/>
        <w:lang w:val="en-US"/>
      </w:rPr>
      <mc:AlternateContent>
        <mc:Choice Requires="wps">
          <w:drawing>
            <wp:anchor distT="63500" distB="63500" distL="63500" distR="63500" simplePos="0" relativeHeight="251631104" behindDoc="1" locked="0" layoutInCell="1" allowOverlap="1">
              <wp:simplePos x="0" y="0"/>
              <wp:positionH relativeFrom="page">
                <wp:posOffset>3575050</wp:posOffset>
              </wp:positionH>
              <wp:positionV relativeFrom="paragraph">
                <wp:posOffset>-928370</wp:posOffset>
              </wp:positionV>
              <wp:extent cx="133985" cy="153035"/>
              <wp:effectExtent l="0" t="0" r="8890" b="18415"/>
              <wp:wrapNone/>
              <wp:docPr id="82"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En-tteoupieddepage0"/>
                            <w:shd w:val="clear" w:color="auto" w:fill="auto"/>
                            <w:jc w:val="both"/>
                          </w:pPr>
                          <w:r>
                            <w:fldChar w:fldCharType="begin"/>
                          </w:r>
                          <w:r>
                            <w:instrText xml:space="preserve"> PAGE \* MERGEFORMAT </w:instrText>
                          </w:r>
                          <w:r>
                            <w:fldChar w:fldCharType="separate"/>
                          </w:r>
                          <w:r>
                            <w:rPr>
                              <w:rStyle w:val="En-tteoupieddepage105pt"/>
                              <w:rFonts w:eastAsiaTheme="minorHAnsi"/>
                              <w:noProof/>
                            </w:rPr>
                            <w:t>4</w:t>
                          </w:r>
                          <w:r>
                            <w:rPr>
                              <w:rStyle w:val="En-tteoupieddepage105pt"/>
                              <w:rFonts w:eastAsiaTheme="minorHAnsi"/>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2" o:spid="_x0000_s1029" type="#_x0000_t202" style="position:absolute;margin-left:281.5pt;margin-top:-73.1pt;width:10.55pt;height:12.05pt;z-index:-251685376;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" filled="f" stroked="f">
              <v:textbox style="mso-fit-shape-to-text:t" inset="0,0,0,0">
                <w:txbxContent>
                  <w:p>
                    <w:pPr>
                      <w:pStyle w:val="En-tteoupieddepage0"/>
                      <w:shd w:val="clear" w:color="auto" w:fill="auto"/>
                      <w:jc w:val="both"/>
                    </w:pPr>
                    <w:r>
                      <w:fldChar w:fldCharType="begin"/>
                    </w:r>
                    <w:r>
                      <w:instrText xml:space="preserve"> PAGE \* MERGEFORMAT </w:instrText>
                    </w:r>
                    <w:r>
                      <w:fldChar w:fldCharType="separate"/>
                    </w:r>
                    <w:r>
                      <w:rPr>
                        <w:rStyle w:val="En-tteoupieddepage105pt"/>
                        <w:rFonts w:eastAsiaTheme="minorHAnsi"/>
                        <w:noProof/>
                      </w:rPr>
                      <w:t>4</w:t>
                    </w:r>
                    <w:r>
                      <w:rPr>
                        <w:rStyle w:val="En-tteoupieddepage105pt"/>
                        <w:rFonts w:eastAsiaTheme="minorHAnsi"/>
                      </w:rPr>
                      <w:fldChar w:fldCharType="end"/>
                    </w:r>
                  </w:p>
                </w:txbxContent>
              </v:textbox>
              <w10:wrap anchorx="page"/>
            </v:shape>
          </w:pict>
        </mc:Fallback>
      </mc:AlternateContent>
    </w:r>
    <w:r>
      <w:rPr>
        <w:noProof/>
        <w:lang w:val="en-US"/>
      </w:rPr>
      <mc:AlternateContent>
        <mc:Choice Requires="wps">
          <w:drawing>
            <wp:anchor distT="63500" distB="63500" distL="63500" distR="63500" simplePos="0" relativeHeight="251632128" behindDoc="1" locked="0" layoutInCell="1" allowOverlap="1">
              <wp:simplePos x="0" y="0"/>
              <wp:positionH relativeFrom="page">
                <wp:posOffset>5922010</wp:posOffset>
              </wp:positionH>
              <wp:positionV relativeFrom="paragraph">
                <wp:posOffset>-928370</wp:posOffset>
              </wp:positionV>
              <wp:extent cx="100330" cy="335915"/>
              <wp:effectExtent l="0" t="0" r="13970" b="6985"/>
              <wp:wrapNone/>
              <wp:docPr id="81"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335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En-tteoupieddepage0"/>
                            <w:shd w:val="clear" w:color="auto" w:fill="auto"/>
                            <w:jc w:val="both"/>
                          </w:pPr>
                          <w:r>
                            <w:rPr>
                              <w:rStyle w:val="En-tteoupieddepage23pt"/>
                              <w:rFonts w:eastAsiaTheme="minorHAnsi"/>
                            </w:rPr>
                            <w:t>I</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1" o:spid="_x0000_s1030" type="#_x0000_t202" style="position:absolute;margin-left:466.3pt;margin-top:-73.1pt;width:7.9pt;height:26.45pt;z-index:-251684352;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" filled="f" stroked="f">
              <v:textbox style="mso-fit-shape-to-text:t" inset="0,0,0,0">
                <w:txbxContent>
                  <w:p>
                    <w:pPr>
                      <w:pStyle w:val="En-tteoupieddepage0"/>
                      <w:shd w:val="clear" w:color="auto" w:fill="auto"/>
                      <w:jc w:val="both"/>
                    </w:pPr>
                    <w:r>
                      <w:rPr>
                        <w:rStyle w:val="En-tteoupieddepage23pt"/>
                        <w:rFonts w:eastAsiaTheme="minorHAnsi"/>
                      </w:rPr>
                      <w:t>I</w:t>
                    </w:r>
                  </w:p>
                </w:txbxContent>
              </v:textbox>
              <w10:wrap anchorx="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sz w:val="2"/>
        <w:szCs w:val="2"/>
      </w:rPr>
    </w:pPr>
    <w:r>
      <w:rPr>
        <w:noProof/>
        <w:lang w:val="en-US"/>
      </w:rPr>
      <mc:AlternateContent>
        <mc:Choice Requires="wps">
          <w:drawing>
            <wp:anchor distT="63500" distB="63500" distL="63500" distR="63500" simplePos="0" relativeHeight="251634176" behindDoc="1" locked="0" layoutInCell="1" allowOverlap="1">
              <wp:simplePos x="0" y="0"/>
              <wp:positionH relativeFrom="page">
                <wp:posOffset>1165860</wp:posOffset>
              </wp:positionH>
              <wp:positionV relativeFrom="paragraph">
                <wp:posOffset>-928370</wp:posOffset>
              </wp:positionV>
              <wp:extent cx="74295" cy="306705"/>
              <wp:effectExtent l="0" t="0" r="13970" b="6985"/>
              <wp:wrapNone/>
              <wp:docPr id="7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En-tteoupieddepage0"/>
                            <w:shd w:val="clear" w:color="auto" w:fill="auto"/>
                            <w:jc w:val="both"/>
                          </w:pPr>
                          <w:r>
                            <w:rPr>
                              <w:rStyle w:val="En-tteoupieddepage23pt"/>
                              <w:rFonts w:eastAsiaTheme="minorHAnsi"/>
                            </w:rPr>
                            <w:t>I</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5" o:spid="_x0000_s1032" type="#_x0000_t202" style="position:absolute;margin-left:91.8pt;margin-top:-73.1pt;width:5.85pt;height:24.15pt;z-index:-251682304;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" filled="f" stroked="f">
              <v:textbox style="mso-fit-shape-to-text:t" inset="0,0,0,0">
                <w:txbxContent>
                  <w:p>
                    <w:pPr>
                      <w:pStyle w:val="En-tteoupieddepage0"/>
                      <w:shd w:val="clear" w:color="auto" w:fill="auto"/>
                      <w:jc w:val="both"/>
                    </w:pPr>
                    <w:r>
                      <w:rPr>
                        <w:rStyle w:val="En-tteoupieddepage23pt"/>
                        <w:rFonts w:eastAsiaTheme="minorHAnsi"/>
                      </w:rPr>
                      <w:t>I</w:t>
                    </w:r>
                  </w:p>
                </w:txbxContent>
              </v:textbox>
              <w10:wrap anchorx="page"/>
            </v:shape>
          </w:pict>
        </mc:Fallback>
      </mc:AlternateContent>
    </w:r>
    <w:r>
      <w:rPr>
        <w:noProof/>
        <w:lang w:val="en-US"/>
      </w:rPr>
      <mc:AlternateContent>
        <mc:Choice Requires="wps">
          <w:drawing>
            <wp:anchor distT="63500" distB="63500" distL="63500" distR="63500" simplePos="0" relativeHeight="251635200" behindDoc="1" locked="0" layoutInCell="1" allowOverlap="1">
              <wp:simplePos x="0" y="0"/>
              <wp:positionH relativeFrom="page">
                <wp:posOffset>5960110</wp:posOffset>
              </wp:positionH>
              <wp:positionV relativeFrom="paragraph">
                <wp:posOffset>-928370</wp:posOffset>
              </wp:positionV>
              <wp:extent cx="74295" cy="306705"/>
              <wp:effectExtent l="0" t="0" r="13970" b="6985"/>
              <wp:wrapNone/>
              <wp:docPr id="74"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En-tteoupieddepage0"/>
                            <w:shd w:val="clear" w:color="auto" w:fill="auto"/>
                            <w:jc w:val="both"/>
                          </w:pPr>
                          <w:r>
                            <w:rPr>
                              <w:rStyle w:val="En-tteoupieddepage23pt"/>
                              <w:rFonts w:eastAsiaTheme="minorHAnsi"/>
                            </w:rPr>
                            <w:t>I</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4" o:spid="_x0000_s1033" type="#_x0000_t202" style="position:absolute;margin-left:469.3pt;margin-top:-73.1pt;width:5.85pt;height:24.15pt;z-index:-251681280;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" filled="f" stroked="f">
              <v:textbox style="mso-fit-shape-to-text:t" inset="0,0,0,0">
                <w:txbxContent>
                  <w:p>
                    <w:pPr>
                      <w:pStyle w:val="En-tteoupieddepage0"/>
                      <w:shd w:val="clear" w:color="auto" w:fill="auto"/>
                      <w:jc w:val="both"/>
                    </w:pPr>
                    <w:r>
                      <w:rPr>
                        <w:rStyle w:val="En-tteoupieddepage23pt"/>
                        <w:rFonts w:eastAsiaTheme="minorHAnsi"/>
                      </w:rPr>
                      <w:t>I</w:t>
                    </w:r>
                  </w:p>
                </w:txbxContent>
              </v:textbox>
              <w10:wrap anchorx="page"/>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sz w:val="2"/>
        <w:szCs w:val="2"/>
      </w:rPr>
    </w:pPr>
    <w:r>
      <w:rPr>
        <w:noProof/>
        <w:lang w:val="en-US"/>
      </w:rPr>
      <mc:AlternateContent>
        <mc:Choice Requires="wps">
          <w:drawing>
            <wp:anchor distT="63500" distB="63500" distL="63500" distR="63500" simplePos="0" relativeHeight="251646464" behindDoc="1" locked="0" layoutInCell="1" allowOverlap="1">
              <wp:simplePos x="0" y="0"/>
              <wp:positionH relativeFrom="page">
                <wp:posOffset>1127125</wp:posOffset>
              </wp:positionH>
              <wp:positionV relativeFrom="paragraph">
                <wp:posOffset>-928370</wp:posOffset>
              </wp:positionV>
              <wp:extent cx="121920" cy="335915"/>
              <wp:effectExtent l="0" t="0" r="11430" b="698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335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En-tteoupieddepage0"/>
                            <w:shd w:val="clear" w:color="auto" w:fill="auto"/>
                            <w:jc w:val="both"/>
                          </w:pPr>
                          <w:r>
                            <w:rPr>
                              <w:rStyle w:val="En-tteoupieddepage23pt"/>
                              <w:rFonts w:eastAsiaTheme="minorHAnsi"/>
                            </w:rPr>
                            <w:t>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36" type="#_x0000_t202" style="position:absolute;margin-left:88.75pt;margin-top:-73.1pt;width:9.6pt;height:26.45pt;z-index:-251670016;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" filled="f" stroked="f">
              <v:textbox style="mso-fit-shape-to-text:t" inset="0,0,0,0">
                <w:txbxContent>
                  <w:p>
                    <w:pPr>
                      <w:pStyle w:val="En-tteoupieddepage0"/>
                      <w:shd w:val="clear" w:color="auto" w:fill="auto"/>
                      <w:jc w:val="both"/>
                    </w:pPr>
                    <w:r>
                      <w:rPr>
                        <w:rStyle w:val="En-tteoupieddepage23pt"/>
                        <w:rFonts w:eastAsiaTheme="minorHAnsi"/>
                      </w:rPr>
                      <w:t>1</w:t>
                    </w:r>
                  </w:p>
                </w:txbxContent>
              </v:textbox>
              <w10:wrap anchorx="page"/>
            </v:shape>
          </w:pict>
        </mc:Fallback>
      </mc:AlternateContent>
    </w:r>
    <w:r>
      <w:rPr>
        <w:noProof/>
        <w:lang w:val="en-US"/>
      </w:rPr>
      <mc:AlternateContent>
        <mc:Choice Requires="wps">
          <w:drawing>
            <wp:anchor distT="63500" distB="63500" distL="63500" distR="63500" simplePos="0" relativeHeight="251648512" behindDoc="1" locked="0" layoutInCell="1" allowOverlap="1">
              <wp:simplePos x="0" y="0"/>
              <wp:positionH relativeFrom="page">
                <wp:posOffset>3575050</wp:posOffset>
              </wp:positionH>
              <wp:positionV relativeFrom="paragraph">
                <wp:posOffset>-928370</wp:posOffset>
              </wp:positionV>
              <wp:extent cx="133985" cy="153035"/>
              <wp:effectExtent l="0" t="0" r="8890" b="1841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En-tteoupieddepage0"/>
                            <w:shd w:val="clear" w:color="auto" w:fill="auto"/>
                            <w:jc w:val="both"/>
                          </w:pPr>
                          <w:r>
                            <w:fldChar w:fldCharType="begin"/>
                          </w:r>
                          <w:r>
                            <w:instrText xml:space="preserve"> PAGE \* MERGEFORMAT </w:instrText>
                          </w:r>
                          <w:r>
                            <w:fldChar w:fldCharType="separate"/>
                          </w:r>
                          <w:r>
                            <w:rPr>
                              <w:rStyle w:val="En-tteoupieddepage105pt"/>
                              <w:rFonts w:eastAsiaTheme="minorHAnsi"/>
                              <w:noProof/>
                            </w:rPr>
                            <w:t>4</w:t>
                          </w:r>
                          <w:r>
                            <w:rPr>
                              <w:rStyle w:val="En-tteoupieddepage105pt"/>
                              <w:rFonts w:eastAsiaTheme="minorHAnsi"/>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 o:spid="_x0000_s1037" type="#_x0000_t202" style="position:absolute;margin-left:281.5pt;margin-top:-73.1pt;width:10.55pt;height:12.05pt;z-index:-251667968;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" filled="f" stroked="f">
              <v:textbox style="mso-fit-shape-to-text:t" inset="0,0,0,0">
                <w:txbxContent>
                  <w:p>
                    <w:pPr>
                      <w:pStyle w:val="En-tteoupieddepage0"/>
                      <w:shd w:val="clear" w:color="auto" w:fill="auto"/>
                      <w:jc w:val="both"/>
                    </w:pPr>
                    <w:r>
                      <w:fldChar w:fldCharType="begin"/>
                    </w:r>
                    <w:r>
                      <w:instrText xml:space="preserve"> PAGE \* MERGEFORMAT </w:instrText>
                    </w:r>
                    <w:r>
                      <w:fldChar w:fldCharType="separate"/>
                    </w:r>
                    <w:r>
                      <w:rPr>
                        <w:rStyle w:val="En-tteoupieddepage105pt"/>
                        <w:rFonts w:eastAsiaTheme="minorHAnsi"/>
                        <w:noProof/>
                      </w:rPr>
                      <w:t>4</w:t>
                    </w:r>
                    <w:r>
                      <w:rPr>
                        <w:rStyle w:val="En-tteoupieddepage105pt"/>
                        <w:rFonts w:eastAsiaTheme="minorHAnsi"/>
                      </w:rPr>
                      <w:fldChar w:fldCharType="end"/>
                    </w:r>
                  </w:p>
                </w:txbxContent>
              </v:textbox>
              <w10:wrap anchorx="page"/>
            </v:shape>
          </w:pict>
        </mc:Fallback>
      </mc:AlternateContent>
    </w:r>
    <w:r>
      <w:rPr>
        <w:noProof/>
        <w:lang w:val="en-US"/>
      </w:rPr>
      <mc:AlternateContent>
        <mc:Choice Requires="wps">
          <w:drawing>
            <wp:anchor distT="63500" distB="63500" distL="63500" distR="63500" simplePos="0" relativeHeight="251650560" behindDoc="1" locked="0" layoutInCell="1" allowOverlap="1">
              <wp:simplePos x="0" y="0"/>
              <wp:positionH relativeFrom="page">
                <wp:posOffset>5922010</wp:posOffset>
              </wp:positionH>
              <wp:positionV relativeFrom="paragraph">
                <wp:posOffset>-928370</wp:posOffset>
              </wp:positionV>
              <wp:extent cx="100330" cy="335915"/>
              <wp:effectExtent l="0" t="0" r="13970" b="698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335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En-tteoupieddepage0"/>
                            <w:shd w:val="clear" w:color="auto" w:fill="auto"/>
                            <w:jc w:val="both"/>
                          </w:pPr>
                          <w:r>
                            <w:rPr>
                              <w:rStyle w:val="En-tteoupieddepage23pt"/>
                              <w:rFonts w:eastAsiaTheme="minorHAnsi"/>
                            </w:rPr>
                            <w:t>I</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 o:spid="_x0000_s1038" type="#_x0000_t202" style="position:absolute;margin-left:466.3pt;margin-top:-73.1pt;width:7.9pt;height:26.45pt;z-index:-251665920;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" filled="f" stroked="f">
              <v:textbox style="mso-fit-shape-to-text:t" inset="0,0,0,0">
                <w:txbxContent>
                  <w:p>
                    <w:pPr>
                      <w:pStyle w:val="En-tteoupieddepage0"/>
                      <w:shd w:val="clear" w:color="auto" w:fill="auto"/>
                      <w:jc w:val="both"/>
                    </w:pPr>
                    <w:r>
                      <w:rPr>
                        <w:rStyle w:val="En-tteoupieddepage23pt"/>
                        <w:rFonts w:eastAsiaTheme="minorHAnsi"/>
                      </w:rPr>
                      <w:t>I</w:t>
                    </w:r>
                  </w:p>
                </w:txbxContent>
              </v:textbox>
              <w10:wrap anchorx="page"/>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pPr>
    <w:r>
      <w:t xml:space="preserve">AM/EU/Annex I/bg </w:t>
    </w:r>
    <w:sdt>
      <w:sdtPr>
        <w:id w:val="-798533896"/>
        <w:docPartObj>
          <w:docPartGallery w:val="Page Numbers (Bottom of Page)"/>
          <w:docPartUnique/>
        </w:docPartObj>
      </w:sdtPr>
      <w:sdtContent>
        <w:r>
          <w:fldChar w:fldCharType="begin"/>
        </w:r>
        <w:r>
          <w:instrText xml:space="preserve"> PAGE   \* MERGEFORMAT </w:instrText>
        </w:r>
        <w:r>
          <w:fldChar w:fldCharType="separate"/>
        </w:r>
        <w:r>
          <w:rPr>
            <w:noProof/>
          </w:rPr>
          <w:t>22</w:t>
        </w:r>
        <w:r>
          <w:fldChar w:fldCharType="end"/>
        </w:r>
      </w:sdtContent>
    </w:sdt>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sz w:val="2"/>
        <w:szCs w:val="2"/>
      </w:rPr>
    </w:pPr>
    <w:r>
      <w:rPr>
        <w:noProof/>
        <w:lang w:val="en-US"/>
      </w:rPr>
      <mc:AlternateContent>
        <mc:Choice Requires="wps">
          <w:drawing>
            <wp:anchor distT="63500" distB="63500" distL="63500" distR="63500" simplePos="0" relativeHeight="251642368" behindDoc="1" locked="0" layoutInCell="1" allowOverlap="1">
              <wp:simplePos x="0" y="0"/>
              <wp:positionH relativeFrom="page">
                <wp:posOffset>1165860</wp:posOffset>
              </wp:positionH>
              <wp:positionV relativeFrom="paragraph">
                <wp:posOffset>-928370</wp:posOffset>
              </wp:positionV>
              <wp:extent cx="74295" cy="306705"/>
              <wp:effectExtent l="0" t="0" r="13970" b="698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En-tteoupieddepage0"/>
                            <w:shd w:val="clear" w:color="auto" w:fill="auto"/>
                            <w:jc w:val="both"/>
                          </w:pPr>
                          <w:r>
                            <w:rPr>
                              <w:rStyle w:val="En-tteoupieddepage23pt"/>
                              <w:rFonts w:eastAsiaTheme="minorHAnsi"/>
                            </w:rPr>
                            <w:t>I</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40" type="#_x0000_t202" style="position:absolute;margin-left:91.8pt;margin-top:-73.1pt;width:5.85pt;height:24.15pt;z-index:-251674112;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" filled="f" stroked="f">
              <v:textbox style="mso-fit-shape-to-text:t" inset="0,0,0,0">
                <w:txbxContent>
                  <w:p>
                    <w:pPr>
                      <w:pStyle w:val="En-tteoupieddepage0"/>
                      <w:shd w:val="clear" w:color="auto" w:fill="auto"/>
                      <w:jc w:val="both"/>
                    </w:pPr>
                    <w:r>
                      <w:rPr>
                        <w:rStyle w:val="En-tteoupieddepage23pt"/>
                        <w:rFonts w:eastAsiaTheme="minorHAnsi"/>
                      </w:rPr>
                      <w:t>I</w:t>
                    </w:r>
                  </w:p>
                </w:txbxContent>
              </v:textbox>
              <w10:wrap anchorx="page"/>
            </v:shape>
          </w:pict>
        </mc:Fallback>
      </mc:AlternateContent>
    </w:r>
    <w:r>
      <w:rPr>
        <w:noProof/>
        <w:lang w:val="en-US"/>
      </w:rPr>
      <mc:AlternateContent>
        <mc:Choice Requires="wps">
          <w:drawing>
            <wp:anchor distT="63500" distB="63500" distL="63500" distR="63500" simplePos="0" relativeHeight="251644416" behindDoc="1" locked="0" layoutInCell="1" allowOverlap="1">
              <wp:simplePos x="0" y="0"/>
              <wp:positionH relativeFrom="page">
                <wp:posOffset>5960110</wp:posOffset>
              </wp:positionH>
              <wp:positionV relativeFrom="paragraph">
                <wp:posOffset>-928370</wp:posOffset>
              </wp:positionV>
              <wp:extent cx="74295" cy="306705"/>
              <wp:effectExtent l="0" t="0" r="13970" b="698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En-tteoupieddepage0"/>
                            <w:shd w:val="clear" w:color="auto" w:fill="auto"/>
                            <w:jc w:val="both"/>
                          </w:pPr>
                          <w:r>
                            <w:rPr>
                              <w:rStyle w:val="En-tteoupieddepage23pt"/>
                              <w:rFonts w:eastAsiaTheme="minorHAnsi"/>
                            </w:rPr>
                            <w:t>I</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 o:spid="_x0000_s1041" type="#_x0000_t202" style="position:absolute;margin-left:469.3pt;margin-top:-73.1pt;width:5.85pt;height:24.15pt;z-index:-251672064;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" filled="f" stroked="f">
              <v:textbox style="mso-fit-shape-to-text:t" inset="0,0,0,0">
                <w:txbxContent>
                  <w:p>
                    <w:pPr>
                      <w:pStyle w:val="En-tteoupieddepage0"/>
                      <w:shd w:val="clear" w:color="auto" w:fill="auto"/>
                      <w:jc w:val="both"/>
                    </w:pPr>
                    <w:r>
                      <w:rPr>
                        <w:rStyle w:val="En-tteoupieddepage23pt"/>
                        <w:rFonts w:eastAsiaTheme="minorHAnsi"/>
                      </w:rPr>
                      <w:t>I</w:t>
                    </w:r>
                  </w:p>
                </w:txbxContent>
              </v:textbox>
              <w10:wrap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rPr>
          <w:lang w:val="bg-BG"/>
        </w:rPr>
      </w:pPr>
      <w:r>
        <w:rPr>
          <w:rStyle w:val="FootnoteReference"/>
        </w:rPr>
        <w:footnoteRef/>
      </w:r>
      <w:r>
        <w:tab/>
        <w:t>Елементите на член 4, които се отнасят до предложения в областта на енергетиката в хода на преговори за споразумение за свободна търговия, ще бъдат обсъдени в рамките на тези преговори. Ако бъдат установени необходими резерви, те ще бъдат отразени в настоящото приложение.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sz w:val="2"/>
        <w:szCs w:val="2"/>
      </w:rPr>
    </w:pPr>
    <w:r>
      <w:rPr>
        <w:noProof/>
        <w:lang w:val="en-US"/>
      </w:rPr>
      <mc:AlternateContent>
        <mc:Choice Requires="wps">
          <w:drawing>
            <wp:anchor distT="63500" distB="63500" distL="63500" distR="63500" simplePos="0" relativeHeight="251652608" behindDoc="1" locked="0" layoutInCell="1" allowOverlap="1">
              <wp:simplePos x="0" y="0"/>
              <wp:positionH relativeFrom="page">
                <wp:posOffset>1203325</wp:posOffset>
              </wp:positionH>
              <wp:positionV relativeFrom="paragraph">
                <wp:posOffset>681355</wp:posOffset>
              </wp:positionV>
              <wp:extent cx="1046480" cy="153035"/>
              <wp:effectExtent l="0" t="0" r="13335" b="63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648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En-tteoupieddepage0"/>
                            <w:shd w:val="clear" w:color="auto" w:fill="auto"/>
                            <w:jc w:val="both"/>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42" type="#_x0000_t202" style="position:absolute;margin-left:94.75pt;margin-top:53.65pt;width:82.4pt;height:12.05pt;z-index:-251663872;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" filled="f" stroked="f">
              <v:textbox style="mso-fit-shape-to-text:t" inset="0,0,0,0">
                <w:txbxContent>
                  <w:p>
                    <w:pPr>
                      <w:pStyle w:val="En-tteoupieddepage0"/>
                      <w:shd w:val="clear" w:color="auto" w:fill="auto"/>
                      <w:jc w:val="both"/>
                    </w:pPr>
                  </w:p>
                </w:txbxContent>
              </v:textbox>
              <w10:wrap anchorx="page"/>
            </v:shape>
          </w:pict>
        </mc:Fallback>
      </mc:AlternateContent>
    </w:r>
    <w:r>
      <w:rPr>
        <w:noProof/>
        <w:lang w:val="en-US"/>
      </w:rPr>
      <mc:AlternateContent>
        <mc:Choice Requires="wps">
          <w:drawing>
            <wp:anchor distT="63500" distB="63500" distL="63500" distR="63500" simplePos="0" relativeHeight="251653632" behindDoc="1" locked="0" layoutInCell="1" allowOverlap="1">
              <wp:simplePos x="0" y="0"/>
              <wp:positionH relativeFrom="page">
                <wp:posOffset>4693285</wp:posOffset>
              </wp:positionH>
              <wp:positionV relativeFrom="paragraph">
                <wp:posOffset>681355</wp:posOffset>
              </wp:positionV>
              <wp:extent cx="972185" cy="153035"/>
              <wp:effectExtent l="0" t="0" r="13335" b="63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218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En-tteoupieddepage0"/>
                            <w:shd w:val="clear" w:color="auto" w:fill="auto"/>
                            <w:jc w:val="both"/>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1" o:spid="_x0000_s1043" type="#_x0000_t202" style="position:absolute;margin-left:369.55pt;margin-top:53.65pt;width:76.55pt;height:12.05pt;z-index:-251662848;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" filled="f" stroked="f">
              <v:textbox style="mso-fit-shape-to-text:t" inset="0,0,0,0">
                <w:txbxContent>
                  <w:p>
                    <w:pPr>
                      <w:pStyle w:val="En-tteoupieddepage0"/>
                      <w:shd w:val="clear" w:color="auto" w:fill="auto"/>
                      <w:jc w:val="both"/>
                    </w:pPr>
                  </w:p>
                </w:txbxContent>
              </v:textbox>
              <w10:wrap anchorx="page"/>
            </v:shape>
          </w:pict>
        </mc:Fallback>
      </mc:AlternateConten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sz w:val="2"/>
        <w:szCs w:val="2"/>
      </w:rPr>
    </w:pPr>
    <w:r>
      <w:rPr>
        <w:noProof/>
        <w:lang w:val="en-US"/>
      </w:rPr>
      <mc:AlternateContent>
        <mc:Choice Requires="wps">
          <w:drawing>
            <wp:anchor distT="63500" distB="63500" distL="63500" distR="63500" simplePos="0" relativeHeight="251651584" behindDoc="1" locked="0" layoutInCell="1" allowOverlap="1">
              <wp:simplePos x="0" y="0"/>
              <wp:positionH relativeFrom="page">
                <wp:posOffset>4740910</wp:posOffset>
              </wp:positionH>
              <wp:positionV relativeFrom="paragraph">
                <wp:posOffset>696595</wp:posOffset>
              </wp:positionV>
              <wp:extent cx="972185" cy="153035"/>
              <wp:effectExtent l="0" t="0" r="13335" b="63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218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En-tteoupieddepage0"/>
                            <w:shd w:val="clear" w:color="auto" w:fill="auto"/>
                            <w:jc w:val="both"/>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47" type="#_x0000_t202" style="position:absolute;margin-left:373.3pt;margin-top:54.85pt;width:76.55pt;height:12.05pt;z-index:-251664896;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" filled="f" stroked="f">
              <v:textbox style="mso-fit-shape-to-text:t" inset="0,0,0,0">
                <w:txbxContent>
                  <w:p>
                    <w:pPr>
                      <w:pStyle w:val="En-tteoupieddepage0"/>
                      <w:shd w:val="clear" w:color="auto" w:fill="auto"/>
                      <w:jc w:val="both"/>
                    </w:pPr>
                  </w:p>
                </w:txbxContent>
              </v:textbox>
              <w10:wrap anchorx="page"/>
            </v:shape>
          </w:pict>
        </mc:Fallback>
      </mc:AlternateConten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sz w:val="2"/>
        <w:szCs w:val="2"/>
      </w:rPr>
    </w:pPr>
    <w:r>
      <w:rPr>
        <w:noProof/>
        <w:lang w:val="en-US"/>
      </w:rPr>
      <mc:AlternateContent>
        <mc:Choice Requires="wps">
          <w:drawing>
            <wp:anchor distT="63500" distB="63500" distL="63500" distR="63500" simplePos="0" relativeHeight="251659776" behindDoc="1" locked="0" layoutInCell="1" allowOverlap="1">
              <wp:simplePos x="0" y="0"/>
              <wp:positionH relativeFrom="page">
                <wp:posOffset>1203325</wp:posOffset>
              </wp:positionH>
              <wp:positionV relativeFrom="paragraph">
                <wp:posOffset>681355</wp:posOffset>
              </wp:positionV>
              <wp:extent cx="1046480" cy="153035"/>
              <wp:effectExtent l="0" t="0" r="13335" b="63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648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En-tteoupieddepage0"/>
                            <w:shd w:val="clear" w:color="auto" w:fill="auto"/>
                            <w:jc w:val="both"/>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50" type="#_x0000_t202" style="position:absolute;margin-left:94.75pt;margin-top:53.65pt;width:82.4pt;height:12.05pt;z-index:-251656704;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" filled="f" stroked="f">
              <v:textbox style="mso-fit-shape-to-text:t" inset="0,0,0,0">
                <w:txbxContent>
                  <w:p>
                    <w:pPr>
                      <w:pStyle w:val="En-tteoupieddepage0"/>
                      <w:shd w:val="clear" w:color="auto" w:fill="auto"/>
                      <w:jc w:val="both"/>
                    </w:pPr>
                  </w:p>
                </w:txbxContent>
              </v:textbox>
              <w10:wrap anchorx="page"/>
            </v:shape>
          </w:pict>
        </mc:Fallback>
      </mc:AlternateContent>
    </w:r>
    <w:r>
      <w:rPr>
        <w:noProof/>
        <w:lang w:val="en-US"/>
      </w:rPr>
      <mc:AlternateContent>
        <mc:Choice Requires="wps">
          <w:drawing>
            <wp:anchor distT="63500" distB="63500" distL="63500" distR="63500" simplePos="0" relativeHeight="251660800" behindDoc="1" locked="0" layoutInCell="1" allowOverlap="1">
              <wp:simplePos x="0" y="0"/>
              <wp:positionH relativeFrom="page">
                <wp:posOffset>4693285</wp:posOffset>
              </wp:positionH>
              <wp:positionV relativeFrom="paragraph">
                <wp:posOffset>681355</wp:posOffset>
              </wp:positionV>
              <wp:extent cx="972185" cy="153035"/>
              <wp:effectExtent l="0" t="0" r="13335" b="63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218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En-tteoupieddepage0"/>
                            <w:shd w:val="clear" w:color="auto" w:fill="auto"/>
                            <w:jc w:val="both"/>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8" o:spid="_x0000_s1051" type="#_x0000_t202" style="position:absolute;margin-left:369.55pt;margin-top:53.65pt;width:76.55pt;height:12.05pt;z-index:-251655680;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" filled="f" stroked="f">
              <v:textbox style="mso-fit-shape-to-text:t" inset="0,0,0,0">
                <w:txbxContent>
                  <w:p>
                    <w:pPr>
                      <w:pStyle w:val="En-tteoupieddepage0"/>
                      <w:shd w:val="clear" w:color="auto" w:fill="auto"/>
                      <w:jc w:val="both"/>
                    </w:pPr>
                  </w:p>
                </w:txbxContent>
              </v:textbox>
              <w10:wrap anchorx="page"/>
            </v:shape>
          </w:pict>
        </mc:Fallback>
      </mc:AlternateConten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sz w:val="2"/>
        <w:szCs w:val="2"/>
      </w:rPr>
    </w:pPr>
    <w:r>
      <w:rPr>
        <w:noProof/>
        <w:lang w:val="en-US"/>
      </w:rPr>
      <mc:AlternateContent>
        <mc:Choice Requires="wps">
          <w:drawing>
            <wp:anchor distT="63500" distB="63500" distL="63500" distR="63500" simplePos="0" relativeHeight="251666944" behindDoc="1" locked="0" layoutInCell="1" allowOverlap="1">
              <wp:simplePos x="0" y="0"/>
              <wp:positionH relativeFrom="page">
                <wp:posOffset>1203325</wp:posOffset>
              </wp:positionH>
              <wp:positionV relativeFrom="paragraph">
                <wp:posOffset>681355</wp:posOffset>
              </wp:positionV>
              <wp:extent cx="1046480" cy="153035"/>
              <wp:effectExtent l="0" t="0" r="13335" b="63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648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En-tteoupieddepage0"/>
                            <w:shd w:val="clear" w:color="auto" w:fill="auto"/>
                            <w:jc w:val="both"/>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57" type="#_x0000_t202" style="position:absolute;margin-left:94.75pt;margin-top:53.65pt;width:82.4pt;height:12.05pt;z-index:-251649536;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" filled="f" stroked="f">
              <v:textbox style="mso-fit-shape-to-text:t" inset="0,0,0,0">
                <w:txbxContent>
                  <w:p>
                    <w:pPr>
                      <w:pStyle w:val="En-tteoupieddepage0"/>
                      <w:shd w:val="clear" w:color="auto" w:fill="auto"/>
                      <w:jc w:val="both"/>
                    </w:pPr>
                  </w:p>
                </w:txbxContent>
              </v:textbox>
              <w10:wrap anchorx="page"/>
            </v:shape>
          </w:pict>
        </mc:Fallback>
      </mc:AlternateContent>
    </w:r>
    <w:r>
      <w:rPr>
        <w:noProof/>
        <w:lang w:val="en-US"/>
      </w:rPr>
      <mc:AlternateContent>
        <mc:Choice Requires="wps">
          <w:drawing>
            <wp:anchor distT="63500" distB="63500" distL="63500" distR="63500" simplePos="0" relativeHeight="251667968" behindDoc="1" locked="0" layoutInCell="1" allowOverlap="1">
              <wp:simplePos x="0" y="0"/>
              <wp:positionH relativeFrom="page">
                <wp:posOffset>4693285</wp:posOffset>
              </wp:positionH>
              <wp:positionV relativeFrom="paragraph">
                <wp:posOffset>681355</wp:posOffset>
              </wp:positionV>
              <wp:extent cx="972185" cy="153035"/>
              <wp:effectExtent l="0" t="0" r="13335" b="635"/>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218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En-tteoupieddepage0"/>
                            <w:shd w:val="clear" w:color="auto" w:fill="auto"/>
                            <w:jc w:val="both"/>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5" o:spid="_x0000_s1058" type="#_x0000_t202" style="position:absolute;margin-left:369.55pt;margin-top:53.65pt;width:76.55pt;height:12.05pt;z-index:-251648512;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" filled="f" stroked="f">
              <v:textbox style="mso-fit-shape-to-text:t" inset="0,0,0,0">
                <w:txbxContent>
                  <w:p>
                    <w:pPr>
                      <w:pStyle w:val="En-tteoupieddepage0"/>
                      <w:shd w:val="clear" w:color="auto" w:fill="auto"/>
                      <w:jc w:val="both"/>
                    </w:pPr>
                  </w:p>
                </w:txbxContent>
              </v:textbox>
              <w10:wrap anchorx="page"/>
            </v:shape>
          </w:pict>
        </mc:Fallback>
      </mc:AlternateConten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sz w:val="2"/>
        <w:szCs w:val="2"/>
      </w:rPr>
    </w:pPr>
    <w:r>
      <w:rPr>
        <w:noProof/>
        <w:lang w:val="en-US"/>
      </w:rPr>
      <mc:AlternateContent>
        <mc:Choice Requires="wps">
          <w:drawing>
            <wp:anchor distT="63500" distB="63500" distL="63500" distR="63500" simplePos="0" relativeHeight="251674112" behindDoc="1" locked="0" layoutInCell="1" allowOverlap="1">
              <wp:simplePos x="0" y="0"/>
              <wp:positionH relativeFrom="page">
                <wp:posOffset>1203325</wp:posOffset>
              </wp:positionH>
              <wp:positionV relativeFrom="paragraph">
                <wp:posOffset>681355</wp:posOffset>
              </wp:positionV>
              <wp:extent cx="1046480" cy="153035"/>
              <wp:effectExtent l="0" t="0" r="13335" b="635"/>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648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En-tteoupieddepage0"/>
                            <w:shd w:val="clear" w:color="auto" w:fill="auto"/>
                            <w:jc w:val="both"/>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1" o:spid="_x0000_s1064" type="#_x0000_t202" style="position:absolute;margin-left:94.75pt;margin-top:53.65pt;width:82.4pt;height:12.05pt;z-index:-251642368;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" filled="f" stroked="f">
              <v:textbox style="mso-fit-shape-to-text:t" inset="0,0,0,0">
                <w:txbxContent>
                  <w:p>
                    <w:pPr>
                      <w:pStyle w:val="En-tteoupieddepage0"/>
                      <w:shd w:val="clear" w:color="auto" w:fill="auto"/>
                      <w:jc w:val="both"/>
                    </w:pPr>
                  </w:p>
                </w:txbxContent>
              </v:textbox>
              <w10:wrap anchorx="page"/>
            </v:shape>
          </w:pict>
        </mc:Fallback>
      </mc:AlternateContent>
    </w:r>
    <w:r>
      <w:rPr>
        <w:noProof/>
        <w:lang w:val="en-US"/>
      </w:rPr>
      <mc:AlternateContent>
        <mc:Choice Requires="wps">
          <w:drawing>
            <wp:anchor distT="63500" distB="63500" distL="63500" distR="63500" simplePos="0" relativeHeight="251675136" behindDoc="1" locked="0" layoutInCell="1" allowOverlap="1">
              <wp:simplePos x="0" y="0"/>
              <wp:positionH relativeFrom="page">
                <wp:posOffset>4693285</wp:posOffset>
              </wp:positionH>
              <wp:positionV relativeFrom="paragraph">
                <wp:posOffset>681355</wp:posOffset>
              </wp:positionV>
              <wp:extent cx="972185" cy="153035"/>
              <wp:effectExtent l="0" t="0" r="13335" b="635"/>
              <wp:wrapNone/>
              <wp:docPr id="6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218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En-tteoupieddepage0"/>
                            <w:shd w:val="clear" w:color="auto" w:fill="auto"/>
                            <w:jc w:val="both"/>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4" o:spid="_x0000_s1065" type="#_x0000_t202" style="position:absolute;margin-left:369.55pt;margin-top:53.65pt;width:76.55pt;height:12.05pt;z-index:-251641344;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" filled="f" stroked="f">
              <v:textbox style="mso-fit-shape-to-text:t" inset="0,0,0,0">
                <w:txbxContent>
                  <w:p>
                    <w:pPr>
                      <w:pStyle w:val="En-tteoupieddepage0"/>
                      <w:shd w:val="clear" w:color="auto" w:fill="auto"/>
                      <w:jc w:val="both"/>
                    </w:pPr>
                  </w:p>
                </w:txbxContent>
              </v:textbox>
              <w10:wrap anchorx="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sz w:val="2"/>
        <w:szCs w:val="2"/>
      </w:rPr>
    </w:pPr>
    <w:r>
      <w:rPr>
        <w:noProof/>
        <w:lang w:val="en-US"/>
      </w:rPr>
      <mc:AlternateContent>
        <mc:Choice Requires="wps">
          <w:drawing>
            <wp:anchor distT="63500" distB="63500" distL="63500" distR="63500" simplePos="0" relativeHeight="251681280" behindDoc="1" locked="0" layoutInCell="1" allowOverlap="1">
              <wp:simplePos x="0" y="0"/>
              <wp:positionH relativeFrom="page">
                <wp:posOffset>1203325</wp:posOffset>
              </wp:positionH>
              <wp:positionV relativeFrom="paragraph">
                <wp:posOffset>681355</wp:posOffset>
              </wp:positionV>
              <wp:extent cx="1046480" cy="153035"/>
              <wp:effectExtent l="0" t="0" r="13335" b="635"/>
              <wp:wrapNone/>
              <wp:docPr id="70"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648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En-tteoupieddepage0"/>
                            <w:shd w:val="clear" w:color="auto" w:fill="auto"/>
                            <w:jc w:val="both"/>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0" o:spid="_x0000_s1071" type="#_x0000_t202" style="position:absolute;margin-left:94.75pt;margin-top:53.65pt;width:82.4pt;height:12.05pt;z-index:-251635200;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" filled="f" stroked="f">
              <v:textbox style="mso-fit-shape-to-text:t" inset="0,0,0,0">
                <w:txbxContent>
                  <w:p>
                    <w:pPr>
                      <w:pStyle w:val="En-tteoupieddepage0"/>
                      <w:shd w:val="clear" w:color="auto" w:fill="auto"/>
                      <w:jc w:val="both"/>
                    </w:pPr>
                  </w:p>
                </w:txbxContent>
              </v:textbox>
              <w10:wrap anchorx="page"/>
            </v:shape>
          </w:pict>
        </mc:Fallback>
      </mc:AlternateContent>
    </w:r>
    <w:r>
      <w:rPr>
        <w:noProof/>
        <w:lang w:val="en-US"/>
      </w:rPr>
      <mc:AlternateContent>
        <mc:Choice Requires="wps">
          <w:drawing>
            <wp:anchor distT="63500" distB="63500" distL="63500" distR="63500" simplePos="0" relativeHeight="251682304" behindDoc="1" locked="0" layoutInCell="1" allowOverlap="1">
              <wp:simplePos x="0" y="0"/>
              <wp:positionH relativeFrom="page">
                <wp:posOffset>4693285</wp:posOffset>
              </wp:positionH>
              <wp:positionV relativeFrom="paragraph">
                <wp:posOffset>681355</wp:posOffset>
              </wp:positionV>
              <wp:extent cx="972185" cy="153035"/>
              <wp:effectExtent l="0" t="0" r="13335" b="635"/>
              <wp:wrapNone/>
              <wp:docPr id="71"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218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En-tteoupieddepage0"/>
                            <w:shd w:val="clear" w:color="auto" w:fill="auto"/>
                            <w:jc w:val="both"/>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1" o:spid="_x0000_s1072" type="#_x0000_t202" style="position:absolute;margin-left:369.55pt;margin-top:53.65pt;width:76.55pt;height:12.05pt;z-index:-251634176;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" filled="f" stroked="f">
              <v:textbox style="mso-fit-shape-to-text:t" inset="0,0,0,0">
                <w:txbxContent>
                  <w:p>
                    <w:pPr>
                      <w:pStyle w:val="En-tteoupieddepage0"/>
                      <w:shd w:val="clear" w:color="auto" w:fill="auto"/>
                      <w:jc w:val="both"/>
                    </w:pPr>
                  </w:p>
                </w:txbxContent>
              </v:textbox>
              <w10:wrap anchorx="page"/>
            </v:shape>
          </w:pict>
        </mc:Fallback>
      </mc:AlternateConten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sz w:val="2"/>
        <w:szCs w:val="2"/>
      </w:rPr>
    </w:pPr>
    <w:r>
      <w:rPr>
        <w:noProof/>
        <w:lang w:val="en-US"/>
      </w:rPr>
      <mc:AlternateContent>
        <mc:Choice Requires="wps">
          <w:drawing>
            <wp:anchor distT="63500" distB="63500" distL="63500" distR="63500" simplePos="0" relativeHeight="251637248" behindDoc="1" locked="0" layoutInCell="1" allowOverlap="1">
              <wp:simplePos x="0" y="0"/>
              <wp:positionH relativeFrom="page">
                <wp:posOffset>1203325</wp:posOffset>
              </wp:positionH>
              <wp:positionV relativeFrom="paragraph">
                <wp:posOffset>681355</wp:posOffset>
              </wp:positionV>
              <wp:extent cx="1046480" cy="153035"/>
              <wp:effectExtent l="0" t="0" r="13335" b="635"/>
              <wp:wrapNone/>
              <wp:docPr id="92"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648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En-tteoupieddepage0"/>
                            <w:shd w:val="clear" w:color="auto" w:fill="auto"/>
                            <w:jc w:val="both"/>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2" o:spid="_x0000_s1078" type="#_x0000_t202" style="position:absolute;margin-left:94.75pt;margin-top:53.65pt;width:82.4pt;height:12.05pt;z-index:-251679232;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" filled="f" stroked="f">
              <v:textbox style="mso-fit-shape-to-text:t" inset="0,0,0,0">
                <w:txbxContent>
                  <w:p>
                    <w:pPr>
                      <w:pStyle w:val="En-tteoupieddepage0"/>
                      <w:shd w:val="clear" w:color="auto" w:fill="auto"/>
                      <w:jc w:val="both"/>
                    </w:pPr>
                  </w:p>
                </w:txbxContent>
              </v:textbox>
              <w10:wrap anchorx="page"/>
            </v:shape>
          </w:pict>
        </mc:Fallback>
      </mc:AlternateContent>
    </w:r>
    <w:r>
      <w:rPr>
        <w:noProof/>
        <w:lang w:val="en-US"/>
      </w:rPr>
      <mc:AlternateContent>
        <mc:Choice Requires="wps">
          <w:drawing>
            <wp:anchor distT="63500" distB="63500" distL="63500" distR="63500" simplePos="0" relativeHeight="251639296" behindDoc="1" locked="0" layoutInCell="1" allowOverlap="1">
              <wp:simplePos x="0" y="0"/>
              <wp:positionH relativeFrom="page">
                <wp:posOffset>4693285</wp:posOffset>
              </wp:positionH>
              <wp:positionV relativeFrom="paragraph">
                <wp:posOffset>681355</wp:posOffset>
              </wp:positionV>
              <wp:extent cx="972185" cy="153035"/>
              <wp:effectExtent l="0" t="0" r="13335" b="635"/>
              <wp:wrapNone/>
              <wp:docPr id="93"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218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En-tteoupieddepage0"/>
                            <w:shd w:val="clear" w:color="auto" w:fill="auto"/>
                            <w:jc w:val="both"/>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3" o:spid="_x0000_s1079" type="#_x0000_t202" style="position:absolute;margin-left:369.55pt;margin-top:53.65pt;width:76.55pt;height:12.05pt;z-index:-251677184;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" filled="f" stroked="f">
              <v:textbox style="mso-fit-shape-to-text:t" inset="0,0,0,0">
                <w:txbxContent>
                  <w:p>
                    <w:pPr>
                      <w:pStyle w:val="En-tteoupieddepage0"/>
                      <w:shd w:val="clear" w:color="auto" w:fill="auto"/>
                      <w:jc w:val="both"/>
                    </w:pPr>
                  </w:p>
                </w:txbxContent>
              </v:textbox>
              <w10:wrap anchorx="page"/>
            </v:shape>
          </w:pict>
        </mc:Fallback>
      </mc:AlternateConten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sz w:val="2"/>
        <w:szCs w:val="2"/>
      </w:rPr>
    </w:pPr>
    <w:r>
      <w:rPr>
        <w:noProof/>
        <w:lang w:val="en-US"/>
      </w:rPr>
      <mc:AlternateContent>
        <mc:Choice Requires="wps">
          <w:drawing>
            <wp:anchor distT="63500" distB="63500" distL="63500" distR="63500" simplePos="0" relativeHeight="251628032" behindDoc="1" locked="0" layoutInCell="1" allowOverlap="1">
              <wp:simplePos x="0" y="0"/>
              <wp:positionH relativeFrom="page">
                <wp:posOffset>1203325</wp:posOffset>
              </wp:positionH>
              <wp:positionV relativeFrom="paragraph">
                <wp:posOffset>681355</wp:posOffset>
              </wp:positionV>
              <wp:extent cx="1046480" cy="153035"/>
              <wp:effectExtent l="0" t="0" r="13335" b="635"/>
              <wp:wrapNone/>
              <wp:docPr id="87"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648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En-tteoupieddepage0"/>
                            <w:shd w:val="clear" w:color="auto" w:fill="auto"/>
                            <w:jc w:val="both"/>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7" o:spid="_x0000_s1026" type="#_x0000_t202" style="position:absolute;margin-left:94.75pt;margin-top:53.65pt;width:82.4pt;height:12.05pt;z-index:-251688448;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" filled="f" stroked="f">
              <v:textbox style="mso-fit-shape-to-text:t" inset="0,0,0,0">
                <w:txbxContent>
                  <w:p>
                    <w:pPr>
                      <w:pStyle w:val="En-tteoupieddepage0"/>
                      <w:shd w:val="clear" w:color="auto" w:fill="auto"/>
                      <w:jc w:val="both"/>
                    </w:pPr>
                  </w:p>
                </w:txbxContent>
              </v:textbox>
              <w10:wrap anchorx="page"/>
            </v:shape>
          </w:pict>
        </mc:Fallback>
      </mc:AlternateContent>
    </w:r>
    <w:r>
      <w:rPr>
        <w:noProof/>
        <w:lang w:val="en-US"/>
      </w:rPr>
      <mc:AlternateContent>
        <mc:Choice Requires="wps">
          <w:drawing>
            <wp:anchor distT="63500" distB="63500" distL="63500" distR="63500" simplePos="0" relativeHeight="251629056" behindDoc="1" locked="0" layoutInCell="1" allowOverlap="1">
              <wp:simplePos x="0" y="0"/>
              <wp:positionH relativeFrom="page">
                <wp:posOffset>4693285</wp:posOffset>
              </wp:positionH>
              <wp:positionV relativeFrom="paragraph">
                <wp:posOffset>681355</wp:posOffset>
              </wp:positionV>
              <wp:extent cx="972185" cy="153035"/>
              <wp:effectExtent l="0" t="0" r="13335" b="635"/>
              <wp:wrapNone/>
              <wp:docPr id="86"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218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En-tteoupieddepage0"/>
                            <w:shd w:val="clear" w:color="auto" w:fill="auto"/>
                            <w:jc w:val="both"/>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6" o:spid="_x0000_s1027" type="#_x0000_t202" style="position:absolute;margin-left:369.55pt;margin-top:53.65pt;width:76.55pt;height:12.05pt;z-index:-251687424;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" filled="f" stroked="f">
              <v:textbox style="mso-fit-shape-to-text:t" inset="0,0,0,0">
                <w:txbxContent>
                  <w:p>
                    <w:pPr>
                      <w:pStyle w:val="En-tteoupieddepage0"/>
                      <w:shd w:val="clear" w:color="auto" w:fill="auto"/>
                      <w:jc w:val="both"/>
                    </w:pPr>
                  </w:p>
                </w:txbxContent>
              </v:textbox>
              <w10:wrap anchorx="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sz w:val="2"/>
        <w:szCs w:val="2"/>
      </w:rPr>
    </w:pPr>
    <w:r>
      <w:rPr>
        <w:noProof/>
        <w:lang w:val="en-US"/>
      </w:rPr>
      <mc:AlternateContent>
        <mc:Choice Requires="wps">
          <w:drawing>
            <wp:anchor distT="63500" distB="63500" distL="63500" distR="63500" simplePos="0" relativeHeight="251633152" behindDoc="1" locked="0" layoutInCell="1" allowOverlap="1">
              <wp:simplePos x="0" y="0"/>
              <wp:positionH relativeFrom="page">
                <wp:posOffset>4740910</wp:posOffset>
              </wp:positionH>
              <wp:positionV relativeFrom="paragraph">
                <wp:posOffset>696595</wp:posOffset>
              </wp:positionV>
              <wp:extent cx="972185" cy="153035"/>
              <wp:effectExtent l="0" t="0" r="13335" b="635"/>
              <wp:wrapNone/>
              <wp:docPr id="76"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218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En-tteoupieddepage0"/>
                            <w:shd w:val="clear" w:color="auto" w:fill="auto"/>
                            <w:jc w:val="both"/>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6" o:spid="_x0000_s1031" type="#_x0000_t202" style="position:absolute;margin-left:373.3pt;margin-top:54.85pt;width:76.55pt;height:12.05pt;z-index:-251683328;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" filled="f" stroked="f">
              <v:textbox style="mso-fit-shape-to-text:t" inset="0,0,0,0">
                <w:txbxContent>
                  <w:p>
                    <w:pPr>
                      <w:pStyle w:val="En-tteoupieddepage0"/>
                      <w:shd w:val="clear" w:color="auto" w:fill="auto"/>
                      <w:jc w:val="both"/>
                    </w:pPr>
                  </w:p>
                </w:txbxContent>
              </v:textbox>
              <w10:wrap anchorx="page"/>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sz w:val="2"/>
        <w:szCs w:val="2"/>
      </w:rPr>
    </w:pPr>
    <w:r>
      <w:rPr>
        <w:noProof/>
        <w:lang w:val="en-US"/>
      </w:rPr>
      <mc:AlternateContent>
        <mc:Choice Requires="wps">
          <w:drawing>
            <wp:anchor distT="63500" distB="63500" distL="63500" distR="63500" simplePos="0" relativeHeight="251638272" behindDoc="1" locked="0" layoutInCell="1" allowOverlap="1">
              <wp:simplePos x="0" y="0"/>
              <wp:positionH relativeFrom="page">
                <wp:posOffset>1203325</wp:posOffset>
              </wp:positionH>
              <wp:positionV relativeFrom="paragraph">
                <wp:posOffset>681355</wp:posOffset>
              </wp:positionV>
              <wp:extent cx="1046480" cy="153035"/>
              <wp:effectExtent l="0" t="0" r="13335" b="6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648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En-tteoupieddepage0"/>
                            <w:shd w:val="clear" w:color="auto" w:fill="auto"/>
                            <w:jc w:val="both"/>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4" type="#_x0000_t202" style="position:absolute;margin-left:94.75pt;margin-top:53.65pt;width:82.4pt;height:12.05pt;z-index:-251678208;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" filled="f" stroked="f">
              <v:textbox style="mso-fit-shape-to-text:t" inset="0,0,0,0">
                <w:txbxContent>
                  <w:p>
                    <w:pPr>
                      <w:pStyle w:val="En-tteoupieddepage0"/>
                      <w:shd w:val="clear" w:color="auto" w:fill="auto"/>
                      <w:jc w:val="both"/>
                    </w:pPr>
                  </w:p>
                </w:txbxContent>
              </v:textbox>
              <w10:wrap anchorx="page"/>
            </v:shape>
          </w:pict>
        </mc:Fallback>
      </mc:AlternateContent>
    </w:r>
    <w:r>
      <w:rPr>
        <w:noProof/>
        <w:lang w:val="en-US"/>
      </w:rPr>
      <mc:AlternateContent>
        <mc:Choice Requires="wps">
          <w:drawing>
            <wp:anchor distT="63500" distB="63500" distL="63500" distR="63500" simplePos="0" relativeHeight="251640320" behindDoc="1" locked="0" layoutInCell="1" allowOverlap="1">
              <wp:simplePos x="0" y="0"/>
              <wp:positionH relativeFrom="page">
                <wp:posOffset>4693285</wp:posOffset>
              </wp:positionH>
              <wp:positionV relativeFrom="paragraph">
                <wp:posOffset>681355</wp:posOffset>
              </wp:positionV>
              <wp:extent cx="972185" cy="153035"/>
              <wp:effectExtent l="0" t="0" r="13335" b="63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218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En-tteoupieddepage0"/>
                            <w:shd w:val="clear" w:color="auto" w:fill="auto"/>
                            <w:jc w:val="both"/>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 o:spid="_x0000_s1035" type="#_x0000_t202" style="position:absolute;margin-left:369.55pt;margin-top:53.65pt;width:76.55pt;height:12.05pt;z-index:-251676160;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" filled="f" stroked="f">
              <v:textbox style="mso-fit-shape-to-text:t" inset="0,0,0,0">
                <w:txbxContent>
                  <w:p>
                    <w:pPr>
                      <w:pStyle w:val="En-tteoupieddepage0"/>
                      <w:shd w:val="clear" w:color="auto" w:fill="auto"/>
                      <w:jc w:val="both"/>
                    </w:pPr>
                  </w:p>
                </w:txbxContent>
              </v:textbox>
              <w10:wrap anchorx="page"/>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sz w:val="2"/>
        <w:szCs w:val="2"/>
      </w:rPr>
    </w:pPr>
    <w:r>
      <w:rPr>
        <w:noProof/>
        <w:lang w:val="en-US"/>
      </w:rPr>
      <mc:AlternateContent>
        <mc:Choice Requires="wps">
          <w:drawing>
            <wp:anchor distT="63500" distB="63500" distL="63500" distR="63500" simplePos="0" relativeHeight="251636224" behindDoc="1" locked="0" layoutInCell="1" allowOverlap="1">
              <wp:simplePos x="0" y="0"/>
              <wp:positionH relativeFrom="page">
                <wp:posOffset>4740910</wp:posOffset>
              </wp:positionH>
              <wp:positionV relativeFrom="paragraph">
                <wp:posOffset>696595</wp:posOffset>
              </wp:positionV>
              <wp:extent cx="972185" cy="153035"/>
              <wp:effectExtent l="0" t="0" r="13335"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218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En-tteoupieddepage0"/>
                            <w:shd w:val="clear" w:color="auto" w:fill="auto"/>
                            <w:jc w:val="both"/>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9" type="#_x0000_t202" style="position:absolute;margin-left:373.3pt;margin-top:54.85pt;width:76.55pt;height:12.05pt;z-index:-251680256;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" filled="f" stroked="f">
              <v:textbox style="mso-fit-shape-to-text:t" inset="0,0,0,0">
                <w:txbxContent>
                  <w:p>
                    <w:pPr>
                      <w:pStyle w:val="En-tteoupieddepage0"/>
                      <w:shd w:val="clear" w:color="auto" w:fill="auto"/>
                      <w:jc w:val="both"/>
                    </w:pPr>
                  </w:p>
                </w:txbxContent>
              </v:textbox>
              <w10:wrap anchorx="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03A295E4"/>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0375596E"/>
    <w:multiLevelType w:val="hybridMultilevel"/>
    <w:tmpl w:val="4B0C8B98"/>
    <w:lvl w:ilvl="0" w:tplc="85BE55C8">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
    <w:nsid w:val="0AEB7AD8"/>
    <w:multiLevelType w:val="hybridMultilevel"/>
    <w:tmpl w:val="F078D5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0BD52520"/>
    <w:multiLevelType w:val="singleLevel"/>
    <w:tmpl w:val="C8D4FE30"/>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4">
    <w:nsid w:val="0F212747"/>
    <w:multiLevelType w:val="multilevel"/>
    <w:tmpl w:val="45206176"/>
    <w:name w:val="Point"/>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106770DF"/>
    <w:multiLevelType w:val="hybridMultilevel"/>
    <w:tmpl w:val="B87024F8"/>
    <w:lvl w:ilvl="0" w:tplc="0809000F">
      <w:start w:val="1"/>
      <w:numFmt w:val="decimal"/>
      <w:pStyle w:val="Text2"/>
      <w:lvlText w:val="%1."/>
      <w:lvlJc w:val="left"/>
      <w:pPr>
        <w:tabs>
          <w:tab w:val="num" w:pos="360"/>
        </w:tabs>
        <w:ind w:left="360" w:hanging="360"/>
      </w:pPr>
      <w:rPr>
        <w:rFonts w:hint="default"/>
      </w:rPr>
    </w:lvl>
    <w:lvl w:ilvl="1" w:tplc="7E4CAE66">
      <w:start w:val="1"/>
      <w:numFmt w:val="lowerLetter"/>
      <w:lvlText w:val="(%2)"/>
      <w:lvlJc w:val="left"/>
      <w:pPr>
        <w:tabs>
          <w:tab w:val="num" w:pos="1080"/>
        </w:tabs>
        <w:ind w:left="1080" w:hanging="360"/>
      </w:pPr>
      <w:rPr>
        <w:rFonts w:hint="default"/>
      </w:rPr>
    </w:lvl>
    <w:lvl w:ilvl="2" w:tplc="0809001B">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nsid w:val="1168696A"/>
    <w:multiLevelType w:val="hybridMultilevel"/>
    <w:tmpl w:val="44FE390C"/>
    <w:lvl w:ilvl="0" w:tplc="04190019">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3C77850"/>
    <w:multiLevelType w:val="hybridMultilevel"/>
    <w:tmpl w:val="C2D84C4A"/>
    <w:lvl w:ilvl="0" w:tplc="A01E42CE">
      <w:start w:val="1"/>
      <w:numFmt w:val="lowerRoman"/>
      <w:lvlText w:val="(%1)"/>
      <w:lvlJc w:val="left"/>
      <w:pPr>
        <w:tabs>
          <w:tab w:val="num" w:pos="720"/>
        </w:tabs>
        <w:ind w:left="720" w:hanging="720"/>
      </w:pPr>
      <w:rPr>
        <w:rFonts w:hint="default"/>
      </w:rPr>
    </w:lvl>
    <w:lvl w:ilvl="1" w:tplc="08090001">
      <w:start w:val="1"/>
      <w:numFmt w:val="bullet"/>
      <w:lvlText w:val=""/>
      <w:lvlJc w:val="left"/>
      <w:pPr>
        <w:tabs>
          <w:tab w:val="num" w:pos="1080"/>
        </w:tabs>
        <w:ind w:left="1080" w:hanging="360"/>
      </w:pPr>
      <w:rPr>
        <w:rFonts w:ascii="Symbol" w:hAnsi="Symbol" w:hint="default"/>
      </w:rPr>
    </w:lvl>
    <w:lvl w:ilvl="2" w:tplc="7D28DE60">
      <w:start w:val="1"/>
      <w:numFmt w:val="bullet"/>
      <w:lvlText w:val="–"/>
      <w:lvlJc w:val="left"/>
      <w:pPr>
        <w:tabs>
          <w:tab w:val="num" w:pos="1980"/>
        </w:tabs>
        <w:ind w:left="1980" w:hanging="360"/>
      </w:pPr>
      <w:rPr>
        <w:rFonts w:ascii="Times New Roman" w:hAnsi="Times New Roman" w:cs="Times New Roman" w:hint="default"/>
      </w:r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8">
    <w:nsid w:val="158C586D"/>
    <w:multiLevelType w:val="hybridMultilevel"/>
    <w:tmpl w:val="4E86F78A"/>
    <w:styleLink w:val="ImportedStyle1"/>
    <w:lvl w:ilvl="0" w:tplc="F9EC7D6C">
      <w:start w:val="1"/>
      <w:numFmt w:val="lowerLetter"/>
      <w:lvlText w:val="(%1)"/>
      <w:lvlJc w:val="left"/>
      <w:pPr>
        <w:ind w:left="1250" w:hanging="540"/>
      </w:pPr>
      <w:rPr>
        <w:rFonts w:hAnsi="Arial Unicode MS"/>
        <w:b/>
        <w:bCs/>
        <w:caps w:val="0"/>
        <w:smallCaps w:val="0"/>
        <w:strike w:val="0"/>
        <w:dstrike w:val="0"/>
        <w:outline w:val="0"/>
        <w:emboss w:val="0"/>
        <w:imprint w:val="0"/>
        <w:spacing w:val="0"/>
        <w:w w:val="100"/>
        <w:kern w:val="0"/>
        <w:position w:val="0"/>
        <w:highlight w:val="none"/>
        <w:vertAlign w:val="baseline"/>
      </w:rPr>
    </w:lvl>
    <w:lvl w:ilvl="1" w:tplc="125E13FA">
      <w:start w:val="1"/>
      <w:numFmt w:val="lowerLetter"/>
      <w:lvlText w:val="%2."/>
      <w:lvlJc w:val="left"/>
      <w:pPr>
        <w:ind w:left="2160" w:hanging="590"/>
      </w:pPr>
      <w:rPr>
        <w:rFonts w:hAnsi="Arial Unicode MS"/>
        <w:b/>
        <w:bCs/>
        <w:caps w:val="0"/>
        <w:smallCaps w:val="0"/>
        <w:strike w:val="0"/>
        <w:dstrike w:val="0"/>
        <w:outline w:val="0"/>
        <w:emboss w:val="0"/>
        <w:imprint w:val="0"/>
        <w:spacing w:val="0"/>
        <w:w w:val="100"/>
        <w:kern w:val="0"/>
        <w:position w:val="0"/>
        <w:highlight w:val="none"/>
        <w:vertAlign w:val="baseline"/>
      </w:rPr>
    </w:lvl>
    <w:lvl w:ilvl="2" w:tplc="BAD06892">
      <w:start w:val="1"/>
      <w:numFmt w:val="lowerRoman"/>
      <w:lvlText w:val="%3."/>
      <w:lvlJc w:val="left"/>
      <w:pPr>
        <w:ind w:left="2880" w:hanging="515"/>
      </w:pPr>
      <w:rPr>
        <w:rFonts w:hAnsi="Arial Unicode MS"/>
        <w:b/>
        <w:bCs/>
        <w:caps w:val="0"/>
        <w:smallCaps w:val="0"/>
        <w:strike w:val="0"/>
        <w:dstrike w:val="0"/>
        <w:outline w:val="0"/>
        <w:emboss w:val="0"/>
        <w:imprint w:val="0"/>
        <w:spacing w:val="0"/>
        <w:w w:val="100"/>
        <w:kern w:val="0"/>
        <w:position w:val="0"/>
        <w:highlight w:val="none"/>
        <w:vertAlign w:val="baseline"/>
      </w:rPr>
    </w:lvl>
    <w:lvl w:ilvl="3" w:tplc="2A30E382">
      <w:start w:val="1"/>
      <w:numFmt w:val="decimal"/>
      <w:lvlText w:val="%4."/>
      <w:lvlJc w:val="left"/>
      <w:pPr>
        <w:ind w:left="3600" w:hanging="590"/>
      </w:pPr>
      <w:rPr>
        <w:rFonts w:hAnsi="Arial Unicode MS"/>
        <w:b/>
        <w:bCs/>
        <w:caps w:val="0"/>
        <w:smallCaps w:val="0"/>
        <w:strike w:val="0"/>
        <w:dstrike w:val="0"/>
        <w:outline w:val="0"/>
        <w:emboss w:val="0"/>
        <w:imprint w:val="0"/>
        <w:spacing w:val="0"/>
        <w:w w:val="100"/>
        <w:kern w:val="0"/>
        <w:position w:val="0"/>
        <w:highlight w:val="none"/>
        <w:vertAlign w:val="baseline"/>
      </w:rPr>
    </w:lvl>
    <w:lvl w:ilvl="4" w:tplc="80606F0A">
      <w:start w:val="1"/>
      <w:numFmt w:val="lowerLetter"/>
      <w:lvlText w:val="%5."/>
      <w:lvlJc w:val="left"/>
      <w:pPr>
        <w:ind w:left="4320" w:hanging="590"/>
      </w:pPr>
      <w:rPr>
        <w:rFonts w:hAnsi="Arial Unicode MS"/>
        <w:b/>
        <w:bCs/>
        <w:caps w:val="0"/>
        <w:smallCaps w:val="0"/>
        <w:strike w:val="0"/>
        <w:dstrike w:val="0"/>
        <w:outline w:val="0"/>
        <w:emboss w:val="0"/>
        <w:imprint w:val="0"/>
        <w:spacing w:val="0"/>
        <w:w w:val="100"/>
        <w:kern w:val="0"/>
        <w:position w:val="0"/>
        <w:highlight w:val="none"/>
        <w:vertAlign w:val="baseline"/>
      </w:rPr>
    </w:lvl>
    <w:lvl w:ilvl="5" w:tplc="658C2BA6">
      <w:start w:val="1"/>
      <w:numFmt w:val="lowerRoman"/>
      <w:lvlText w:val="%6."/>
      <w:lvlJc w:val="left"/>
      <w:pPr>
        <w:ind w:left="5040" w:hanging="515"/>
      </w:pPr>
      <w:rPr>
        <w:rFonts w:hAnsi="Arial Unicode MS"/>
        <w:b/>
        <w:bCs/>
        <w:caps w:val="0"/>
        <w:smallCaps w:val="0"/>
        <w:strike w:val="0"/>
        <w:dstrike w:val="0"/>
        <w:outline w:val="0"/>
        <w:emboss w:val="0"/>
        <w:imprint w:val="0"/>
        <w:spacing w:val="0"/>
        <w:w w:val="100"/>
        <w:kern w:val="0"/>
        <w:position w:val="0"/>
        <w:highlight w:val="none"/>
        <w:vertAlign w:val="baseline"/>
      </w:rPr>
    </w:lvl>
    <w:lvl w:ilvl="6" w:tplc="EF622988">
      <w:start w:val="1"/>
      <w:numFmt w:val="decimal"/>
      <w:lvlText w:val="%7."/>
      <w:lvlJc w:val="left"/>
      <w:pPr>
        <w:ind w:left="5760" w:hanging="590"/>
      </w:pPr>
      <w:rPr>
        <w:rFonts w:hAnsi="Arial Unicode MS"/>
        <w:b/>
        <w:bCs/>
        <w:caps w:val="0"/>
        <w:smallCaps w:val="0"/>
        <w:strike w:val="0"/>
        <w:dstrike w:val="0"/>
        <w:outline w:val="0"/>
        <w:emboss w:val="0"/>
        <w:imprint w:val="0"/>
        <w:spacing w:val="0"/>
        <w:w w:val="100"/>
        <w:kern w:val="0"/>
        <w:position w:val="0"/>
        <w:highlight w:val="none"/>
        <w:vertAlign w:val="baseline"/>
      </w:rPr>
    </w:lvl>
    <w:lvl w:ilvl="7" w:tplc="BCD487B2">
      <w:start w:val="1"/>
      <w:numFmt w:val="lowerLetter"/>
      <w:lvlText w:val="%8."/>
      <w:lvlJc w:val="left"/>
      <w:pPr>
        <w:ind w:left="6480" w:hanging="590"/>
      </w:pPr>
      <w:rPr>
        <w:rFonts w:hAnsi="Arial Unicode MS"/>
        <w:b/>
        <w:bCs/>
        <w:caps w:val="0"/>
        <w:smallCaps w:val="0"/>
        <w:strike w:val="0"/>
        <w:dstrike w:val="0"/>
        <w:outline w:val="0"/>
        <w:emboss w:val="0"/>
        <w:imprint w:val="0"/>
        <w:spacing w:val="0"/>
        <w:w w:val="100"/>
        <w:kern w:val="0"/>
        <w:position w:val="0"/>
        <w:highlight w:val="none"/>
        <w:vertAlign w:val="baseline"/>
      </w:rPr>
    </w:lvl>
    <w:lvl w:ilvl="8" w:tplc="3D9A8F04">
      <w:start w:val="1"/>
      <w:numFmt w:val="lowerRoman"/>
      <w:lvlText w:val="%9."/>
      <w:lvlJc w:val="left"/>
      <w:pPr>
        <w:ind w:left="7200" w:hanging="515"/>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9">
    <w:nsid w:val="1888583D"/>
    <w:multiLevelType w:val="multilevel"/>
    <w:tmpl w:val="E36C4E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DB02CCE"/>
    <w:multiLevelType w:val="multilevel"/>
    <w:tmpl w:val="FE7438F8"/>
    <w:name w:val="List Dash"/>
    <w:lvl w:ilvl="0">
      <w:start w:val="1"/>
      <w:numFmt w:val="decimal"/>
      <w:lvlRestart w:val="0"/>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nsid w:val="1DE624AC"/>
    <w:multiLevelType w:val="hybridMultilevel"/>
    <w:tmpl w:val="106A34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nsid w:val="20576EB9"/>
    <w:multiLevelType w:val="hybridMultilevel"/>
    <w:tmpl w:val="4F0E517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14C21A3"/>
    <w:multiLevelType w:val="hybridMultilevel"/>
    <w:tmpl w:val="A1D615A0"/>
    <w:lvl w:ilvl="0" w:tplc="FA0646C6">
      <w:start w:val="1"/>
      <w:numFmt w:val="upperLetter"/>
      <w:pStyle w:val="Pealkiri2"/>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7145BA6"/>
    <w:multiLevelType w:val="multilevel"/>
    <w:tmpl w:val="740676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s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8BA3236"/>
    <w:multiLevelType w:val="hybridMultilevel"/>
    <w:tmpl w:val="DA3EFB3E"/>
    <w:lvl w:ilvl="0" w:tplc="08090011">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A8862E2"/>
    <w:multiLevelType w:val="hybridMultilevel"/>
    <w:tmpl w:val="A752855A"/>
    <w:lvl w:ilvl="0" w:tplc="E0B41D1A">
      <w:start w:val="1"/>
      <w:numFmt w:val="bullet"/>
      <w:lvlText w:val="–"/>
      <w:lvlJc w:val="left"/>
      <w:pPr>
        <w:ind w:left="360" w:hanging="360"/>
      </w:pPr>
      <w:rPr>
        <w:rFonts w:ascii="Calibri" w:hAnsi="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2F076C74"/>
    <w:multiLevelType w:val="multilevel"/>
    <w:tmpl w:val="FE4C4ABE"/>
    <w:lvl w:ilvl="0">
      <w:start w:val="1"/>
      <w:numFmt w:val="decimal"/>
      <w:lvlRestart w:val="0"/>
      <w:pStyle w:val="Point0number"/>
      <w:lvlText w:val="(%1)"/>
      <w:lvlJc w:val="left"/>
      <w:pPr>
        <w:tabs>
          <w:tab w:val="num" w:pos="850"/>
        </w:tabs>
        <w:ind w:left="850" w:hanging="850"/>
      </w:pPr>
      <w:rPr>
        <w:rFonts w:hint="default"/>
      </w:rPr>
    </w:lvl>
    <w:lvl w:ilvl="1">
      <w:start w:val="1"/>
      <w:numFmt w:val="lowerLetter"/>
      <w:pStyle w:val="Point0number"/>
      <w:lvlText w:val="(%2)"/>
      <w:lvlJc w:val="left"/>
      <w:pPr>
        <w:tabs>
          <w:tab w:val="num" w:pos="850"/>
        </w:tabs>
        <w:ind w:left="850" w:hanging="850"/>
      </w:pPr>
      <w:rPr>
        <w:rFonts w:hint="default"/>
      </w:rPr>
    </w:lvl>
    <w:lvl w:ilvl="2">
      <w:start w:val="1"/>
      <w:numFmt w:val="decimal"/>
      <w:pStyle w:val="Point1number"/>
      <w:lvlText w:val="(%3)"/>
      <w:lvlJc w:val="left"/>
      <w:pPr>
        <w:tabs>
          <w:tab w:val="num" w:pos="1417"/>
        </w:tabs>
        <w:ind w:left="1417" w:hanging="567"/>
      </w:pPr>
      <w:rPr>
        <w:rFonts w:hint="default"/>
      </w:rPr>
    </w:lvl>
    <w:lvl w:ilvl="3">
      <w:start w:val="1"/>
      <w:numFmt w:val="lowerLetter"/>
      <w:pStyle w:val="Point1number"/>
      <w:lvlText w:val="(%4)"/>
      <w:lvlJc w:val="left"/>
      <w:pPr>
        <w:tabs>
          <w:tab w:val="num" w:pos="1417"/>
        </w:tabs>
        <w:ind w:left="1417" w:hanging="567"/>
      </w:pPr>
      <w:rPr>
        <w:rFonts w:hint="default"/>
      </w:rPr>
    </w:lvl>
    <w:lvl w:ilvl="4">
      <w:start w:val="1"/>
      <w:numFmt w:val="decimal"/>
      <w:pStyle w:val="Point2number"/>
      <w:lvlText w:val="(%5)"/>
      <w:lvlJc w:val="left"/>
      <w:pPr>
        <w:tabs>
          <w:tab w:val="num" w:pos="1984"/>
        </w:tabs>
        <w:ind w:left="1984" w:hanging="567"/>
      </w:pPr>
      <w:rPr>
        <w:rFonts w:hint="default"/>
      </w:rPr>
    </w:lvl>
    <w:lvl w:ilvl="5">
      <w:start w:val="1"/>
      <w:numFmt w:val="lowerRoman"/>
      <w:pStyle w:val="Point2number"/>
      <w:lvlText w:val="(%6)"/>
      <w:lvlJc w:val="left"/>
      <w:pPr>
        <w:tabs>
          <w:tab w:val="num" w:pos="1984"/>
        </w:tabs>
        <w:ind w:left="1984" w:hanging="567"/>
      </w:pPr>
      <w:rPr>
        <w:rFonts w:hint="default"/>
      </w:rPr>
    </w:lvl>
    <w:lvl w:ilvl="6">
      <w:start w:val="1"/>
      <w:numFmt w:val="decimal"/>
      <w:pStyle w:val="Point3number"/>
      <w:lvlText w:val="(%7)"/>
      <w:lvlJc w:val="left"/>
      <w:pPr>
        <w:tabs>
          <w:tab w:val="num" w:pos="2551"/>
        </w:tabs>
        <w:ind w:left="2551" w:hanging="567"/>
      </w:pPr>
      <w:rPr>
        <w:rFonts w:hint="default"/>
      </w:rPr>
    </w:lvl>
    <w:lvl w:ilvl="7">
      <w:start w:val="1"/>
      <w:numFmt w:val="decimal"/>
      <w:pStyle w:val="Point3number"/>
      <w:lvlText w:val="(%8)"/>
      <w:lvlJc w:val="left"/>
      <w:pPr>
        <w:tabs>
          <w:tab w:val="num" w:pos="2551"/>
        </w:tabs>
        <w:ind w:left="2551" w:hanging="567"/>
      </w:pPr>
      <w:rPr>
        <w:rFonts w:hint="default"/>
      </w:rPr>
    </w:lvl>
    <w:lvl w:ilvl="8">
      <w:start w:val="1"/>
      <w:numFmt w:val="lowerLetter"/>
      <w:lvlText w:val="(%9)"/>
      <w:lvlJc w:val="left"/>
      <w:pPr>
        <w:tabs>
          <w:tab w:val="num" w:pos="3118"/>
        </w:tabs>
        <w:ind w:left="3118" w:hanging="567"/>
      </w:pPr>
      <w:rPr>
        <w:rFonts w:hint="default"/>
      </w:rPr>
    </w:lvl>
  </w:abstractNum>
  <w:abstractNum w:abstractNumId="18">
    <w:nsid w:val="36E35564"/>
    <w:multiLevelType w:val="hybridMultilevel"/>
    <w:tmpl w:val="AB988648"/>
    <w:lvl w:ilvl="0" w:tplc="0809000F">
      <w:start w:val="1"/>
      <w:numFmt w:val="decimal"/>
      <w:lvlText w:val="%1."/>
      <w:lvlJc w:val="left"/>
      <w:pPr>
        <w:tabs>
          <w:tab w:val="num" w:pos="360"/>
        </w:tabs>
        <w:ind w:left="360" w:hanging="360"/>
      </w:pPr>
      <w:rPr>
        <w:rFonts w:hint="default"/>
      </w:rPr>
    </w:lvl>
    <w:lvl w:ilvl="1" w:tplc="A0322E40">
      <w:start w:val="1"/>
      <w:numFmt w:val="lowerLetter"/>
      <w:lvlText w:val="(%2)"/>
      <w:lvlJc w:val="left"/>
      <w:pPr>
        <w:tabs>
          <w:tab w:val="num" w:pos="1080"/>
        </w:tabs>
        <w:ind w:left="1080" w:hanging="360"/>
      </w:pPr>
      <w:rPr>
        <w:rFonts w:hint="default"/>
      </w:rPr>
    </w:lvl>
    <w:lvl w:ilvl="2" w:tplc="0809001B">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9">
    <w:nsid w:val="43E62384"/>
    <w:multiLevelType w:val="hybridMultilevel"/>
    <w:tmpl w:val="4E86F78A"/>
    <w:lvl w:ilvl="0" w:tplc="4F1EA5DE">
      <w:numFmt w:val="decimal"/>
      <w:lvlText w:val=""/>
      <w:lvlJc w:val="left"/>
    </w:lvl>
    <w:lvl w:ilvl="1" w:tplc="E4760242">
      <w:numFmt w:val="decimal"/>
      <w:lvlText w:val=""/>
      <w:lvlJc w:val="left"/>
    </w:lvl>
    <w:lvl w:ilvl="2" w:tplc="F95251F6">
      <w:numFmt w:val="decimal"/>
      <w:lvlText w:val=""/>
      <w:lvlJc w:val="left"/>
    </w:lvl>
    <w:lvl w:ilvl="3" w:tplc="DC7CFE8C">
      <w:numFmt w:val="decimal"/>
      <w:lvlText w:val=""/>
      <w:lvlJc w:val="left"/>
    </w:lvl>
    <w:lvl w:ilvl="4" w:tplc="D59C56B4">
      <w:numFmt w:val="decimal"/>
      <w:lvlText w:val=""/>
      <w:lvlJc w:val="left"/>
    </w:lvl>
    <w:lvl w:ilvl="5" w:tplc="AA6EBAE2">
      <w:numFmt w:val="decimal"/>
      <w:lvlText w:val=""/>
      <w:lvlJc w:val="left"/>
    </w:lvl>
    <w:lvl w:ilvl="6" w:tplc="F364CE1C">
      <w:numFmt w:val="decimal"/>
      <w:lvlText w:val=""/>
      <w:lvlJc w:val="left"/>
    </w:lvl>
    <w:lvl w:ilvl="7" w:tplc="A7B0A504">
      <w:numFmt w:val="decimal"/>
      <w:lvlText w:val=""/>
      <w:lvlJc w:val="left"/>
    </w:lvl>
    <w:lvl w:ilvl="8" w:tplc="FAC63002">
      <w:numFmt w:val="decimal"/>
      <w:lvlText w:val=""/>
      <w:lvlJc w:val="left"/>
    </w:lvl>
  </w:abstractNum>
  <w:abstractNum w:abstractNumId="20">
    <w:nsid w:val="46A563F1"/>
    <w:multiLevelType w:val="hybridMultilevel"/>
    <w:tmpl w:val="CF92D366"/>
    <w:lvl w:ilvl="0" w:tplc="FFFFFFFF">
      <w:start w:val="1"/>
      <w:numFmt w:val="decimal"/>
      <w:lvlText w:val="%1."/>
      <w:lvlJc w:val="left"/>
      <w:pPr>
        <w:tabs>
          <w:tab w:val="num" w:pos="720"/>
        </w:tabs>
        <w:ind w:left="720" w:hanging="360"/>
      </w:pPr>
    </w:lvl>
    <w:lvl w:ilvl="1" w:tplc="DFE840B6">
      <w:start w:val="1"/>
      <w:numFmt w:val="lowerLetter"/>
      <w:lvlText w:val="(%2)"/>
      <w:lvlJc w:val="left"/>
      <w:pPr>
        <w:tabs>
          <w:tab w:val="num" w:pos="1440"/>
        </w:tabs>
        <w:ind w:left="1440" w:hanging="360"/>
      </w:pPr>
      <w:rPr>
        <w:rFonts w:hint="eastAsia"/>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nsid w:val="48024366"/>
    <w:multiLevelType w:val="hybridMultilevel"/>
    <w:tmpl w:val="F2BCC8C0"/>
    <w:lvl w:ilvl="0" w:tplc="20861C34">
      <w:numFmt w:val="bullet"/>
      <w:lvlText w:val="-"/>
      <w:lvlJc w:val="left"/>
      <w:pPr>
        <w:ind w:left="720" w:hanging="360"/>
      </w:pPr>
      <w:rPr>
        <w:rFonts w:ascii="Courier New" w:eastAsia="Calibri"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8E66C31"/>
    <w:multiLevelType w:val="hybridMultilevel"/>
    <w:tmpl w:val="AE22D29E"/>
    <w:lvl w:ilvl="0" w:tplc="9836E84E">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4D2D74EB"/>
    <w:multiLevelType w:val="hybridMultilevel"/>
    <w:tmpl w:val="3C18F798"/>
    <w:styleLink w:val="ImportedStyle3"/>
    <w:lvl w:ilvl="0" w:tplc="373C46F2">
      <w:start w:val="1"/>
      <w:numFmt w:val="lowerLetter"/>
      <w:lvlText w:val="(%1)"/>
      <w:lvlJc w:val="left"/>
      <w:pPr>
        <w:tabs>
          <w:tab w:val="left" w:pos="360"/>
        </w:tabs>
        <w:ind w:left="791" w:hanging="142"/>
      </w:pPr>
      <w:rPr>
        <w:rFonts w:hAnsi="Arial Unicode MS"/>
        <w:caps w:val="0"/>
        <w:smallCaps w:val="0"/>
        <w:strike w:val="0"/>
        <w:dstrike w:val="0"/>
        <w:outline w:val="0"/>
        <w:emboss w:val="0"/>
        <w:imprint w:val="0"/>
        <w:spacing w:val="0"/>
        <w:w w:val="100"/>
        <w:kern w:val="0"/>
        <w:position w:val="0"/>
        <w:highlight w:val="none"/>
        <w:vertAlign w:val="baseline"/>
      </w:rPr>
    </w:lvl>
    <w:lvl w:ilvl="1" w:tplc="1A1CF6D6">
      <w:start w:val="1"/>
      <w:numFmt w:val="lowerLetter"/>
      <w:lvlText w:val="%2."/>
      <w:lvlJc w:val="left"/>
      <w:pPr>
        <w:tabs>
          <w:tab w:val="left" w:pos="360"/>
          <w:tab w:val="num" w:pos="2454"/>
        </w:tabs>
        <w:ind w:left="1805" w:firstLine="403"/>
      </w:pPr>
      <w:rPr>
        <w:rFonts w:hAnsi="Arial Unicode MS"/>
        <w:caps w:val="0"/>
        <w:smallCaps w:val="0"/>
        <w:strike w:val="0"/>
        <w:dstrike w:val="0"/>
        <w:outline w:val="0"/>
        <w:emboss w:val="0"/>
        <w:imprint w:val="0"/>
        <w:spacing w:val="0"/>
        <w:w w:val="100"/>
        <w:kern w:val="0"/>
        <w:position w:val="0"/>
        <w:highlight w:val="none"/>
        <w:vertAlign w:val="baseline"/>
      </w:rPr>
    </w:lvl>
    <w:lvl w:ilvl="2" w:tplc="F392EE02">
      <w:start w:val="1"/>
      <w:numFmt w:val="lowerRoman"/>
      <w:lvlText w:val="%3."/>
      <w:lvlJc w:val="left"/>
      <w:pPr>
        <w:tabs>
          <w:tab w:val="left" w:pos="360"/>
          <w:tab w:val="num" w:pos="3174"/>
        </w:tabs>
        <w:ind w:left="2525" w:firstLine="478"/>
      </w:pPr>
      <w:rPr>
        <w:rFonts w:hAnsi="Arial Unicode MS"/>
        <w:caps w:val="0"/>
        <w:smallCaps w:val="0"/>
        <w:strike w:val="0"/>
        <w:dstrike w:val="0"/>
        <w:outline w:val="0"/>
        <w:emboss w:val="0"/>
        <w:imprint w:val="0"/>
        <w:spacing w:val="0"/>
        <w:w w:val="100"/>
        <w:kern w:val="0"/>
        <w:position w:val="0"/>
        <w:highlight w:val="none"/>
        <w:vertAlign w:val="baseline"/>
      </w:rPr>
    </w:lvl>
    <w:lvl w:ilvl="3" w:tplc="5E66FB6A">
      <w:start w:val="1"/>
      <w:numFmt w:val="decimal"/>
      <w:lvlText w:val="%4."/>
      <w:lvlJc w:val="left"/>
      <w:pPr>
        <w:tabs>
          <w:tab w:val="left" w:pos="360"/>
          <w:tab w:val="num" w:pos="3894"/>
        </w:tabs>
        <w:ind w:left="3245" w:firstLine="403"/>
      </w:pPr>
      <w:rPr>
        <w:rFonts w:hAnsi="Arial Unicode MS"/>
        <w:caps w:val="0"/>
        <w:smallCaps w:val="0"/>
        <w:strike w:val="0"/>
        <w:dstrike w:val="0"/>
        <w:outline w:val="0"/>
        <w:emboss w:val="0"/>
        <w:imprint w:val="0"/>
        <w:spacing w:val="0"/>
        <w:w w:val="100"/>
        <w:kern w:val="0"/>
        <w:position w:val="0"/>
        <w:highlight w:val="none"/>
        <w:vertAlign w:val="baseline"/>
      </w:rPr>
    </w:lvl>
    <w:lvl w:ilvl="4" w:tplc="BB426C92">
      <w:start w:val="1"/>
      <w:numFmt w:val="lowerLetter"/>
      <w:lvlText w:val="%5."/>
      <w:lvlJc w:val="left"/>
      <w:pPr>
        <w:tabs>
          <w:tab w:val="left" w:pos="360"/>
          <w:tab w:val="num" w:pos="4614"/>
        </w:tabs>
        <w:ind w:left="3965" w:firstLine="403"/>
      </w:pPr>
      <w:rPr>
        <w:rFonts w:hAnsi="Arial Unicode MS"/>
        <w:caps w:val="0"/>
        <w:smallCaps w:val="0"/>
        <w:strike w:val="0"/>
        <w:dstrike w:val="0"/>
        <w:outline w:val="0"/>
        <w:emboss w:val="0"/>
        <w:imprint w:val="0"/>
        <w:spacing w:val="0"/>
        <w:w w:val="100"/>
        <w:kern w:val="0"/>
        <w:position w:val="0"/>
        <w:highlight w:val="none"/>
        <w:vertAlign w:val="baseline"/>
      </w:rPr>
    </w:lvl>
    <w:lvl w:ilvl="5" w:tplc="A6D6DD28">
      <w:start w:val="1"/>
      <w:numFmt w:val="lowerRoman"/>
      <w:lvlText w:val="%6."/>
      <w:lvlJc w:val="left"/>
      <w:pPr>
        <w:tabs>
          <w:tab w:val="left" w:pos="360"/>
          <w:tab w:val="num" w:pos="5334"/>
        </w:tabs>
        <w:ind w:left="4685" w:firstLine="478"/>
      </w:pPr>
      <w:rPr>
        <w:rFonts w:hAnsi="Arial Unicode MS"/>
        <w:caps w:val="0"/>
        <w:smallCaps w:val="0"/>
        <w:strike w:val="0"/>
        <w:dstrike w:val="0"/>
        <w:outline w:val="0"/>
        <w:emboss w:val="0"/>
        <w:imprint w:val="0"/>
        <w:spacing w:val="0"/>
        <w:w w:val="100"/>
        <w:kern w:val="0"/>
        <w:position w:val="0"/>
        <w:highlight w:val="none"/>
        <w:vertAlign w:val="baseline"/>
      </w:rPr>
    </w:lvl>
    <w:lvl w:ilvl="6" w:tplc="07661404">
      <w:start w:val="1"/>
      <w:numFmt w:val="decimal"/>
      <w:lvlText w:val="%7."/>
      <w:lvlJc w:val="left"/>
      <w:pPr>
        <w:tabs>
          <w:tab w:val="left" w:pos="360"/>
          <w:tab w:val="num" w:pos="6054"/>
        </w:tabs>
        <w:ind w:left="5405" w:firstLine="403"/>
      </w:pPr>
      <w:rPr>
        <w:rFonts w:hAnsi="Arial Unicode MS"/>
        <w:caps w:val="0"/>
        <w:smallCaps w:val="0"/>
        <w:strike w:val="0"/>
        <w:dstrike w:val="0"/>
        <w:outline w:val="0"/>
        <w:emboss w:val="0"/>
        <w:imprint w:val="0"/>
        <w:spacing w:val="0"/>
        <w:w w:val="100"/>
        <w:kern w:val="0"/>
        <w:position w:val="0"/>
        <w:highlight w:val="none"/>
        <w:vertAlign w:val="baseline"/>
      </w:rPr>
    </w:lvl>
    <w:lvl w:ilvl="7" w:tplc="2BB08A7C">
      <w:start w:val="1"/>
      <w:numFmt w:val="lowerLetter"/>
      <w:lvlText w:val="%8."/>
      <w:lvlJc w:val="left"/>
      <w:pPr>
        <w:tabs>
          <w:tab w:val="left" w:pos="360"/>
          <w:tab w:val="num" w:pos="6774"/>
        </w:tabs>
        <w:ind w:left="6125" w:firstLine="403"/>
      </w:pPr>
      <w:rPr>
        <w:rFonts w:hAnsi="Arial Unicode MS"/>
        <w:caps w:val="0"/>
        <w:smallCaps w:val="0"/>
        <w:strike w:val="0"/>
        <w:dstrike w:val="0"/>
        <w:outline w:val="0"/>
        <w:emboss w:val="0"/>
        <w:imprint w:val="0"/>
        <w:spacing w:val="0"/>
        <w:w w:val="100"/>
        <w:kern w:val="0"/>
        <w:position w:val="0"/>
        <w:highlight w:val="none"/>
        <w:vertAlign w:val="baseline"/>
      </w:rPr>
    </w:lvl>
    <w:lvl w:ilvl="8" w:tplc="37449A2A">
      <w:start w:val="1"/>
      <w:numFmt w:val="lowerRoman"/>
      <w:lvlText w:val="%9."/>
      <w:lvlJc w:val="left"/>
      <w:pPr>
        <w:tabs>
          <w:tab w:val="left" w:pos="360"/>
          <w:tab w:val="num" w:pos="7494"/>
        </w:tabs>
        <w:ind w:left="6845" w:firstLine="47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nsid w:val="53F47367"/>
    <w:multiLevelType w:val="singleLevel"/>
    <w:tmpl w:val="B4E8C9F0"/>
    <w:name w:val="Tiret 1"/>
    <w:lvl w:ilvl="0">
      <w:start w:val="1"/>
      <w:numFmt w:val="bullet"/>
      <w:lvlRestart w:val="0"/>
      <w:pStyle w:val="Tiret1"/>
      <w:lvlText w:val="–"/>
      <w:lvlJc w:val="left"/>
      <w:pPr>
        <w:tabs>
          <w:tab w:val="num" w:pos="1417"/>
        </w:tabs>
        <w:ind w:left="1417" w:hanging="567"/>
      </w:pPr>
    </w:lvl>
  </w:abstractNum>
  <w:abstractNum w:abstractNumId="25">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26">
    <w:nsid w:val="55A55E4F"/>
    <w:multiLevelType w:val="hybridMultilevel"/>
    <w:tmpl w:val="7D98B4A4"/>
    <w:lvl w:ilvl="0" w:tplc="E822E05A">
      <w:numFmt w:val="bullet"/>
      <w:lvlText w:val="—"/>
      <w:lvlJc w:val="left"/>
      <w:pPr>
        <w:ind w:left="750" w:hanging="39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66E14FA"/>
    <w:multiLevelType w:val="multilevel"/>
    <w:tmpl w:val="F228869E"/>
    <w:lvl w:ilvl="0">
      <w:numFmt w:val="bullet"/>
      <w:lvlText w:val="-"/>
      <w:lvlJc w:val="left"/>
      <w:pPr>
        <w:tabs>
          <w:tab w:val="num" w:pos="360"/>
        </w:tabs>
        <w:ind w:left="360" w:hanging="360"/>
      </w:pPr>
      <w:rPr>
        <w:rFonts w:ascii="Courier New" w:eastAsia="Calibri" w:hAnsi="Courier New" w:cs="Courier New"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28">
    <w:nsid w:val="57A524B4"/>
    <w:multiLevelType w:val="hybridMultilevel"/>
    <w:tmpl w:val="A07AE0E4"/>
    <w:styleLink w:val="ImportedStyle2"/>
    <w:lvl w:ilvl="0" w:tplc="2E6C5560">
      <w:start w:val="1"/>
      <w:numFmt w:val="lowerLetter"/>
      <w:lvlText w:val="(%1)"/>
      <w:lvlJc w:val="left"/>
      <w:pPr>
        <w:ind w:left="1200" w:hanging="540"/>
      </w:pPr>
      <w:rPr>
        <w:rFonts w:hAnsi="Arial Unicode MS"/>
        <w:b/>
        <w:bCs/>
        <w:caps w:val="0"/>
        <w:smallCaps w:val="0"/>
        <w:strike w:val="0"/>
        <w:dstrike w:val="0"/>
        <w:outline w:val="0"/>
        <w:emboss w:val="0"/>
        <w:imprint w:val="0"/>
        <w:spacing w:val="0"/>
        <w:w w:val="100"/>
        <w:kern w:val="0"/>
        <w:position w:val="0"/>
        <w:highlight w:val="none"/>
        <w:vertAlign w:val="baseline"/>
      </w:rPr>
    </w:lvl>
    <w:lvl w:ilvl="1" w:tplc="C5643648">
      <w:start w:val="1"/>
      <w:numFmt w:val="lowerLetter"/>
      <w:lvlText w:val="%2."/>
      <w:lvlJc w:val="left"/>
      <w:pPr>
        <w:ind w:left="2160" w:hanging="590"/>
      </w:pPr>
      <w:rPr>
        <w:rFonts w:hAnsi="Arial Unicode MS"/>
        <w:b/>
        <w:bCs/>
        <w:caps w:val="0"/>
        <w:smallCaps w:val="0"/>
        <w:strike w:val="0"/>
        <w:dstrike w:val="0"/>
        <w:outline w:val="0"/>
        <w:emboss w:val="0"/>
        <w:imprint w:val="0"/>
        <w:spacing w:val="0"/>
        <w:w w:val="100"/>
        <w:kern w:val="0"/>
        <w:position w:val="0"/>
        <w:highlight w:val="none"/>
        <w:vertAlign w:val="baseline"/>
      </w:rPr>
    </w:lvl>
    <w:lvl w:ilvl="2" w:tplc="CDEC7ACC">
      <w:start w:val="1"/>
      <w:numFmt w:val="lowerRoman"/>
      <w:lvlText w:val="%3."/>
      <w:lvlJc w:val="left"/>
      <w:pPr>
        <w:ind w:left="2880" w:hanging="515"/>
      </w:pPr>
      <w:rPr>
        <w:rFonts w:hAnsi="Arial Unicode MS"/>
        <w:b/>
        <w:bCs/>
        <w:caps w:val="0"/>
        <w:smallCaps w:val="0"/>
        <w:strike w:val="0"/>
        <w:dstrike w:val="0"/>
        <w:outline w:val="0"/>
        <w:emboss w:val="0"/>
        <w:imprint w:val="0"/>
        <w:spacing w:val="0"/>
        <w:w w:val="100"/>
        <w:kern w:val="0"/>
        <w:position w:val="0"/>
        <w:highlight w:val="none"/>
        <w:vertAlign w:val="baseline"/>
      </w:rPr>
    </w:lvl>
    <w:lvl w:ilvl="3" w:tplc="778EE8EE">
      <w:start w:val="1"/>
      <w:numFmt w:val="decimal"/>
      <w:lvlText w:val="%4."/>
      <w:lvlJc w:val="left"/>
      <w:pPr>
        <w:ind w:left="3600" w:hanging="590"/>
      </w:pPr>
      <w:rPr>
        <w:rFonts w:hAnsi="Arial Unicode MS"/>
        <w:b/>
        <w:bCs/>
        <w:caps w:val="0"/>
        <w:smallCaps w:val="0"/>
        <w:strike w:val="0"/>
        <w:dstrike w:val="0"/>
        <w:outline w:val="0"/>
        <w:emboss w:val="0"/>
        <w:imprint w:val="0"/>
        <w:spacing w:val="0"/>
        <w:w w:val="100"/>
        <w:kern w:val="0"/>
        <w:position w:val="0"/>
        <w:highlight w:val="none"/>
        <w:vertAlign w:val="baseline"/>
      </w:rPr>
    </w:lvl>
    <w:lvl w:ilvl="4" w:tplc="989AE768">
      <w:start w:val="1"/>
      <w:numFmt w:val="lowerLetter"/>
      <w:lvlText w:val="%5."/>
      <w:lvlJc w:val="left"/>
      <w:pPr>
        <w:ind w:left="4320" w:hanging="590"/>
      </w:pPr>
      <w:rPr>
        <w:rFonts w:hAnsi="Arial Unicode MS"/>
        <w:b/>
        <w:bCs/>
        <w:caps w:val="0"/>
        <w:smallCaps w:val="0"/>
        <w:strike w:val="0"/>
        <w:dstrike w:val="0"/>
        <w:outline w:val="0"/>
        <w:emboss w:val="0"/>
        <w:imprint w:val="0"/>
        <w:spacing w:val="0"/>
        <w:w w:val="100"/>
        <w:kern w:val="0"/>
        <w:position w:val="0"/>
        <w:highlight w:val="none"/>
        <w:vertAlign w:val="baseline"/>
      </w:rPr>
    </w:lvl>
    <w:lvl w:ilvl="5" w:tplc="39FA8FFE">
      <w:start w:val="1"/>
      <w:numFmt w:val="lowerRoman"/>
      <w:lvlText w:val="%6."/>
      <w:lvlJc w:val="left"/>
      <w:pPr>
        <w:ind w:left="5040" w:hanging="515"/>
      </w:pPr>
      <w:rPr>
        <w:rFonts w:hAnsi="Arial Unicode MS"/>
        <w:b/>
        <w:bCs/>
        <w:caps w:val="0"/>
        <w:smallCaps w:val="0"/>
        <w:strike w:val="0"/>
        <w:dstrike w:val="0"/>
        <w:outline w:val="0"/>
        <w:emboss w:val="0"/>
        <w:imprint w:val="0"/>
        <w:spacing w:val="0"/>
        <w:w w:val="100"/>
        <w:kern w:val="0"/>
        <w:position w:val="0"/>
        <w:highlight w:val="none"/>
        <w:vertAlign w:val="baseline"/>
      </w:rPr>
    </w:lvl>
    <w:lvl w:ilvl="6" w:tplc="86169EC6">
      <w:start w:val="1"/>
      <w:numFmt w:val="decimal"/>
      <w:lvlText w:val="%7."/>
      <w:lvlJc w:val="left"/>
      <w:pPr>
        <w:ind w:left="5760" w:hanging="590"/>
      </w:pPr>
      <w:rPr>
        <w:rFonts w:hAnsi="Arial Unicode MS"/>
        <w:b/>
        <w:bCs/>
        <w:caps w:val="0"/>
        <w:smallCaps w:val="0"/>
        <w:strike w:val="0"/>
        <w:dstrike w:val="0"/>
        <w:outline w:val="0"/>
        <w:emboss w:val="0"/>
        <w:imprint w:val="0"/>
        <w:spacing w:val="0"/>
        <w:w w:val="100"/>
        <w:kern w:val="0"/>
        <w:position w:val="0"/>
        <w:highlight w:val="none"/>
        <w:vertAlign w:val="baseline"/>
      </w:rPr>
    </w:lvl>
    <w:lvl w:ilvl="7" w:tplc="90E8ADF0">
      <w:start w:val="1"/>
      <w:numFmt w:val="lowerLetter"/>
      <w:lvlText w:val="%8."/>
      <w:lvlJc w:val="left"/>
      <w:pPr>
        <w:ind w:left="6480" w:hanging="590"/>
      </w:pPr>
      <w:rPr>
        <w:rFonts w:hAnsi="Arial Unicode MS"/>
        <w:b/>
        <w:bCs/>
        <w:caps w:val="0"/>
        <w:smallCaps w:val="0"/>
        <w:strike w:val="0"/>
        <w:dstrike w:val="0"/>
        <w:outline w:val="0"/>
        <w:emboss w:val="0"/>
        <w:imprint w:val="0"/>
        <w:spacing w:val="0"/>
        <w:w w:val="100"/>
        <w:kern w:val="0"/>
        <w:position w:val="0"/>
        <w:highlight w:val="none"/>
        <w:vertAlign w:val="baseline"/>
      </w:rPr>
    </w:lvl>
    <w:lvl w:ilvl="8" w:tplc="72C2043C">
      <w:start w:val="1"/>
      <w:numFmt w:val="lowerRoman"/>
      <w:lvlText w:val="%9."/>
      <w:lvlJc w:val="left"/>
      <w:pPr>
        <w:ind w:left="7200" w:hanging="515"/>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9">
    <w:nsid w:val="59B40527"/>
    <w:multiLevelType w:val="multilevel"/>
    <w:tmpl w:val="8B92D5EE"/>
    <w:lvl w:ilvl="0">
      <w:numFmt w:val="bullet"/>
      <w:lvlText w:val="-"/>
      <w:lvlJc w:val="left"/>
      <w:pPr>
        <w:tabs>
          <w:tab w:val="num" w:pos="360"/>
        </w:tabs>
        <w:ind w:left="360" w:hanging="360"/>
      </w:pPr>
      <w:rPr>
        <w:rFonts w:ascii="Courier New" w:eastAsia="Calibri" w:hAnsi="Courier New" w:cs="Courier New"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30">
    <w:nsid w:val="6272686E"/>
    <w:multiLevelType w:val="singleLevel"/>
    <w:tmpl w:val="6292DC68"/>
    <w:name w:val="Heading"/>
    <w:lvl w:ilvl="0">
      <w:start w:val="1"/>
      <w:numFmt w:val="bullet"/>
      <w:pStyle w:val="ListDash1"/>
      <w:lvlText w:val="–"/>
      <w:lvlJc w:val="left"/>
      <w:pPr>
        <w:tabs>
          <w:tab w:val="num" w:pos="1134"/>
        </w:tabs>
        <w:ind w:left="1134" w:hanging="283"/>
      </w:pPr>
      <w:rPr>
        <w:rFonts w:ascii="Times New Roman" w:hAnsi="Times New Roman"/>
      </w:rPr>
    </w:lvl>
  </w:abstractNum>
  <w:abstractNum w:abstractNumId="31">
    <w:nsid w:val="64206921"/>
    <w:multiLevelType w:val="hybridMultilevel"/>
    <w:tmpl w:val="1F6AA39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33">
    <w:nsid w:val="69E4207A"/>
    <w:multiLevelType w:val="multilevel"/>
    <w:tmpl w:val="2F0E8E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s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A6901C1"/>
    <w:multiLevelType w:val="singleLevel"/>
    <w:tmpl w:val="208841AE"/>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35">
    <w:nsid w:val="6D482320"/>
    <w:multiLevelType w:val="multilevel"/>
    <w:tmpl w:val="50680C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EA166FC"/>
    <w:multiLevelType w:val="hybridMultilevel"/>
    <w:tmpl w:val="DA3EFB3E"/>
    <w:lvl w:ilvl="0" w:tplc="08090011">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1784971"/>
    <w:multiLevelType w:val="hybridMultilevel"/>
    <w:tmpl w:val="4F0E517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77B1254B"/>
    <w:multiLevelType w:val="hybridMultilevel"/>
    <w:tmpl w:val="3C18F798"/>
    <w:lvl w:ilvl="0" w:tplc="3BD0057C">
      <w:numFmt w:val="decimal"/>
      <w:lvlText w:val=""/>
      <w:lvlJc w:val="left"/>
    </w:lvl>
    <w:lvl w:ilvl="1" w:tplc="DEFC1506">
      <w:numFmt w:val="decimal"/>
      <w:lvlText w:val=""/>
      <w:lvlJc w:val="left"/>
    </w:lvl>
    <w:lvl w:ilvl="2" w:tplc="C39CAD8C">
      <w:numFmt w:val="decimal"/>
      <w:lvlText w:val=""/>
      <w:lvlJc w:val="left"/>
    </w:lvl>
    <w:lvl w:ilvl="3" w:tplc="86641172">
      <w:numFmt w:val="decimal"/>
      <w:lvlText w:val=""/>
      <w:lvlJc w:val="left"/>
    </w:lvl>
    <w:lvl w:ilvl="4" w:tplc="B866AFD8">
      <w:numFmt w:val="decimal"/>
      <w:lvlText w:val=""/>
      <w:lvlJc w:val="left"/>
    </w:lvl>
    <w:lvl w:ilvl="5" w:tplc="801AD4E2">
      <w:numFmt w:val="decimal"/>
      <w:lvlText w:val=""/>
      <w:lvlJc w:val="left"/>
    </w:lvl>
    <w:lvl w:ilvl="6" w:tplc="6C22D8B6">
      <w:numFmt w:val="decimal"/>
      <w:lvlText w:val=""/>
      <w:lvlJc w:val="left"/>
    </w:lvl>
    <w:lvl w:ilvl="7" w:tplc="3FC2649C">
      <w:numFmt w:val="decimal"/>
      <w:lvlText w:val=""/>
      <w:lvlJc w:val="left"/>
    </w:lvl>
    <w:lvl w:ilvl="8" w:tplc="323A5D16">
      <w:numFmt w:val="decimal"/>
      <w:lvlText w:val=""/>
      <w:lvlJc w:val="left"/>
    </w:lvl>
  </w:abstractNum>
  <w:abstractNum w:abstractNumId="39">
    <w:nsid w:val="79C96D36"/>
    <w:multiLevelType w:val="multilevel"/>
    <w:tmpl w:val="BE983CE4"/>
    <w:name w:val="List Bullet"/>
    <w:lvl w:ilvl="0">
      <w:start w:val="1"/>
      <w:numFmt w:val="decimal"/>
      <w:lvlRestart w:val="0"/>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0">
    <w:nsid w:val="7BF366AD"/>
    <w:multiLevelType w:val="hybridMultilevel"/>
    <w:tmpl w:val="9732E326"/>
    <w:lvl w:ilvl="0" w:tplc="E0B41D1A">
      <w:start w:val="1"/>
      <w:numFmt w:val="bullet"/>
      <w:lvlText w:val="–"/>
      <w:lvlJc w:val="left"/>
      <w:pPr>
        <w:ind w:left="360" w:hanging="360"/>
      </w:pPr>
      <w:rPr>
        <w:rFonts w:ascii="Calibri" w:hAnsi="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nsid w:val="7F7B68CA"/>
    <w:multiLevelType w:val="hybridMultilevel"/>
    <w:tmpl w:val="A07AE0E4"/>
    <w:lvl w:ilvl="0" w:tplc="BECC4C7E">
      <w:numFmt w:val="decimal"/>
      <w:lvlText w:val=""/>
      <w:lvlJc w:val="left"/>
    </w:lvl>
    <w:lvl w:ilvl="1" w:tplc="E5BCFA68">
      <w:numFmt w:val="decimal"/>
      <w:lvlText w:val=""/>
      <w:lvlJc w:val="left"/>
    </w:lvl>
    <w:lvl w:ilvl="2" w:tplc="EA1832A4">
      <w:numFmt w:val="decimal"/>
      <w:lvlText w:val=""/>
      <w:lvlJc w:val="left"/>
    </w:lvl>
    <w:lvl w:ilvl="3" w:tplc="46662BAC">
      <w:numFmt w:val="decimal"/>
      <w:lvlText w:val=""/>
      <w:lvlJc w:val="left"/>
    </w:lvl>
    <w:lvl w:ilvl="4" w:tplc="F15ABDE8">
      <w:numFmt w:val="decimal"/>
      <w:lvlText w:val=""/>
      <w:lvlJc w:val="left"/>
    </w:lvl>
    <w:lvl w:ilvl="5" w:tplc="07104BAA">
      <w:numFmt w:val="decimal"/>
      <w:lvlText w:val=""/>
      <w:lvlJc w:val="left"/>
    </w:lvl>
    <w:lvl w:ilvl="6" w:tplc="4052EBDE">
      <w:numFmt w:val="decimal"/>
      <w:lvlText w:val=""/>
      <w:lvlJc w:val="left"/>
    </w:lvl>
    <w:lvl w:ilvl="7" w:tplc="59E4EDBE">
      <w:numFmt w:val="decimal"/>
      <w:lvlText w:val=""/>
      <w:lvlJc w:val="left"/>
    </w:lvl>
    <w:lvl w:ilvl="8" w:tplc="2E562020">
      <w:numFmt w:val="decimal"/>
      <w:lvlText w:val=""/>
      <w:lvlJc w:val="left"/>
    </w:lvl>
  </w:abstractNum>
  <w:num w:numId="1">
    <w:abstractNumId w:val="25"/>
  </w:num>
  <w:num w:numId="2">
    <w:abstractNumId w:val="32"/>
  </w:num>
  <w:num w:numId="3">
    <w:abstractNumId w:val="34"/>
  </w:num>
  <w:num w:numId="4">
    <w:abstractNumId w:val="14"/>
  </w:num>
  <w:num w:numId="5">
    <w:abstractNumId w:val="35"/>
  </w:num>
  <w:num w:numId="6">
    <w:abstractNumId w:val="9"/>
  </w:num>
  <w:num w:numId="7">
    <w:abstractNumId w:val="33"/>
  </w:num>
  <w:num w:numId="8">
    <w:abstractNumId w:val="1"/>
  </w:num>
  <w:num w:numId="9">
    <w:abstractNumId w:val="26"/>
  </w:num>
  <w:num w:numId="10">
    <w:abstractNumId w:val="16"/>
  </w:num>
  <w:num w:numId="11">
    <w:abstractNumId w:val="40"/>
  </w:num>
  <w:num w:numId="12">
    <w:abstractNumId w:val="21"/>
  </w:num>
  <w:num w:numId="13">
    <w:abstractNumId w:val="29"/>
  </w:num>
  <w:num w:numId="14">
    <w:abstractNumId w:val="27"/>
  </w:num>
  <w:num w:numId="15">
    <w:abstractNumId w:val="11"/>
  </w:num>
  <w:num w:numId="16">
    <w:abstractNumId w:val="2"/>
  </w:num>
  <w:num w:numId="17">
    <w:abstractNumId w:val="39"/>
  </w:num>
  <w:num w:numId="18">
    <w:abstractNumId w:val="10"/>
  </w:num>
  <w:num w:numId="19">
    <w:abstractNumId w:val="3"/>
  </w:num>
  <w:num w:numId="20">
    <w:abstractNumId w:val="0"/>
  </w:num>
  <w:num w:numId="21">
    <w:abstractNumId w:val="5"/>
  </w:num>
  <w:num w:numId="22">
    <w:abstractNumId w:val="4"/>
  </w:num>
  <w:num w:numId="23">
    <w:abstractNumId w:val="17"/>
  </w:num>
  <w:num w:numId="24">
    <w:abstractNumId w:val="30"/>
  </w:num>
  <w:num w:numId="25">
    <w:abstractNumId w:val="13"/>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num>
  <w:num w:numId="28">
    <w:abstractNumId w:val="36"/>
  </w:num>
  <w:num w:numId="29">
    <w:abstractNumId w:val="37"/>
  </w:num>
  <w:num w:numId="30">
    <w:abstractNumId w:val="12"/>
  </w:num>
  <w:num w:numId="31">
    <w:abstractNumId w:val="31"/>
  </w:num>
  <w:num w:numId="32">
    <w:abstractNumId w:val="6"/>
  </w:num>
  <w:num w:numId="33">
    <w:abstractNumId w:val="20"/>
  </w:num>
  <w:num w:numId="34">
    <w:abstractNumId w:val="24"/>
  </w:num>
  <w:num w:numId="35">
    <w:abstractNumId w:val="8"/>
  </w:num>
  <w:num w:numId="36">
    <w:abstractNumId w:val="28"/>
  </w:num>
  <w:num w:numId="37">
    <w:abstractNumId w:val="23"/>
  </w:num>
  <w:num w:numId="38">
    <w:abstractNumId w:val="22"/>
  </w:num>
  <w:num w:numId="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lvlOverride w:ilvl="0">
      <w:lvl w:ilvl="0" w:tplc="4F1EA5DE">
        <w:start w:val="1"/>
        <w:numFmt w:val="lowerLetter"/>
        <w:lvlText w:val="(%1)"/>
        <w:lvlJc w:val="left"/>
        <w:pPr>
          <w:ind w:left="1250" w:hanging="540"/>
        </w:pPr>
        <w:rPr>
          <w:rFonts w:hAnsi="Arial Unicode MS"/>
          <w:b w:val="0"/>
          <w:bCs/>
          <w:caps w:val="0"/>
          <w:smallCaps w:val="0"/>
          <w:strike w:val="0"/>
          <w:dstrike w:val="0"/>
          <w:outline w:val="0"/>
          <w:emboss w:val="0"/>
          <w:imprint w:val="0"/>
          <w:spacing w:val="0"/>
          <w:w w:val="100"/>
          <w:kern w:val="0"/>
          <w:position w:val="0"/>
          <w:highlight w:val="none"/>
          <w:vertAlign w:val="baseline"/>
        </w:rPr>
      </w:lvl>
    </w:lvlOverride>
  </w:num>
  <w:num w:numId="42">
    <w:abstractNumId w:val="41"/>
    <w:lvlOverride w:ilvl="0">
      <w:lvl w:ilvl="0" w:tplc="BECC4C7E">
        <w:start w:val="1"/>
        <w:numFmt w:val="lowerLetter"/>
        <w:lvlText w:val="(%1)"/>
        <w:lvlJc w:val="left"/>
        <w:pPr>
          <w:ind w:left="1200" w:hanging="540"/>
        </w:pPr>
        <w:rPr>
          <w:rFonts w:hAnsi="Arial Unicode MS"/>
          <w:b w:val="0"/>
          <w:bCs/>
          <w:caps w:val="0"/>
          <w:smallCaps w:val="0"/>
          <w:strike w:val="0"/>
          <w:dstrike w:val="0"/>
          <w:outline w:val="0"/>
          <w:emboss w:val="0"/>
          <w:imprint w:val="0"/>
          <w:spacing w:val="0"/>
          <w:w w:val="100"/>
          <w:kern w:val="0"/>
          <w:position w:val="0"/>
          <w:highlight w:val="none"/>
          <w:vertAlign w:val="baseline"/>
        </w:rPr>
      </w:lvl>
    </w:lvlOverride>
  </w:num>
  <w:num w:numId="43">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u1082?\u1098?\u1084?"/>
    <w:docVar w:name="LW_ANNEX_NBR_FIRST" w:val="2"/>
    <w:docVar w:name="LW_ANNEX_NBR_LAST" w:val="2"/>
    <w:docVar w:name="LW_CONFIDENCE" w:val=" "/>
    <w:docVar w:name="LW_CONST_RESTREINT_UE" w:val="RESTREINT UE"/>
    <w:docVar w:name="LW_CORRIGENDUM" w:val="&lt;UNUSED&gt;"/>
    <w:docVar w:name="LW_COVERPAGE_GUID" w:val="5B65EE2B3A5F435CAE985B4D27A0865C"/>
    <w:docVar w:name="LW_CROSSREFERENCE" w:val="&lt;UNUSED&gt;"/>
    <w:docVar w:name="LW_DocType" w:val="NORMAL"/>
    <w:docVar w:name="LW_EMISSION" w:val="25.9.2017"/>
    <w:docVar w:name="LW_EMISSION_ISODATE" w:val="2017-09-25"/>
    <w:docVar w:name="LW_EMISSION_LOCATION" w:val="BRX"/>
    <w:docVar w:name="LW_EMISSION_PREFIX" w:val="Брюксел, "/>
    <w:docVar w:name="LW_EMISSION_SUFFIX" w:val=" \u1075?."/>
    <w:docVar w:name="LW_ID_DOCTYPE_NONLW" w:val="CP-037"/>
    <w:docVar w:name="LW_LANGUE" w:val="BG"/>
    <w:docVar w:name="LW_MARKING" w:val="&lt;UNUSED&gt;"/>
    <w:docVar w:name="LW_NOM.INST" w:val="\u1045?\u1042?\u1056?\u1054?\u1055?\u1045?\u1049?\u1057?\u1050?\u1040? \u1050?\u1054?\u1052?\u1048?\u1057?\u1048?\u1071?"/>
    <w:docVar w:name="LW_NOM.INST_JOINTDOC" w:val="\u1042?\u1066?\u1056?\u1061?\u1054?\u1042?\u1045?\u1053? \u1055?\u1056?\u1045?\u1044?\u1057?\u1058?\u1040?\u1042?\u1048?\u1058?\u1045?\u1051? _x000b_\u1053?\u1040? \u1057?\u1066?\u1070?\u1047?A \u1055?\u1054? \u1042?\u1066?\u1055?\u1056?\u1054?\u1057?\u1048?\u1058?\u1045?_x000b_\u1053?\u1040? \u1042?\u1066?\u1053?\u1064?\u1053?\u1048?\u1058?\u1045? \u1056?\u1040?\u1041?\u1054?\u1058?\u1048? \u1048?_x000b_\u1055?\u1054?\u1051?\u1048?\u1058?\u1048?\u1050?\u1040?\u1058?\u1040? \u1053?\u1040? \u1057?\u1048?\u1043?\u1059?\u1056?\u1053?\u1054?\u1057?\u1058?"/>
    <w:docVar w:name="LW_OBJETACTEPRINCIPAL.CP" w:val="\u1079?\u1072? \u1087?\u1086?\u1076?\u1087?\u1080?\u1089?\u1074?\u1072?\u1085?\u1077? \u1086?\u1090? \u1080?\u1084?\u1077?\u1090?\u1086? \u1085?\u1072? \u1045?\u1074?\u1088?\u1086?\u1087?\u1077?\u1081?\u1089?\u1082?\u1080?\u1103? \u1089?\u1098?\u1102?\u1079? \u1080? \u1074?\u1088?\u1077?\u1084?\u1077?\u1085?\u1085?\u1086? \u1087?\u1088?\u1080?\u1083?\u1072?\u1075?\u1072?\u1085?\u1077? \u1085?\u1072? \u1057?\u1087?\u1086?\u1088?\u1072?\u1079?\u1091?\u1084?\u1077?\u1085?\u1080?\u1077?\u1090?\u1086? \u1079?\u1072? \u1074?\u1089?\u1077?\u1086?\u1073?\u1093?\u1074?\u1072?\u1090?\u1085?\u1086? \u1080? \u1079?\u1072?\u1089?\u1080?\u1083?\u1077?\u1085?\u1086? \u1087?\u1072?\u1088?\u1090?\u1085?\u1100?\u1086?\u1088?\u1089?\u1090?\u1074?\u1086? \u1084?\u1077?\u1078?\u1076?\u1091? \u1045?\u1074?\u1088?\u1086?\u1087?\u1077?\u1081?\u1089?\u1082?\u1080?\u1103? \u1089?\u1098?\u1102?\u1079? \u1080? \u1045?\u1074?\u1088?\u1086?\u1087?\u1077?\u1081?\u1089?\u1082?\u1072?\u1090?\u1072? \u1086?\u1073?\u1097?\u1085?\u1086?\u1089?\u1090? \u1079?\u1072? \u1072?\u1090?\u1086?\u1084?\u1085?\u1072? \u1077?\u1085?\u1077?\u1088?\u1075?\u1080?\u1103? \u1080? \u1090?\u1077?\u1093?\u1085?\u1080?\u1090?\u1077? \u1076?\u1098?\u1088?\u1078?\u1072?\u1074?\u1080? \u1095?\u1083?\u1077?\u1085?\u1082?\u1080?, \u1086?\u1090? \u1077?\u1076?\u1085?\u1072? \u1089?\u1090?\u1088?\u1072?\u1085?\u1072?, \u1080? \u1056?\u1077?\u1087?\u1091?\u1073?\u1083?\u1080?\u1082?\u1072? \u1040?\u1088?\u1084?\u1077?\u1085?\u1080?\u1103?, \u1086?\u1090? \u1076?\u1088?\u1091?\u1075?\u1072? \u1089?\u1090?\u1088?\u1072?\u1085?\u1072? _x000b_"/>
    <w:docVar w:name="LW_PART_NBR" w:val="1"/>
    <w:docVar w:name="LW_PART_NBR_TOTAL" w:val="1"/>
    <w:docVar w:name="LW_REF.INST.NEW" w:val="JOIN"/>
    <w:docVar w:name="LW_REF.INST.NEW_ADOPTED" w:val="final"/>
    <w:docVar w:name="LW_REF.INST.NEW_TEXT" w:val="(2017) 36"/>
    <w:docVar w:name="LW_REF.INTERNE" w:val="&lt;UNUSED&gt;"/>
    <w:docVar w:name="LW_SUPERTITRE" w:val="&lt;UNUSED&gt;"/>
    <w:docVar w:name="LW_TITRE.OBJ.CP" w:val="&lt;UNUSED&gt;"/>
    <w:docVar w:name="LW_TYPE.DOC.CP" w:val="\u1055?\u1056?\u1048?\u1051?\u1054?\u1046?\u1045?\u1053?\u1048?\u1045?_x000b_"/>
    <w:docVar w:name="LW_TYPEACTEPRINCIPAL.CP" w:val="\u1057?\u1098?\u1074?\u1084?\u1077?\u1089?\u1090?\u1085?\u1086? \u1087?\u1088?\u1077?\u1076?\u1083?\u1086?\u1078?\u1077?\u1085?\u1080?\u1077? \u1079?\u1072? \u1088?\u1077?\u1096?\u1077?\u1085?\u1080?\u1077? \u1085?\u1072? \u1057?\u1098?\u1074?\u1077?\u1090?\u1072?_x000b_"/>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0" w:qFormat="1"/>
    <w:lsdException w:name="footnote reference" w:uiPriority="0"/>
    <w:lsdException w:name="page number" w:uiPriority="0"/>
    <w:lsdException w:name="List Bullet" w:uiPriority="0"/>
    <w:lsdException w:name="List Number" w:uiPriority="0"/>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Indent 2"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autoSpaceDE w:val="0"/>
      <w:autoSpaceDN w:val="0"/>
      <w:adjustRightInd w:val="0"/>
      <w:spacing w:after="0" w:line="240" w:lineRule="auto"/>
      <w:outlineLvl w:val="0"/>
    </w:pPr>
    <w:rPr>
      <w:rFonts w:ascii="Times New Roman Bold" w:eastAsia="Times New Roman" w:hAnsi="Times New Roman Bold" w:cs="Times New Roman"/>
      <w:b/>
      <w:bCs/>
      <w:caps/>
      <w:sz w:val="24"/>
      <w:szCs w:val="24"/>
      <w:lang w:val="en-US"/>
    </w:rPr>
  </w:style>
  <w:style w:type="paragraph" w:styleId="Heading2">
    <w:name w:val="heading 2"/>
    <w:basedOn w:val="Normal"/>
    <w:next w:val="Normal"/>
    <w:link w:val="Heading2Char"/>
    <w:unhideWhenUsed/>
    <w:qFormat/>
    <w:pPr>
      <w:keepNext/>
      <w:spacing w:before="240" w:after="60" w:line="240" w:lineRule="auto"/>
      <w:outlineLvl w:val="1"/>
    </w:pPr>
    <w:rPr>
      <w:rFonts w:ascii="Cambria" w:eastAsia="Times New Roman" w:hAnsi="Cambria" w:cs="Times New Roman"/>
      <w:b/>
      <w:bCs/>
      <w:i/>
      <w:iCs/>
      <w:sz w:val="28"/>
      <w:szCs w:val="28"/>
      <w:lang w:val="en-US"/>
    </w:rPr>
  </w:style>
  <w:style w:type="paragraph" w:styleId="Heading3">
    <w:name w:val="heading 3"/>
    <w:basedOn w:val="Normal"/>
    <w:next w:val="Normal"/>
    <w:link w:val="Heading3Char"/>
    <w:unhideWhenUsed/>
    <w:qFormat/>
    <w:pPr>
      <w:keepNext/>
      <w:spacing w:before="240" w:after="60" w:line="240" w:lineRule="auto"/>
      <w:outlineLvl w:val="2"/>
    </w:pPr>
    <w:rPr>
      <w:rFonts w:ascii="Cambria" w:eastAsia="Times New Roman" w:hAnsi="Cambria" w:cs="Times New Roman"/>
      <w:b/>
      <w:bCs/>
      <w:sz w:val="26"/>
      <w:szCs w:val="26"/>
      <w:lang w:val="en-US"/>
    </w:rPr>
  </w:style>
  <w:style w:type="paragraph" w:styleId="Heading4">
    <w:name w:val="heading 4"/>
    <w:basedOn w:val="Normal"/>
    <w:next w:val="Normal"/>
    <w:link w:val="Heading4Char"/>
    <w:unhideWhenUsed/>
    <w:qFormat/>
    <w:pPr>
      <w:keepNext/>
      <w:spacing w:before="240" w:after="60" w:line="240" w:lineRule="auto"/>
      <w:outlineLvl w:val="3"/>
    </w:pPr>
    <w:rPr>
      <w:rFonts w:ascii="Calibri" w:eastAsia="Times New Roman" w:hAnsi="Calibri" w:cs="Times New Roman"/>
      <w:b/>
      <w:bCs/>
      <w:sz w:val="28"/>
      <w:szCs w:val="28"/>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nhideWhenUsed/>
    <w:pPr>
      <w:tabs>
        <w:tab w:val="center" w:pos="4536"/>
        <w:tab w:val="right" w:pos="9072"/>
      </w:tabs>
      <w:spacing w:after="0" w:line="240" w:lineRule="auto"/>
    </w:pPr>
  </w:style>
  <w:style w:type="character" w:customStyle="1" w:styleId="HeaderChar">
    <w:name w:val="Header Char"/>
    <w:basedOn w:val="DefaultParagraphFont"/>
    <w:link w:val="Header"/>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rPr>
      <w:rFonts w:ascii="Times New Roman Bold" w:eastAsia="Times New Roman" w:hAnsi="Times New Roman Bold" w:cs="Times New Roman"/>
      <w:b/>
      <w:bCs/>
      <w:caps/>
      <w:sz w:val="24"/>
      <w:szCs w:val="24"/>
      <w:lang w:val="en-US"/>
    </w:rPr>
  </w:style>
  <w:style w:type="character" w:customStyle="1" w:styleId="Heading2Char">
    <w:name w:val="Heading 2 Char"/>
    <w:basedOn w:val="DefaultParagraphFont"/>
    <w:link w:val="Heading2"/>
    <w:rPr>
      <w:rFonts w:ascii="Cambria" w:eastAsia="Times New Roman" w:hAnsi="Cambria" w:cs="Times New Roman"/>
      <w:b/>
      <w:bCs/>
      <w:i/>
      <w:iCs/>
      <w:sz w:val="28"/>
      <w:szCs w:val="28"/>
      <w:lang w:val="en-US"/>
    </w:rPr>
  </w:style>
  <w:style w:type="character" w:customStyle="1" w:styleId="Heading3Char">
    <w:name w:val="Heading 3 Char"/>
    <w:basedOn w:val="DefaultParagraphFont"/>
    <w:link w:val="Heading3"/>
    <w:rPr>
      <w:rFonts w:ascii="Cambria" w:eastAsia="Times New Roman" w:hAnsi="Cambria" w:cs="Times New Roman"/>
      <w:b/>
      <w:bCs/>
      <w:sz w:val="26"/>
      <w:szCs w:val="26"/>
      <w:lang w:val="en-US"/>
    </w:rPr>
  </w:style>
  <w:style w:type="character" w:customStyle="1" w:styleId="Heading4Char">
    <w:name w:val="Heading 4 Char"/>
    <w:basedOn w:val="DefaultParagraphFont"/>
    <w:link w:val="Heading4"/>
    <w:rPr>
      <w:rFonts w:ascii="Calibri" w:eastAsia="Times New Roman" w:hAnsi="Calibri" w:cs="Times New Roman"/>
      <w:b/>
      <w:bCs/>
      <w:sz w:val="28"/>
      <w:szCs w:val="28"/>
      <w:lang w:val="en-US"/>
    </w:rPr>
  </w:style>
  <w:style w:type="numbering" w:customStyle="1" w:styleId="NoList1">
    <w:name w:val="No List1"/>
    <w:next w:val="NoList"/>
    <w:uiPriority w:val="99"/>
    <w:semiHidden/>
    <w:unhideWhenUsed/>
  </w:style>
  <w:style w:type="paragraph" w:styleId="Date">
    <w:name w:val="Date"/>
    <w:basedOn w:val="Normal"/>
    <w:next w:val="Normal"/>
    <w:link w:val="DateChar"/>
    <w:pPr>
      <w:spacing w:after="0" w:line="240" w:lineRule="auto"/>
      <w:ind w:left="5103" w:right="-567"/>
    </w:pPr>
    <w:rPr>
      <w:rFonts w:ascii="Times New Roman" w:eastAsia="Times New Roman" w:hAnsi="Times New Roman" w:cs="Times New Roman"/>
      <w:sz w:val="24"/>
      <w:szCs w:val="20"/>
    </w:rPr>
  </w:style>
  <w:style w:type="character" w:customStyle="1" w:styleId="DateChar">
    <w:name w:val="Date Char"/>
    <w:basedOn w:val="DefaultParagraphFont"/>
    <w:link w:val="Date"/>
    <w:rPr>
      <w:rFonts w:ascii="Times New Roman" w:eastAsia="Times New Roman" w:hAnsi="Times New Roman" w:cs="Times New Roman"/>
      <w:sz w:val="24"/>
      <w:szCs w:val="20"/>
    </w:rPr>
  </w:style>
  <w:style w:type="paragraph" w:styleId="FootnoteText">
    <w:name w:val="footnote text"/>
    <w:basedOn w:val="Normal"/>
    <w:link w:val="FootnoteTextChar"/>
    <w:qFormat/>
    <w:pPr>
      <w:spacing w:after="0" w:line="240" w:lineRule="auto"/>
      <w:ind w:left="567" w:hanging="567"/>
    </w:pPr>
    <w:rPr>
      <w:rFonts w:ascii="Times New Roman" w:eastAsia="Times New Roman" w:hAnsi="Times New Roman" w:cs="Times New Roman"/>
      <w:sz w:val="24"/>
      <w:szCs w:val="20"/>
      <w:lang w:val="en"/>
    </w:rPr>
  </w:style>
  <w:style w:type="character" w:customStyle="1" w:styleId="FootnoteTextChar">
    <w:name w:val="Footnote Text Char"/>
    <w:basedOn w:val="DefaultParagraphFont"/>
    <w:link w:val="FootnoteText"/>
    <w:rPr>
      <w:rFonts w:ascii="Times New Roman" w:eastAsia="Times New Roman" w:hAnsi="Times New Roman" w:cs="Times New Roman"/>
      <w:sz w:val="24"/>
      <w:szCs w:val="20"/>
      <w:lang w:val="en"/>
    </w:rPr>
  </w:style>
  <w:style w:type="paragraph" w:styleId="ListBullet">
    <w:name w:val="List Bullet"/>
    <w:basedOn w:val="Normal"/>
    <w:pPr>
      <w:numPr>
        <w:numId w:val="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pPr>
      <w:numPr>
        <w:numId w:val="2"/>
      </w:numPr>
      <w:spacing w:after="240" w:line="240" w:lineRule="auto"/>
      <w:jc w:val="both"/>
    </w:pPr>
    <w:rPr>
      <w:rFonts w:ascii="Times New Roman" w:eastAsia="Times New Roman" w:hAnsi="Times New Roman" w:cs="Times New Roman"/>
      <w:sz w:val="24"/>
      <w:szCs w:val="20"/>
    </w:rPr>
  </w:style>
  <w:style w:type="character" w:styleId="FootnoteReference">
    <w:name w:val="footnote reference"/>
    <w:rPr>
      <w:rFonts w:ascii="Times New Roman" w:hAnsi="Times New Roman"/>
      <w:b/>
      <w:sz w:val="24"/>
      <w:vertAlign w:val="superscript"/>
    </w:rPr>
  </w:style>
  <w:style w:type="character" w:styleId="Emphasis">
    <w:name w:val="Emphasis"/>
    <w:qFormat/>
    <w:rPr>
      <w:i/>
      <w:iCs/>
    </w:rPr>
  </w:style>
  <w:style w:type="paragraph" w:customStyle="1" w:styleId="a">
    <w:name w:val="Знак"/>
    <w:basedOn w:val="Normal"/>
    <w:pPr>
      <w:spacing w:after="160" w:line="240" w:lineRule="exact"/>
    </w:pPr>
    <w:rPr>
      <w:rFonts w:ascii="Arial" w:eastAsia="Batang" w:hAnsi="Arial" w:cs="Arial"/>
      <w:sz w:val="20"/>
      <w:szCs w:val="20"/>
      <w:lang w:val="en-US"/>
    </w:rPr>
  </w:style>
  <w:style w:type="paragraph" w:customStyle="1" w:styleId="ListBullet1">
    <w:name w:val="List Bullet 1"/>
    <w:basedOn w:val="Normal"/>
    <w:pPr>
      <w:numPr>
        <w:numId w:val="3"/>
      </w:numPr>
      <w:spacing w:before="120" w:after="120" w:line="240" w:lineRule="auto"/>
      <w:jc w:val="both"/>
    </w:pPr>
    <w:rPr>
      <w:rFonts w:ascii="Times New Roman" w:eastAsia="Times New Roman" w:hAnsi="Times New Roman" w:cs="Times New Roman"/>
      <w:sz w:val="24"/>
      <w:szCs w:val="24"/>
      <w:lang w:eastAsia="de-DE"/>
    </w:rPr>
  </w:style>
  <w:style w:type="character" w:styleId="Strong">
    <w:name w:val="Strong"/>
    <w:uiPriority w:val="22"/>
    <w:qFormat/>
    <w:rPr>
      <w:b/>
      <w:bCs/>
    </w:rPr>
  </w:style>
  <w:style w:type="paragraph" w:styleId="BalloonText">
    <w:name w:val="Balloon Text"/>
    <w:basedOn w:val="Normal"/>
    <w:link w:val="BalloonTextChar"/>
    <w:uiPriority w:val="99"/>
    <w:pPr>
      <w:spacing w:after="0" w:line="240" w:lineRule="auto"/>
    </w:pPr>
    <w:rPr>
      <w:rFonts w:ascii="Tahoma" w:eastAsia="Times New Roman" w:hAnsi="Tahoma" w:cs="Tahoma"/>
      <w:sz w:val="16"/>
      <w:szCs w:val="16"/>
      <w:lang w:val="en-US" w:eastAsia="en-GB"/>
    </w:rPr>
  </w:style>
  <w:style w:type="character" w:customStyle="1" w:styleId="BalloonTextChar">
    <w:name w:val="Balloon Text Char"/>
    <w:basedOn w:val="DefaultParagraphFont"/>
    <w:link w:val="BalloonText"/>
    <w:uiPriority w:val="99"/>
    <w:rPr>
      <w:rFonts w:ascii="Tahoma" w:eastAsia="Times New Roman" w:hAnsi="Tahoma" w:cs="Tahoma"/>
      <w:sz w:val="16"/>
      <w:szCs w:val="16"/>
      <w:lang w:val="en-US" w:eastAsia="en-GB"/>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pPr>
      <w:spacing w:after="0" w:line="240" w:lineRule="auto"/>
    </w:pPr>
    <w:rPr>
      <w:rFonts w:ascii="Times New Roman" w:eastAsia="Times New Roman" w:hAnsi="Times New Roman" w:cs="Times New Roman"/>
      <w:sz w:val="20"/>
      <w:szCs w:val="20"/>
      <w:lang w:val="en-US" w:eastAsia="en-GB"/>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en-US" w:eastAsia="en-GB"/>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ascii="Times New Roman" w:eastAsia="Times New Roman" w:hAnsi="Times New Roman" w:cs="Times New Roman"/>
      <w:b/>
      <w:bCs/>
      <w:sz w:val="20"/>
      <w:szCs w:val="20"/>
      <w:lang w:val="en-US" w:eastAsia="en-GB"/>
    </w:rPr>
  </w:style>
  <w:style w:type="character" w:customStyle="1" w:styleId="Corpsdutexte">
    <w:name w:val="Corps du texte_"/>
    <w:link w:val="Corpsdutexte0"/>
    <w:rPr>
      <w:sz w:val="21"/>
      <w:szCs w:val="21"/>
      <w:shd w:val="clear" w:color="auto" w:fill="FFFFFF"/>
    </w:rPr>
  </w:style>
  <w:style w:type="paragraph" w:customStyle="1" w:styleId="Corpsdutexte0">
    <w:name w:val="Corps du texte"/>
    <w:basedOn w:val="Normal"/>
    <w:link w:val="Corpsdutexte"/>
    <w:pPr>
      <w:widowControl w:val="0"/>
      <w:shd w:val="clear" w:color="auto" w:fill="FFFFFF"/>
      <w:spacing w:before="660" w:after="540" w:line="0" w:lineRule="atLeast"/>
      <w:ind w:hanging="480"/>
      <w:jc w:val="center"/>
    </w:pPr>
    <w:rPr>
      <w:sz w:val="21"/>
      <w:szCs w:val="21"/>
    </w:r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Corpsdutexte2">
    <w:name w:val="Corps du texte (2)_"/>
    <w:link w:val="Corpsdutexte20"/>
    <w:rPr>
      <w:sz w:val="21"/>
      <w:szCs w:val="21"/>
      <w:shd w:val="clear" w:color="auto" w:fill="FFFFFF"/>
    </w:rPr>
  </w:style>
  <w:style w:type="character" w:customStyle="1" w:styleId="En-tteoupieddepage">
    <w:name w:val="En-tête ou pied de page_"/>
    <w:link w:val="En-tteoupieddepage0"/>
    <w:rPr>
      <w:shd w:val="clear" w:color="auto" w:fill="FFFFFF"/>
    </w:rPr>
  </w:style>
  <w:style w:type="character" w:customStyle="1" w:styleId="En-tte7">
    <w:name w:val="En-tête #7_"/>
    <w:link w:val="En-tte70"/>
    <w:rPr>
      <w:sz w:val="21"/>
      <w:szCs w:val="21"/>
      <w:shd w:val="clear" w:color="auto" w:fill="FFFFFF"/>
    </w:rPr>
  </w:style>
  <w:style w:type="character" w:customStyle="1" w:styleId="Corpsdutexte4">
    <w:name w:val="Corps du texte (4)_"/>
    <w:rPr>
      <w:b w:val="0"/>
      <w:bCs w:val="0"/>
      <w:i w:val="0"/>
      <w:iCs w:val="0"/>
      <w:smallCaps w:val="0"/>
      <w:strike w:val="0"/>
      <w:sz w:val="21"/>
      <w:szCs w:val="21"/>
      <w:u w:val="none"/>
    </w:rPr>
  </w:style>
  <w:style w:type="character" w:customStyle="1" w:styleId="Corpsdutexte6Exact">
    <w:name w:val="Corps du texte (6) Exact"/>
    <w:link w:val="Corpsdutexte6"/>
    <w:rPr>
      <w:spacing w:val="3"/>
      <w:shd w:val="clear" w:color="auto" w:fill="FFFFFF"/>
    </w:rPr>
  </w:style>
  <w:style w:type="character" w:customStyle="1" w:styleId="Corpsdutexte7Exact">
    <w:name w:val="Corps du texte (7) Exact"/>
    <w:link w:val="Corpsdutexte7"/>
    <w:rPr>
      <w:sz w:val="49"/>
      <w:szCs w:val="49"/>
      <w:shd w:val="clear" w:color="auto" w:fill="FFFFFF"/>
    </w:rPr>
  </w:style>
  <w:style w:type="character" w:customStyle="1" w:styleId="CorpsdutexteExact">
    <w:name w:val="Corps du texte Exact"/>
    <w:rPr>
      <w:b w:val="0"/>
      <w:bCs w:val="0"/>
      <w:i w:val="0"/>
      <w:iCs w:val="0"/>
      <w:smallCaps w:val="0"/>
      <w:strike w:val="0"/>
      <w:spacing w:val="4"/>
      <w:sz w:val="20"/>
      <w:szCs w:val="20"/>
      <w:u w:val="none"/>
    </w:rPr>
  </w:style>
  <w:style w:type="character" w:customStyle="1" w:styleId="CorpsdutexteGras">
    <w:name w:val="Corps du texte + Gras"/>
    <w:aliases w:val="Espacement 1 pt"/>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en-US"/>
    </w:rPr>
  </w:style>
  <w:style w:type="character" w:customStyle="1" w:styleId="En-tteoupieddepage105pt">
    <w:name w:val="En-tête ou pied de page + 10.5 pt"/>
    <w:aliases w:val="Italique,Corps du texte + 11 pt,Corps du texte + 12 pt,En-tête ou pied de page + 26 pt,Echelle 90%"/>
    <w:rPr>
      <w:rFonts w:ascii="Times New Roman" w:eastAsia="Times New Roman" w:hAnsi="Times New Roman" w:cs="Times New Roman"/>
      <w:b w:val="0"/>
      <w:bCs w:val="0"/>
      <w:i w:val="0"/>
      <w:iCs w:val="0"/>
      <w:smallCaps w:val="0"/>
      <w:strike w:val="0"/>
      <w:color w:val="000000"/>
      <w:spacing w:val="0"/>
      <w:w w:val="100"/>
      <w:position w:val="0"/>
      <w:sz w:val="21"/>
      <w:szCs w:val="21"/>
      <w:u w:val="none"/>
    </w:rPr>
  </w:style>
  <w:style w:type="character" w:customStyle="1" w:styleId="CorpsdutexteItalique">
    <w:name w:val="Corps du texte + Italique"/>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en-US"/>
    </w:rPr>
  </w:style>
  <w:style w:type="character" w:customStyle="1" w:styleId="Corpsdutexte40">
    <w:name w:val="Corps du texte (4)"/>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style>
  <w:style w:type="character" w:customStyle="1" w:styleId="Corpsdutexte175pt">
    <w:name w:val="Corps du texte + 17.5 pt"/>
    <w:rPr>
      <w:rFonts w:ascii="Times New Roman" w:eastAsia="Times New Roman" w:hAnsi="Times New Roman" w:cs="Times New Roman"/>
      <w:b w:val="0"/>
      <w:bCs w:val="0"/>
      <w:i w:val="0"/>
      <w:iCs w:val="0"/>
      <w:smallCaps w:val="0"/>
      <w:strike w:val="0"/>
      <w:color w:val="000000"/>
      <w:spacing w:val="0"/>
      <w:w w:val="100"/>
      <w:position w:val="0"/>
      <w:sz w:val="35"/>
      <w:szCs w:val="35"/>
      <w:u w:val="none"/>
      <w:shd w:val="clear" w:color="auto" w:fill="FFFFFF"/>
    </w:rPr>
  </w:style>
  <w:style w:type="character" w:customStyle="1" w:styleId="En-tte72">
    <w:name w:val="En-tête #7 (2)_"/>
    <w:rPr>
      <w:b w:val="0"/>
      <w:bCs w:val="0"/>
      <w:i w:val="0"/>
      <w:iCs w:val="0"/>
      <w:smallCaps w:val="0"/>
      <w:strike w:val="0"/>
      <w:sz w:val="21"/>
      <w:szCs w:val="21"/>
      <w:u w:val="none"/>
    </w:rPr>
  </w:style>
  <w:style w:type="character" w:customStyle="1" w:styleId="En-tte720">
    <w:name w:val="En-tête #7 (2)"/>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style>
  <w:style w:type="character" w:customStyle="1" w:styleId="En-tte7211pt">
    <w:name w:val="En-tête #7 (2) + 11 pt"/>
    <w:rPr>
      <w:rFonts w:ascii="Times New Roman" w:eastAsia="Times New Roman" w:hAnsi="Times New Roman" w:cs="Times New Roman"/>
      <w:b w:val="0"/>
      <w:bCs w:val="0"/>
      <w:i w:val="0"/>
      <w:iCs w:val="0"/>
      <w:smallCaps w:val="0"/>
      <w:strike w:val="0"/>
      <w:color w:val="000000"/>
      <w:spacing w:val="0"/>
      <w:w w:val="100"/>
      <w:position w:val="0"/>
      <w:sz w:val="22"/>
      <w:szCs w:val="22"/>
      <w:u w:val="none"/>
    </w:rPr>
  </w:style>
  <w:style w:type="character" w:customStyle="1" w:styleId="Corpsdutexte2Gras">
    <w:name w:val="Corps du texte (2) + Gras"/>
    <w:rPr>
      <w:rFonts w:ascii="Times New Roman" w:eastAsia="Times New Roman" w:hAnsi="Times New Roman" w:cs="Times New Roman"/>
      <w:b/>
      <w:bCs/>
      <w:i w:val="0"/>
      <w:iCs w:val="0"/>
      <w:smallCaps w:val="0"/>
      <w:strike w:val="0"/>
      <w:color w:val="000000"/>
      <w:spacing w:val="0"/>
      <w:w w:val="100"/>
      <w:position w:val="0"/>
      <w:sz w:val="21"/>
      <w:szCs w:val="21"/>
      <w:u w:val="none"/>
      <w:lang w:val="en-US"/>
    </w:rPr>
  </w:style>
  <w:style w:type="character" w:customStyle="1" w:styleId="Corpsdutexte4Gras">
    <w:name w:val="Corps du texte (4) + Gras"/>
    <w:rPr>
      <w:rFonts w:ascii="Times New Roman" w:eastAsia="Times New Roman" w:hAnsi="Times New Roman" w:cs="Times New Roman"/>
      <w:b/>
      <w:bCs/>
      <w:i w:val="0"/>
      <w:iCs w:val="0"/>
      <w:smallCaps w:val="0"/>
      <w:strike w:val="0"/>
      <w:color w:val="000000"/>
      <w:spacing w:val="0"/>
      <w:w w:val="100"/>
      <w:position w:val="0"/>
      <w:sz w:val="21"/>
      <w:szCs w:val="21"/>
      <w:u w:val="none"/>
      <w:lang w:val="en-US"/>
    </w:rPr>
  </w:style>
  <w:style w:type="paragraph" w:customStyle="1" w:styleId="Corpsdutexte20">
    <w:name w:val="Corps du texte (2)"/>
    <w:basedOn w:val="Normal"/>
    <w:link w:val="Corpsdutexte2"/>
    <w:pPr>
      <w:widowControl w:val="0"/>
      <w:shd w:val="clear" w:color="auto" w:fill="FFFFFF"/>
      <w:spacing w:after="3240" w:line="264" w:lineRule="exact"/>
      <w:jc w:val="right"/>
    </w:pPr>
    <w:rPr>
      <w:sz w:val="21"/>
      <w:szCs w:val="21"/>
    </w:rPr>
  </w:style>
  <w:style w:type="paragraph" w:customStyle="1" w:styleId="En-tteoupieddepage0">
    <w:name w:val="En-tête ou pied de page"/>
    <w:basedOn w:val="Normal"/>
    <w:link w:val="En-tteoupieddepage"/>
    <w:pPr>
      <w:widowControl w:val="0"/>
      <w:shd w:val="clear" w:color="auto" w:fill="FFFFFF"/>
      <w:spacing w:after="0" w:line="240" w:lineRule="auto"/>
    </w:pPr>
  </w:style>
  <w:style w:type="paragraph" w:customStyle="1" w:styleId="En-tte70">
    <w:name w:val="En-tête #7"/>
    <w:basedOn w:val="Normal"/>
    <w:link w:val="En-tte7"/>
    <w:pPr>
      <w:widowControl w:val="0"/>
      <w:shd w:val="clear" w:color="auto" w:fill="FFFFFF"/>
      <w:spacing w:after="0" w:line="374" w:lineRule="exact"/>
      <w:ind w:hanging="380"/>
      <w:jc w:val="both"/>
      <w:outlineLvl w:val="6"/>
    </w:pPr>
    <w:rPr>
      <w:sz w:val="21"/>
      <w:szCs w:val="21"/>
    </w:rPr>
  </w:style>
  <w:style w:type="paragraph" w:customStyle="1" w:styleId="Corpsdutexte6">
    <w:name w:val="Corps du texte (6)"/>
    <w:basedOn w:val="Normal"/>
    <w:link w:val="Corpsdutexte6Exact"/>
    <w:pPr>
      <w:widowControl w:val="0"/>
      <w:shd w:val="clear" w:color="auto" w:fill="FFFFFF"/>
      <w:spacing w:after="0" w:line="0" w:lineRule="atLeast"/>
    </w:pPr>
    <w:rPr>
      <w:spacing w:val="3"/>
    </w:rPr>
  </w:style>
  <w:style w:type="paragraph" w:customStyle="1" w:styleId="Corpsdutexte7">
    <w:name w:val="Corps du texte (7)"/>
    <w:basedOn w:val="Normal"/>
    <w:link w:val="Corpsdutexte7Exact"/>
    <w:pPr>
      <w:widowControl w:val="0"/>
      <w:shd w:val="clear" w:color="auto" w:fill="FFFFFF"/>
      <w:spacing w:after="0" w:line="0" w:lineRule="atLeast"/>
    </w:pPr>
    <w:rPr>
      <w:sz w:val="49"/>
      <w:szCs w:val="49"/>
    </w:rPr>
  </w:style>
  <w:style w:type="paragraph" w:customStyle="1" w:styleId="doc-ti">
    <w:name w:val="doc-ti"/>
    <w:basedOn w:val="Normal"/>
    <w:pPr>
      <w:spacing w:before="240" w:after="120" w:line="240" w:lineRule="auto"/>
      <w:jc w:val="center"/>
    </w:pPr>
    <w:rPr>
      <w:rFonts w:ascii="Times New Roman" w:eastAsia="Times New Roman" w:hAnsi="Times New Roman" w:cs="Times New Roman"/>
      <w:b/>
      <w:bCs/>
      <w:sz w:val="24"/>
      <w:szCs w:val="24"/>
      <w:lang w:eastAsia="en-GB"/>
    </w:rPr>
  </w:style>
  <w:style w:type="character" w:styleId="Hyperlink">
    <w:name w:val="Hyperlink"/>
    <w:uiPriority w:val="99"/>
    <w:unhideWhenUsed/>
    <w:rPr>
      <w:color w:val="0000FF"/>
      <w:u w:val="single"/>
    </w:rPr>
  </w:style>
  <w:style w:type="character" w:customStyle="1" w:styleId="En-tteoupieddepage23pt">
    <w:name w:val="En-tête ou pied de page + 23 pt"/>
    <w:aliases w:val="Gras,Espacement 2 pt,Echelle 66%,En-tête ou pied de page + Arial,21 pt,Corps du texte (2) + 16.5 pt,Non Italique,Corps du texte (3) + 17.5 pt,Non Gras"/>
    <w:rPr>
      <w:rFonts w:ascii="Times New Roman" w:eastAsia="Times New Roman" w:hAnsi="Times New Roman" w:cs="Times New Roman"/>
      <w:b/>
      <w:bCs/>
      <w:i w:val="0"/>
      <w:iCs w:val="0"/>
      <w:smallCaps w:val="0"/>
      <w:strike w:val="0"/>
      <w:color w:val="000000"/>
      <w:spacing w:val="40"/>
      <w:w w:val="66"/>
      <w:position w:val="0"/>
      <w:sz w:val="46"/>
      <w:szCs w:val="46"/>
      <w:u w:val="none"/>
      <w:lang w:val="en-US"/>
    </w:rPr>
  </w:style>
  <w:style w:type="paragraph" w:customStyle="1" w:styleId="Corpsdutexte1">
    <w:name w:val="Corps du texte1"/>
    <w:basedOn w:val="Normal"/>
    <w:uiPriority w:val="99"/>
    <w:pPr>
      <w:widowControl w:val="0"/>
      <w:shd w:val="clear" w:color="auto" w:fill="FFFFFF"/>
      <w:spacing w:before="900" w:after="360" w:line="408" w:lineRule="exact"/>
      <w:ind w:hanging="600"/>
      <w:jc w:val="center"/>
    </w:pPr>
    <w:rPr>
      <w:rFonts w:ascii="Times New Roman" w:eastAsia="Times New Roman" w:hAnsi="Times New Roman" w:cs="Times New Roman"/>
      <w:sz w:val="24"/>
      <w:szCs w:val="24"/>
      <w:lang w:val="en-US" w:eastAsia="en-GB"/>
    </w:rPr>
  </w:style>
  <w:style w:type="character" w:customStyle="1" w:styleId="Corpsdutexte211pt">
    <w:name w:val="Corps du texte (2) + 11 pt"/>
    <w:rPr>
      <w:rFonts w:ascii="Times New Roman" w:eastAsia="Times New Roman" w:hAnsi="Times New Roman" w:cs="Times New Roman"/>
      <w:color w:val="000000"/>
      <w:spacing w:val="0"/>
      <w:w w:val="100"/>
      <w:position w:val="0"/>
      <w:sz w:val="22"/>
      <w:szCs w:val="22"/>
      <w:shd w:val="clear" w:color="auto" w:fill="FFFFFF"/>
    </w:rPr>
  </w:style>
  <w:style w:type="character" w:customStyle="1" w:styleId="En-tte1">
    <w:name w:val="En-tête #1_"/>
    <w:link w:val="En-tte10"/>
    <w:rPr>
      <w:sz w:val="21"/>
      <w:szCs w:val="21"/>
      <w:shd w:val="clear" w:color="auto" w:fill="FFFFFF"/>
      <w:lang w:val="bg"/>
    </w:rPr>
  </w:style>
  <w:style w:type="character" w:customStyle="1" w:styleId="En-tte1Espacement2pt">
    <w:name w:val="En-tête #1 + Espacement 2 pt"/>
    <w:rPr>
      <w:rFonts w:ascii="Times New Roman" w:eastAsia="Times New Roman" w:hAnsi="Times New Roman" w:cs="Times New Roman"/>
      <w:color w:val="000000"/>
      <w:spacing w:val="40"/>
      <w:w w:val="100"/>
      <w:position w:val="0"/>
      <w:sz w:val="21"/>
      <w:szCs w:val="21"/>
      <w:shd w:val="clear" w:color="auto" w:fill="FFFFFF"/>
      <w:lang w:val="bg"/>
    </w:rPr>
  </w:style>
  <w:style w:type="character" w:customStyle="1" w:styleId="Corpsdutexte3">
    <w:name w:val="Corps du texte (3)_"/>
    <w:rPr>
      <w:b w:val="0"/>
      <w:bCs w:val="0"/>
      <w:i w:val="0"/>
      <w:iCs w:val="0"/>
      <w:smallCaps w:val="0"/>
      <w:strike w:val="0"/>
      <w:sz w:val="34"/>
      <w:szCs w:val="34"/>
      <w:u w:val="none"/>
    </w:rPr>
  </w:style>
  <w:style w:type="character" w:customStyle="1" w:styleId="Corpsdutexte30">
    <w:name w:val="Corps du texte (3)"/>
    <w:rPr>
      <w:rFonts w:ascii="Times New Roman" w:eastAsia="Times New Roman" w:hAnsi="Times New Roman" w:cs="Times New Roman"/>
      <w:b w:val="0"/>
      <w:bCs w:val="0"/>
      <w:i w:val="0"/>
      <w:iCs w:val="0"/>
      <w:smallCaps w:val="0"/>
      <w:strike w:val="0"/>
      <w:color w:val="000000"/>
      <w:spacing w:val="0"/>
      <w:w w:val="100"/>
      <w:position w:val="0"/>
      <w:sz w:val="34"/>
      <w:szCs w:val="34"/>
      <w:u w:val="none"/>
      <w:lang w:val="en-US"/>
    </w:rPr>
  </w:style>
  <w:style w:type="character" w:customStyle="1" w:styleId="En-tte3">
    <w:name w:val="En-tête #3_"/>
    <w:link w:val="En-tte30"/>
    <w:rPr>
      <w:spacing w:val="10"/>
      <w:sz w:val="28"/>
      <w:szCs w:val="28"/>
      <w:shd w:val="clear" w:color="auto" w:fill="FFFFFF"/>
    </w:rPr>
  </w:style>
  <w:style w:type="character" w:customStyle="1" w:styleId="En-tte4">
    <w:name w:val="En-tête #4_"/>
    <w:link w:val="En-tte40"/>
    <w:rPr>
      <w:spacing w:val="10"/>
      <w:sz w:val="28"/>
      <w:szCs w:val="28"/>
      <w:shd w:val="clear" w:color="auto" w:fill="FFFFFF"/>
    </w:rPr>
  </w:style>
  <w:style w:type="character" w:customStyle="1" w:styleId="En-tte5">
    <w:name w:val="En-tête #5_"/>
    <w:link w:val="En-tte50"/>
    <w:rPr>
      <w:sz w:val="30"/>
      <w:szCs w:val="30"/>
      <w:shd w:val="clear" w:color="auto" w:fill="FFFFFF"/>
      <w:lang w:val="sl"/>
    </w:rPr>
  </w:style>
  <w:style w:type="character" w:customStyle="1" w:styleId="En-tte6">
    <w:name w:val="En-tête #6_"/>
    <w:link w:val="En-tte60"/>
    <w:rPr>
      <w:sz w:val="21"/>
      <w:szCs w:val="21"/>
      <w:shd w:val="clear" w:color="auto" w:fill="FFFFFF"/>
      <w:lang w:val="sl"/>
    </w:rPr>
  </w:style>
  <w:style w:type="character" w:customStyle="1" w:styleId="En-tte6Espacement1pt">
    <w:name w:val="En-tête #6 + Espacement 1 pt"/>
    <w:rPr>
      <w:rFonts w:ascii="Times New Roman" w:eastAsia="Times New Roman" w:hAnsi="Times New Roman" w:cs="Times New Roman"/>
      <w:color w:val="000000"/>
      <w:spacing w:val="30"/>
      <w:w w:val="100"/>
      <w:position w:val="0"/>
      <w:sz w:val="21"/>
      <w:szCs w:val="21"/>
      <w:shd w:val="clear" w:color="auto" w:fill="FFFFFF"/>
      <w:lang w:val="sl"/>
    </w:rPr>
  </w:style>
  <w:style w:type="character" w:customStyle="1" w:styleId="En-tteoupieddepageEspacement0pt">
    <w:name w:val="En-tête ou pied de page + Espacement 0 pt"/>
    <w:rPr>
      <w:rFonts w:ascii="Times New Roman" w:eastAsia="Times New Roman" w:hAnsi="Times New Roman" w:cs="Times New Roman"/>
      <w:color w:val="000000"/>
      <w:spacing w:val="10"/>
      <w:w w:val="100"/>
      <w:position w:val="0"/>
      <w:sz w:val="20"/>
      <w:szCs w:val="20"/>
      <w:shd w:val="clear" w:color="auto" w:fill="FFFFFF"/>
      <w:lang w:val="sl"/>
    </w:rPr>
  </w:style>
  <w:style w:type="character" w:customStyle="1" w:styleId="En-tte62">
    <w:name w:val="En-tête #6 (2)_"/>
    <w:link w:val="En-tte620"/>
    <w:rPr>
      <w:spacing w:val="10"/>
      <w:sz w:val="31"/>
      <w:szCs w:val="31"/>
      <w:shd w:val="clear" w:color="auto" w:fill="FFFFFF"/>
      <w:lang w:val="fr"/>
    </w:rPr>
  </w:style>
  <w:style w:type="character" w:customStyle="1" w:styleId="Corpsdutexte5">
    <w:name w:val="Corps du texte (5)_"/>
    <w:link w:val="Corpsdutexte50"/>
    <w:rPr>
      <w:spacing w:val="10"/>
      <w:sz w:val="31"/>
      <w:szCs w:val="31"/>
      <w:shd w:val="clear" w:color="auto" w:fill="FFFFFF"/>
      <w:lang w:val="sl"/>
    </w:rPr>
  </w:style>
  <w:style w:type="character" w:customStyle="1" w:styleId="Lgendedelimage">
    <w:name w:val="Légende de l'image_"/>
    <w:rPr>
      <w:b w:val="0"/>
      <w:bCs w:val="0"/>
      <w:i w:val="0"/>
      <w:iCs w:val="0"/>
      <w:smallCaps w:val="0"/>
      <w:strike w:val="0"/>
      <w:sz w:val="21"/>
      <w:szCs w:val="21"/>
      <w:u w:val="none"/>
    </w:rPr>
  </w:style>
  <w:style w:type="character" w:customStyle="1" w:styleId="Lgendedelimage0">
    <w:name w:val="Légende de l'image"/>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style>
  <w:style w:type="character" w:customStyle="1" w:styleId="Corpsdutexte8">
    <w:name w:val="Corps du texte (8)_"/>
    <w:rPr>
      <w:b w:val="0"/>
      <w:bCs w:val="0"/>
      <w:i w:val="0"/>
      <w:iCs w:val="0"/>
      <w:smallCaps w:val="0"/>
      <w:strike w:val="0"/>
      <w:sz w:val="16"/>
      <w:szCs w:val="16"/>
      <w:u w:val="none"/>
    </w:rPr>
  </w:style>
  <w:style w:type="character" w:customStyle="1" w:styleId="Corpsdutexte80">
    <w:name w:val="Corps du texte (8)"/>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style>
  <w:style w:type="character" w:customStyle="1" w:styleId="Corpsdutexte8Gras">
    <w:name w:val="Corps du texte (8) + Gras"/>
    <w:rPr>
      <w:rFonts w:ascii="Times New Roman" w:eastAsia="Times New Roman" w:hAnsi="Times New Roman" w:cs="Times New Roman"/>
      <w:b/>
      <w:bCs/>
      <w:i w:val="0"/>
      <w:iCs w:val="0"/>
      <w:smallCaps w:val="0"/>
      <w:strike w:val="0"/>
      <w:color w:val="000000"/>
      <w:spacing w:val="0"/>
      <w:w w:val="100"/>
      <w:position w:val="0"/>
      <w:sz w:val="16"/>
      <w:szCs w:val="16"/>
      <w:u w:val="none"/>
      <w:lang w:val="en-US"/>
    </w:rPr>
  </w:style>
  <w:style w:type="character" w:customStyle="1" w:styleId="Lgendedelimage2">
    <w:name w:val="Légende de l'image (2)_"/>
    <w:link w:val="Lgendedelimage20"/>
    <w:rPr>
      <w:sz w:val="21"/>
      <w:szCs w:val="21"/>
      <w:shd w:val="clear" w:color="auto" w:fill="FFFFFF"/>
    </w:rPr>
  </w:style>
  <w:style w:type="character" w:customStyle="1" w:styleId="Corpsdutexte4Espacement-1pt">
    <w:name w:val="Corps du texte (4) + Espacement -1 pt"/>
    <w:rPr>
      <w:rFonts w:ascii="Times New Roman" w:eastAsia="Times New Roman" w:hAnsi="Times New Roman" w:cs="Times New Roman"/>
      <w:b w:val="0"/>
      <w:bCs w:val="0"/>
      <w:i w:val="0"/>
      <w:iCs w:val="0"/>
      <w:smallCaps w:val="0"/>
      <w:strike w:val="0"/>
      <w:color w:val="000000"/>
      <w:spacing w:val="-20"/>
      <w:w w:val="100"/>
      <w:position w:val="0"/>
      <w:sz w:val="21"/>
      <w:szCs w:val="21"/>
      <w:u w:val="none"/>
      <w:lang w:val="sl"/>
    </w:rPr>
  </w:style>
  <w:style w:type="character" w:customStyle="1" w:styleId="En-tte72Gras">
    <w:name w:val="En-tête #7 (2) + Gras"/>
    <w:rPr>
      <w:rFonts w:ascii="Times New Roman" w:eastAsia="Times New Roman" w:hAnsi="Times New Roman" w:cs="Times New Roman"/>
      <w:b/>
      <w:bCs/>
      <w:i w:val="0"/>
      <w:iCs w:val="0"/>
      <w:smallCaps w:val="0"/>
      <w:strike w:val="0"/>
      <w:color w:val="000000"/>
      <w:spacing w:val="0"/>
      <w:w w:val="100"/>
      <w:position w:val="0"/>
      <w:sz w:val="21"/>
      <w:szCs w:val="21"/>
      <w:u w:val="none"/>
      <w:lang w:val="en-US"/>
    </w:rPr>
  </w:style>
  <w:style w:type="character" w:customStyle="1" w:styleId="Corpsdutexte95pt">
    <w:name w:val="Corps du texte + 9.5 p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en-US"/>
    </w:rPr>
  </w:style>
  <w:style w:type="character" w:customStyle="1" w:styleId="En-tte2">
    <w:name w:val="En-tête #2_"/>
    <w:link w:val="En-tte20"/>
    <w:rPr>
      <w:sz w:val="30"/>
      <w:szCs w:val="30"/>
      <w:shd w:val="clear" w:color="auto" w:fill="FFFFFF"/>
      <w:lang w:val="sl"/>
    </w:rPr>
  </w:style>
  <w:style w:type="paragraph" w:customStyle="1" w:styleId="En-tte10">
    <w:name w:val="En-tête #1"/>
    <w:basedOn w:val="Normal"/>
    <w:link w:val="En-tte1"/>
    <w:pPr>
      <w:widowControl w:val="0"/>
      <w:shd w:val="clear" w:color="auto" w:fill="FFFFFF"/>
      <w:spacing w:before="120" w:after="480" w:line="0" w:lineRule="atLeast"/>
      <w:jc w:val="center"/>
      <w:outlineLvl w:val="0"/>
    </w:pPr>
    <w:rPr>
      <w:sz w:val="21"/>
      <w:szCs w:val="21"/>
      <w:lang w:val="bg"/>
    </w:rPr>
  </w:style>
  <w:style w:type="paragraph" w:customStyle="1" w:styleId="En-tte30">
    <w:name w:val="En-tête #3"/>
    <w:basedOn w:val="Normal"/>
    <w:link w:val="En-tte3"/>
    <w:pPr>
      <w:widowControl w:val="0"/>
      <w:shd w:val="clear" w:color="auto" w:fill="FFFFFF"/>
      <w:spacing w:after="0" w:line="0" w:lineRule="atLeast"/>
      <w:outlineLvl w:val="2"/>
    </w:pPr>
    <w:rPr>
      <w:spacing w:val="10"/>
      <w:sz w:val="28"/>
      <w:szCs w:val="28"/>
    </w:rPr>
  </w:style>
  <w:style w:type="paragraph" w:customStyle="1" w:styleId="En-tte40">
    <w:name w:val="En-tête #4"/>
    <w:basedOn w:val="Normal"/>
    <w:link w:val="En-tte4"/>
    <w:pPr>
      <w:widowControl w:val="0"/>
      <w:shd w:val="clear" w:color="auto" w:fill="FFFFFF"/>
      <w:spacing w:after="120" w:line="0" w:lineRule="atLeast"/>
      <w:outlineLvl w:val="3"/>
    </w:pPr>
    <w:rPr>
      <w:spacing w:val="10"/>
      <w:sz w:val="28"/>
      <w:szCs w:val="28"/>
    </w:rPr>
  </w:style>
  <w:style w:type="paragraph" w:customStyle="1" w:styleId="En-tte50">
    <w:name w:val="En-tête #5"/>
    <w:basedOn w:val="Normal"/>
    <w:link w:val="En-tte5"/>
    <w:pPr>
      <w:widowControl w:val="0"/>
      <w:shd w:val="clear" w:color="auto" w:fill="FFFFFF"/>
      <w:spacing w:before="120" w:after="660" w:line="0" w:lineRule="atLeast"/>
      <w:jc w:val="center"/>
      <w:outlineLvl w:val="4"/>
    </w:pPr>
    <w:rPr>
      <w:sz w:val="30"/>
      <w:szCs w:val="30"/>
      <w:lang w:val="sl"/>
    </w:rPr>
  </w:style>
  <w:style w:type="paragraph" w:customStyle="1" w:styleId="En-tte60">
    <w:name w:val="En-tête #6"/>
    <w:basedOn w:val="Normal"/>
    <w:link w:val="En-tte6"/>
    <w:pPr>
      <w:widowControl w:val="0"/>
      <w:shd w:val="clear" w:color="auto" w:fill="FFFFFF"/>
      <w:spacing w:after="0" w:line="346" w:lineRule="exact"/>
      <w:ind w:firstLine="360"/>
      <w:outlineLvl w:val="5"/>
    </w:pPr>
    <w:rPr>
      <w:sz w:val="21"/>
      <w:szCs w:val="21"/>
      <w:lang w:val="sl"/>
    </w:rPr>
  </w:style>
  <w:style w:type="paragraph" w:customStyle="1" w:styleId="En-tte620">
    <w:name w:val="En-tête #6 (2)"/>
    <w:basedOn w:val="Normal"/>
    <w:link w:val="En-tte62"/>
    <w:pPr>
      <w:widowControl w:val="0"/>
      <w:shd w:val="clear" w:color="auto" w:fill="FFFFFF"/>
      <w:spacing w:after="0" w:line="360" w:lineRule="exact"/>
      <w:jc w:val="both"/>
      <w:outlineLvl w:val="5"/>
    </w:pPr>
    <w:rPr>
      <w:spacing w:val="10"/>
      <w:sz w:val="31"/>
      <w:szCs w:val="31"/>
      <w:lang w:val="fr"/>
    </w:rPr>
  </w:style>
  <w:style w:type="paragraph" w:customStyle="1" w:styleId="Corpsdutexte50">
    <w:name w:val="Corps du texte (5)"/>
    <w:basedOn w:val="Normal"/>
    <w:link w:val="Corpsdutexte5"/>
    <w:pPr>
      <w:widowControl w:val="0"/>
      <w:shd w:val="clear" w:color="auto" w:fill="FFFFFF"/>
      <w:spacing w:after="0" w:line="360" w:lineRule="exact"/>
      <w:jc w:val="both"/>
    </w:pPr>
    <w:rPr>
      <w:spacing w:val="10"/>
      <w:sz w:val="31"/>
      <w:szCs w:val="31"/>
      <w:lang w:val="sl"/>
    </w:rPr>
  </w:style>
  <w:style w:type="paragraph" w:customStyle="1" w:styleId="Lgendedelimage20">
    <w:name w:val="Légende de l'image (2)"/>
    <w:basedOn w:val="Normal"/>
    <w:link w:val="Lgendedelimage2"/>
    <w:pPr>
      <w:widowControl w:val="0"/>
      <w:shd w:val="clear" w:color="auto" w:fill="FFFFFF"/>
      <w:spacing w:after="0" w:line="0" w:lineRule="atLeast"/>
    </w:pPr>
    <w:rPr>
      <w:sz w:val="21"/>
      <w:szCs w:val="21"/>
    </w:rPr>
  </w:style>
  <w:style w:type="paragraph" w:customStyle="1" w:styleId="En-tte20">
    <w:name w:val="En-tête #2"/>
    <w:basedOn w:val="Normal"/>
    <w:link w:val="En-tte2"/>
    <w:pPr>
      <w:widowControl w:val="0"/>
      <w:shd w:val="clear" w:color="auto" w:fill="FFFFFF"/>
      <w:spacing w:after="780" w:line="0" w:lineRule="atLeast"/>
      <w:jc w:val="both"/>
      <w:outlineLvl w:val="1"/>
    </w:pPr>
    <w:rPr>
      <w:sz w:val="30"/>
      <w:szCs w:val="30"/>
      <w:lang w:val="sl"/>
    </w:rPr>
  </w:style>
  <w:style w:type="paragraph" w:styleId="ListParagraph">
    <w:name w:val="List Paragraph"/>
    <w:basedOn w:val="Normal"/>
    <w:uiPriority w:val="34"/>
    <w:qFormat/>
    <w:pPr>
      <w:spacing w:after="0" w:line="240" w:lineRule="auto"/>
      <w:ind w:left="720"/>
    </w:pPr>
    <w:rPr>
      <w:rFonts w:ascii="Calibri" w:eastAsia="Calibri" w:hAnsi="Calibri" w:cs="Times New Roman"/>
    </w:rPr>
  </w:style>
  <w:style w:type="numbering" w:customStyle="1" w:styleId="NoList11">
    <w:name w:val="No List11"/>
    <w:next w:val="NoList"/>
    <w:uiPriority w:val="99"/>
    <w:semiHidden/>
    <w:unhideWhenUsed/>
  </w:style>
  <w:style w:type="numbering" w:customStyle="1" w:styleId="NoList111">
    <w:name w:val="No List111"/>
    <w:next w:val="NoList"/>
    <w:uiPriority w:val="99"/>
    <w:semiHidden/>
  </w:style>
  <w:style w:type="character" w:styleId="PageNumber">
    <w:name w:val="page number"/>
  </w:style>
  <w:style w:type="character" w:customStyle="1" w:styleId="ecx472343111-23052011">
    <w:name w:val="ecx472343111-23052011"/>
  </w:style>
  <w:style w:type="character" w:customStyle="1" w:styleId="apple-style-span">
    <w:name w:val="apple-style-span"/>
  </w:style>
  <w:style w:type="paragraph" w:customStyle="1" w:styleId="msolistparagraph0">
    <w:name w:val="msolistparagraph"/>
    <w:basedOn w:val="Normal"/>
    <w:pPr>
      <w:spacing w:after="0" w:line="240" w:lineRule="auto"/>
      <w:ind w:left="720"/>
    </w:pPr>
    <w:rPr>
      <w:rFonts w:ascii="Times New Roman" w:eastAsia="Times New Roman" w:hAnsi="Times New Roman" w:cs="Times New Roman"/>
      <w:sz w:val="24"/>
      <w:szCs w:val="24"/>
    </w:rPr>
  </w:style>
  <w:style w:type="table" w:styleId="TableGrid">
    <w:name w:val="Table Grid"/>
    <w:basedOn w:val="TableNormal"/>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qFormat/>
    <w:pPr>
      <w:spacing w:after="0" w:line="240" w:lineRule="auto"/>
    </w:pPr>
    <w:rPr>
      <w:rFonts w:ascii="Times New Roman" w:eastAsia="Times New Roman" w:hAnsi="Times New Roman" w:cs="Times New Roman"/>
      <w:b/>
      <w:bCs/>
      <w:sz w:val="20"/>
      <w:szCs w:val="20"/>
    </w:rPr>
  </w:style>
  <w:style w:type="paragraph" w:customStyle="1" w:styleId="Text1">
    <w:name w:val="Text 1"/>
    <w:basedOn w:val="Normal"/>
    <w:link w:val="Text1Znak"/>
    <w:pPr>
      <w:spacing w:before="120" w:after="120" w:line="240" w:lineRule="auto"/>
      <w:ind w:left="850"/>
      <w:jc w:val="both"/>
    </w:pPr>
    <w:rPr>
      <w:rFonts w:ascii="Times New Roman" w:eastAsia="Times New Roman" w:hAnsi="Times New Roman" w:cs="Times New Roman"/>
      <w:sz w:val="24"/>
      <w:szCs w:val="20"/>
      <w:lang w:eastAsia="en-GB"/>
    </w:rPr>
  </w:style>
  <w:style w:type="paragraph" w:styleId="BodyText">
    <w:name w:val="Body Text"/>
    <w:aliases w:val="Texto independiente Car,Car1 Car,Body"/>
    <w:basedOn w:val="Normal"/>
    <w:link w:val="BodyTextChar"/>
    <w:pPr>
      <w:spacing w:after="0" w:line="240" w:lineRule="auto"/>
      <w:jc w:val="both"/>
    </w:pPr>
    <w:rPr>
      <w:rFonts w:ascii="Times New Roman" w:eastAsia="Times New Roman" w:hAnsi="Times New Roman" w:cs="Times New Roman"/>
      <w:sz w:val="24"/>
      <w:szCs w:val="24"/>
      <w:lang w:val="uk-UA" w:eastAsia="x-none"/>
    </w:rPr>
  </w:style>
  <w:style w:type="character" w:customStyle="1" w:styleId="BodyTextChar">
    <w:name w:val="Body Text Char"/>
    <w:aliases w:val="Texto independiente Car Char,Car1 Car Char,Body Char"/>
    <w:basedOn w:val="DefaultParagraphFont"/>
    <w:link w:val="BodyText"/>
    <w:rPr>
      <w:rFonts w:ascii="Times New Roman" w:eastAsia="Times New Roman" w:hAnsi="Times New Roman" w:cs="Times New Roman"/>
      <w:sz w:val="24"/>
      <w:szCs w:val="24"/>
      <w:lang w:val="uk-UA" w:eastAsia="x-none"/>
    </w:rPr>
  </w:style>
  <w:style w:type="paragraph" w:customStyle="1" w:styleId="ListNumber1">
    <w:name w:val="List Number 1"/>
    <w:basedOn w:val="Text1"/>
    <w:pPr>
      <w:numPr>
        <w:numId w:val="17"/>
      </w:numPr>
      <w:tabs>
        <w:tab w:val="clear" w:pos="1560"/>
        <w:tab w:val="num" w:pos="720"/>
      </w:tabs>
      <w:ind w:left="720" w:hanging="360"/>
    </w:pPr>
    <w:rPr>
      <w:szCs w:val="24"/>
      <w:lang w:eastAsia="de-DE"/>
    </w:rPr>
  </w:style>
  <w:style w:type="paragraph" w:customStyle="1" w:styleId="ListNumber1Level2">
    <w:name w:val="List Number 1 (Level 2)"/>
    <w:basedOn w:val="Text1"/>
    <w:pPr>
      <w:numPr>
        <w:ilvl w:val="1"/>
        <w:numId w:val="17"/>
      </w:numPr>
      <w:tabs>
        <w:tab w:val="clear" w:pos="2268"/>
        <w:tab w:val="num" w:pos="1440"/>
      </w:tabs>
      <w:ind w:left="1440" w:hanging="360"/>
    </w:pPr>
    <w:rPr>
      <w:szCs w:val="24"/>
      <w:lang w:eastAsia="de-DE"/>
    </w:rPr>
  </w:style>
  <w:style w:type="paragraph" w:customStyle="1" w:styleId="ListNumber1Level3">
    <w:name w:val="List Number 1 (Level 3)"/>
    <w:basedOn w:val="Text1"/>
    <w:pPr>
      <w:numPr>
        <w:ilvl w:val="2"/>
        <w:numId w:val="17"/>
      </w:numPr>
      <w:tabs>
        <w:tab w:val="clear" w:pos="2977"/>
        <w:tab w:val="num" w:pos="2160"/>
      </w:tabs>
      <w:ind w:left="2160" w:hanging="360"/>
    </w:pPr>
    <w:rPr>
      <w:szCs w:val="24"/>
      <w:lang w:eastAsia="de-DE"/>
    </w:rPr>
  </w:style>
  <w:style w:type="paragraph" w:customStyle="1" w:styleId="ListNumber1Level4">
    <w:name w:val="List Number 1 (Level 4)"/>
    <w:basedOn w:val="Text1"/>
    <w:pPr>
      <w:numPr>
        <w:ilvl w:val="3"/>
        <w:numId w:val="17"/>
      </w:numPr>
      <w:tabs>
        <w:tab w:val="clear" w:pos="3686"/>
        <w:tab w:val="num" w:pos="2880"/>
      </w:tabs>
      <w:ind w:left="2880" w:hanging="360"/>
    </w:pPr>
    <w:rPr>
      <w:szCs w:val="24"/>
      <w:lang w:eastAsia="de-DE"/>
    </w:rPr>
  </w:style>
  <w:style w:type="paragraph" w:customStyle="1" w:styleId="Titrearticle">
    <w:name w:val="Titre article"/>
    <w:basedOn w:val="Normal"/>
    <w:next w:val="Normal"/>
    <w:link w:val="TitrearticleChar"/>
    <w:pPr>
      <w:keepNext/>
      <w:spacing w:before="360" w:after="120" w:line="240" w:lineRule="auto"/>
      <w:jc w:val="center"/>
    </w:pPr>
    <w:rPr>
      <w:rFonts w:ascii="Times New Roman" w:eastAsia="Times New Roman" w:hAnsi="Times New Roman" w:cs="Times New Roman"/>
      <w:i/>
      <w:sz w:val="24"/>
      <w:szCs w:val="24"/>
      <w:lang w:eastAsia="de-DE"/>
    </w:rPr>
  </w:style>
  <w:style w:type="paragraph" w:customStyle="1" w:styleId="Text2">
    <w:name w:val="Text 2"/>
    <w:basedOn w:val="Normal"/>
    <w:pPr>
      <w:numPr>
        <w:numId w:val="21"/>
      </w:numPr>
      <w:tabs>
        <w:tab w:val="clear" w:pos="360"/>
      </w:tabs>
      <w:spacing w:before="120" w:after="120" w:line="240" w:lineRule="auto"/>
      <w:ind w:left="850" w:firstLine="0"/>
      <w:jc w:val="both"/>
    </w:pPr>
    <w:rPr>
      <w:rFonts w:ascii="Times New Roman" w:eastAsia="Times New Roman" w:hAnsi="Times New Roman" w:cs="Times New Roman"/>
      <w:sz w:val="24"/>
      <w:szCs w:val="24"/>
      <w:lang w:eastAsia="de-DE"/>
    </w:rPr>
  </w:style>
  <w:style w:type="paragraph" w:styleId="ListNumber">
    <w:name w:val="List Number"/>
    <w:basedOn w:val="Normal"/>
    <w:pPr>
      <w:numPr>
        <w:numId w:val="18"/>
      </w:numPr>
      <w:spacing w:before="120" w:after="120" w:line="240" w:lineRule="auto"/>
      <w:jc w:val="both"/>
    </w:pPr>
    <w:rPr>
      <w:rFonts w:ascii="Times New Roman" w:eastAsia="Times New Roman" w:hAnsi="Times New Roman" w:cs="Times New Roman"/>
      <w:sz w:val="24"/>
      <w:szCs w:val="24"/>
      <w:lang w:eastAsia="en-GB"/>
    </w:rPr>
  </w:style>
  <w:style w:type="paragraph" w:customStyle="1" w:styleId="ListNumberLevel2">
    <w:name w:val="List Number (Level 2)"/>
    <w:basedOn w:val="Normal"/>
    <w:pPr>
      <w:numPr>
        <w:ilvl w:val="1"/>
        <w:numId w:val="18"/>
      </w:numPr>
      <w:spacing w:before="120" w:after="120" w:line="240" w:lineRule="auto"/>
      <w:jc w:val="both"/>
    </w:pPr>
    <w:rPr>
      <w:rFonts w:ascii="Times New Roman" w:eastAsia="Times New Roman" w:hAnsi="Times New Roman" w:cs="Times New Roman"/>
      <w:sz w:val="24"/>
      <w:szCs w:val="24"/>
      <w:lang w:eastAsia="en-GB"/>
    </w:rPr>
  </w:style>
  <w:style w:type="paragraph" w:customStyle="1" w:styleId="ListNumberLevel3">
    <w:name w:val="List Number (Level 3)"/>
    <w:basedOn w:val="Normal"/>
    <w:pPr>
      <w:numPr>
        <w:ilvl w:val="2"/>
        <w:numId w:val="18"/>
      </w:numPr>
      <w:spacing w:before="120" w:after="120" w:line="240" w:lineRule="auto"/>
      <w:jc w:val="both"/>
    </w:pPr>
    <w:rPr>
      <w:rFonts w:ascii="Times New Roman" w:eastAsia="Times New Roman" w:hAnsi="Times New Roman" w:cs="Times New Roman"/>
      <w:sz w:val="24"/>
      <w:szCs w:val="24"/>
      <w:lang w:eastAsia="en-GB"/>
    </w:rPr>
  </w:style>
  <w:style w:type="paragraph" w:customStyle="1" w:styleId="ListNumberLevel4">
    <w:name w:val="List Number (Level 4)"/>
    <w:basedOn w:val="Normal"/>
    <w:pPr>
      <w:numPr>
        <w:ilvl w:val="3"/>
        <w:numId w:val="18"/>
      </w:numPr>
      <w:spacing w:before="120" w:after="120" w:line="240" w:lineRule="auto"/>
      <w:jc w:val="both"/>
    </w:pPr>
    <w:rPr>
      <w:rFonts w:ascii="Times New Roman" w:eastAsia="Times New Roman" w:hAnsi="Times New Roman" w:cs="Times New Roman"/>
      <w:sz w:val="24"/>
      <w:szCs w:val="24"/>
      <w:lang w:eastAsia="en-GB"/>
    </w:rPr>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M4">
    <w:name w:val="CM4"/>
    <w:basedOn w:val="Normal"/>
    <w:next w:val="Normal"/>
    <w:uiPriority w:val="99"/>
    <w:pPr>
      <w:autoSpaceDE w:val="0"/>
      <w:autoSpaceDN w:val="0"/>
      <w:adjustRightInd w:val="0"/>
      <w:spacing w:after="0" w:line="240" w:lineRule="auto"/>
    </w:pPr>
    <w:rPr>
      <w:rFonts w:ascii="EUAlbertina" w:eastAsia="Times New Roman" w:hAnsi="EUAlbertina" w:cs="Times New Roman"/>
      <w:sz w:val="24"/>
      <w:szCs w:val="24"/>
      <w:lang w:eastAsia="en-GB"/>
    </w:rPr>
  </w:style>
  <w:style w:type="paragraph" w:customStyle="1" w:styleId="CharCharCharCharCharCharChar">
    <w:name w:val="Char Char Char Char Char Char Char"/>
    <w:aliases w:val=" Char Char Char Char Char1"/>
    <w:basedOn w:val="Normal"/>
    <w:next w:val="Normal"/>
    <w:pPr>
      <w:spacing w:after="160" w:line="240" w:lineRule="exact"/>
    </w:pPr>
    <w:rPr>
      <w:rFonts w:ascii="Tahoma" w:eastAsia="Times New Roman" w:hAnsi="Tahoma" w:cs="Times New Roman"/>
      <w:sz w:val="24"/>
      <w:szCs w:val="20"/>
    </w:rPr>
  </w:style>
  <w:style w:type="paragraph" w:styleId="Title">
    <w:name w:val="Title"/>
    <w:basedOn w:val="Normal"/>
    <w:next w:val="Normal"/>
    <w:link w:val="TitleChar"/>
    <w:uiPriority w:val="10"/>
    <w:qFormat/>
    <w:pPr>
      <w:spacing w:before="240" w:after="60"/>
      <w:jc w:val="center"/>
      <w:outlineLvl w:val="0"/>
    </w:pPr>
    <w:rPr>
      <w:rFonts w:ascii="Times New Roman" w:eastAsia="Times New Roman" w:hAnsi="Times New Roman" w:cs="Times New Roman"/>
      <w:b/>
      <w:bCs/>
      <w:kern w:val="28"/>
      <w:sz w:val="24"/>
      <w:szCs w:val="32"/>
      <w:lang w:val="x-none"/>
    </w:rPr>
  </w:style>
  <w:style w:type="character" w:customStyle="1" w:styleId="TitleChar">
    <w:name w:val="Title Char"/>
    <w:basedOn w:val="DefaultParagraphFont"/>
    <w:link w:val="Title"/>
    <w:uiPriority w:val="10"/>
    <w:rPr>
      <w:rFonts w:ascii="Times New Roman" w:eastAsia="Times New Roman" w:hAnsi="Times New Roman" w:cs="Times New Roman"/>
      <w:b/>
      <w:bCs/>
      <w:kern w:val="28"/>
      <w:sz w:val="24"/>
      <w:szCs w:val="32"/>
      <w:lang w:val="x-none"/>
    </w:rPr>
  </w:style>
  <w:style w:type="paragraph" w:styleId="PlainText">
    <w:name w:val="Plain Text"/>
    <w:basedOn w:val="Normal"/>
    <w:link w:val="PlainTextChar"/>
    <w:uiPriority w:val="99"/>
    <w:unhideWhenUsed/>
    <w:pPr>
      <w:spacing w:after="0" w:line="240" w:lineRule="auto"/>
    </w:pPr>
    <w:rPr>
      <w:rFonts w:ascii="Times New Roman" w:eastAsia="Calibri" w:hAnsi="Times New Roman" w:cs="Times New Roman"/>
      <w:sz w:val="24"/>
      <w:szCs w:val="24"/>
      <w:lang w:val="x-none"/>
    </w:rPr>
  </w:style>
  <w:style w:type="character" w:customStyle="1" w:styleId="PlainTextChar">
    <w:name w:val="Plain Text Char"/>
    <w:basedOn w:val="DefaultParagraphFont"/>
    <w:link w:val="PlainText"/>
    <w:uiPriority w:val="99"/>
    <w:rPr>
      <w:rFonts w:ascii="Times New Roman" w:eastAsia="Calibri" w:hAnsi="Times New Roman" w:cs="Times New Roman"/>
      <w:sz w:val="24"/>
      <w:szCs w:val="24"/>
      <w:lang w:val="x-none"/>
    </w:rPr>
  </w:style>
  <w:style w:type="paragraph" w:customStyle="1" w:styleId="Bullet1">
    <w:name w:val="Bullet 1"/>
    <w:basedOn w:val="Normal"/>
    <w:pPr>
      <w:numPr>
        <w:numId w:val="19"/>
      </w:numPr>
      <w:spacing w:before="120" w:after="120" w:line="360" w:lineRule="auto"/>
      <w:outlineLvl w:val="0"/>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pPr>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Pr>
      <w:rFonts w:ascii="Courier New" w:eastAsia="Times New Roman" w:hAnsi="Courier New" w:cs="Courier New"/>
      <w:sz w:val="20"/>
      <w:szCs w:val="20"/>
    </w:rPr>
  </w:style>
  <w:style w:type="paragraph" w:styleId="ListBullet2">
    <w:name w:val="List Bullet 2"/>
    <w:basedOn w:val="Normal"/>
    <w:pPr>
      <w:numPr>
        <w:numId w:val="20"/>
      </w:numPr>
      <w:spacing w:after="0" w:line="240" w:lineRule="auto"/>
      <w:contextualSpacing/>
    </w:pPr>
    <w:rPr>
      <w:rFonts w:ascii="Times New Roman" w:eastAsia="Times New Roman" w:hAnsi="Times New Roman" w:cs="Times New Roman"/>
      <w:sz w:val="24"/>
      <w:szCs w:val="24"/>
    </w:rPr>
  </w:style>
  <w:style w:type="numbering" w:customStyle="1" w:styleId="NoList1111">
    <w:name w:val="No List1111"/>
    <w:next w:val="NoList"/>
    <w:uiPriority w:val="99"/>
    <w:semiHidden/>
    <w:unhideWhenUsed/>
  </w:style>
  <w:style w:type="paragraph" w:customStyle="1" w:styleId="ZDGName">
    <w:name w:val="Z_DGName"/>
    <w:basedOn w:val="Normal"/>
    <w:pPr>
      <w:widowControl w:val="0"/>
      <w:autoSpaceDE w:val="0"/>
      <w:autoSpaceDN w:val="0"/>
      <w:spacing w:after="0" w:line="240" w:lineRule="auto"/>
      <w:ind w:right="85"/>
    </w:pPr>
    <w:rPr>
      <w:rFonts w:ascii="Arial" w:eastAsia="Times New Roman" w:hAnsi="Arial" w:cs="Arial"/>
      <w:sz w:val="16"/>
      <w:szCs w:val="16"/>
      <w:lang w:eastAsia="en-GB"/>
    </w:rPr>
  </w:style>
  <w:style w:type="paragraph" w:customStyle="1" w:styleId="ZCom">
    <w:name w:val="Z_Com"/>
    <w:basedOn w:val="Normal"/>
    <w:next w:val="ZDGName"/>
    <w:pPr>
      <w:widowControl w:val="0"/>
      <w:autoSpaceDE w:val="0"/>
      <w:autoSpaceDN w:val="0"/>
      <w:spacing w:after="0" w:line="240" w:lineRule="auto"/>
      <w:ind w:right="85"/>
      <w:jc w:val="both"/>
    </w:pPr>
    <w:rPr>
      <w:rFonts w:ascii="Arial" w:eastAsia="Times New Roman" w:hAnsi="Arial" w:cs="Arial"/>
      <w:sz w:val="24"/>
      <w:szCs w:val="24"/>
      <w:lang w:eastAsia="en-GB"/>
    </w:rPr>
  </w:style>
  <w:style w:type="paragraph" w:customStyle="1" w:styleId="CM1">
    <w:name w:val="CM1"/>
    <w:basedOn w:val="Default"/>
    <w:next w:val="Default"/>
    <w:uiPriority w:val="99"/>
    <w:rPr>
      <w:rFonts w:ascii="EUAlbertina" w:eastAsia="Calibri" w:hAnsi="EUAlbertina"/>
      <w:color w:val="auto"/>
      <w:lang w:val="en-GB"/>
    </w:rPr>
  </w:style>
  <w:style w:type="paragraph" w:customStyle="1" w:styleId="CM3">
    <w:name w:val="CM3"/>
    <w:basedOn w:val="Default"/>
    <w:next w:val="Default"/>
    <w:uiPriority w:val="99"/>
    <w:rPr>
      <w:rFonts w:ascii="EUAlbertina" w:eastAsia="Calibri" w:hAnsi="EUAlbertina"/>
      <w:color w:val="auto"/>
      <w:lang w:val="en-GB"/>
    </w:rPr>
  </w:style>
  <w:style w:type="character" w:customStyle="1" w:styleId="spschname">
    <w:name w:val="sp_schname"/>
  </w:style>
  <w:style w:type="character" w:customStyle="1" w:styleId="TitrearticleChar">
    <w:name w:val="Titre article Char"/>
    <w:link w:val="Titrearticle"/>
    <w:rPr>
      <w:rFonts w:ascii="Times New Roman" w:eastAsia="Times New Roman" w:hAnsi="Times New Roman" w:cs="Times New Roman"/>
      <w:i/>
      <w:sz w:val="24"/>
      <w:szCs w:val="24"/>
      <w:lang w:eastAsia="de-DE"/>
    </w:rPr>
  </w:style>
  <w:style w:type="paragraph" w:customStyle="1" w:styleId="num">
    <w:name w:val="num"/>
    <w:basedOn w:val="Normal"/>
    <w:pPr>
      <w:spacing w:after="240" w:line="240" w:lineRule="auto"/>
      <w:ind w:left="850" w:hanging="850"/>
      <w:jc w:val="both"/>
    </w:pPr>
    <w:rPr>
      <w:rFonts w:ascii="Times New Roman" w:eastAsia="Times New Roman" w:hAnsi="Times New Roman" w:cs="Times New Roman"/>
      <w:sz w:val="24"/>
      <w:szCs w:val="20"/>
      <w:lang w:eastAsia="en-GB"/>
    </w:rPr>
  </w:style>
  <w:style w:type="paragraph" w:customStyle="1" w:styleId="num2">
    <w:name w:val="num2"/>
    <w:basedOn w:val="num"/>
    <w:pPr>
      <w:ind w:left="1700"/>
    </w:pPr>
  </w:style>
  <w:style w:type="paragraph" w:customStyle="1" w:styleId="footnote">
    <w:name w:val="footnote"/>
    <w:basedOn w:val="FootnoteText"/>
    <w:link w:val="footnoteChar"/>
    <w:pPr>
      <w:ind w:left="0" w:firstLine="0"/>
    </w:pPr>
    <w:rPr>
      <w:rFonts w:eastAsia="Batang"/>
      <w:sz w:val="16"/>
      <w:szCs w:val="16"/>
      <w:lang w:eastAsia="en-GB"/>
    </w:rPr>
  </w:style>
  <w:style w:type="character" w:customStyle="1" w:styleId="footnoteChar">
    <w:name w:val="footnote Char"/>
    <w:link w:val="footnote"/>
    <w:rPr>
      <w:rFonts w:ascii="Times New Roman" w:eastAsia="Batang" w:hAnsi="Times New Roman" w:cs="Times New Roman"/>
      <w:sz w:val="16"/>
      <w:szCs w:val="16"/>
      <w:lang w:val="en" w:eastAsia="en-GB"/>
    </w:rPr>
  </w:style>
  <w:style w:type="paragraph" w:customStyle="1" w:styleId="para">
    <w:name w:val="para"/>
    <w:basedOn w:val="Normal"/>
    <w:pPr>
      <w:spacing w:after="240" w:line="240" w:lineRule="auto"/>
    </w:pPr>
    <w:rPr>
      <w:rFonts w:ascii="Times New Roman" w:eastAsia="Batang" w:hAnsi="Times New Roman" w:cs="Times New Roman"/>
      <w:sz w:val="24"/>
      <w:szCs w:val="20"/>
      <w:lang w:val="en-US"/>
    </w:rPr>
  </w:style>
  <w:style w:type="paragraph" w:customStyle="1" w:styleId="Tiret4">
    <w:name w:val="Tiret 4"/>
    <w:basedOn w:val="Normal"/>
    <w:pPr>
      <w:tabs>
        <w:tab w:val="num" w:pos="3118"/>
      </w:tabs>
      <w:spacing w:before="120" w:after="120" w:line="240" w:lineRule="auto"/>
      <w:ind w:left="3118" w:hanging="567"/>
      <w:jc w:val="both"/>
    </w:pPr>
    <w:rPr>
      <w:rFonts w:ascii="Times New Roman" w:eastAsia="Times New Roman" w:hAnsi="Times New Roman" w:cs="Times New Roman"/>
      <w:sz w:val="24"/>
      <w:szCs w:val="24"/>
    </w:rPr>
  </w:style>
  <w:style w:type="paragraph" w:customStyle="1" w:styleId="NumPar1">
    <w:name w:val="NumPar 1"/>
    <w:basedOn w:val="Normal"/>
    <w:next w:val="Normal"/>
    <w:pPr>
      <w:numPr>
        <w:numId w:val="22"/>
      </w:numPr>
      <w:spacing w:before="120" w:after="120" w:line="240" w:lineRule="auto"/>
      <w:jc w:val="both"/>
    </w:pPr>
    <w:rPr>
      <w:rFonts w:ascii="Times New Roman" w:eastAsia="Times New Roman" w:hAnsi="Times New Roman" w:cs="Times New Roman"/>
      <w:sz w:val="24"/>
      <w:szCs w:val="24"/>
    </w:rPr>
  </w:style>
  <w:style w:type="paragraph" w:customStyle="1" w:styleId="NumPar2">
    <w:name w:val="NumPar 2"/>
    <w:basedOn w:val="Normal"/>
    <w:next w:val="Normal"/>
    <w:pPr>
      <w:numPr>
        <w:ilvl w:val="1"/>
        <w:numId w:val="22"/>
      </w:numPr>
      <w:spacing w:before="120" w:after="120" w:line="240" w:lineRule="auto"/>
      <w:jc w:val="both"/>
    </w:pPr>
    <w:rPr>
      <w:rFonts w:ascii="Times New Roman" w:eastAsia="Times New Roman" w:hAnsi="Times New Roman" w:cs="Times New Roman"/>
      <w:sz w:val="24"/>
      <w:szCs w:val="24"/>
    </w:rPr>
  </w:style>
  <w:style w:type="paragraph" w:customStyle="1" w:styleId="NumPar3">
    <w:name w:val="NumPar 3"/>
    <w:basedOn w:val="Normal"/>
    <w:next w:val="Normal"/>
    <w:pPr>
      <w:numPr>
        <w:ilvl w:val="2"/>
        <w:numId w:val="22"/>
      </w:numPr>
      <w:spacing w:before="120" w:after="120" w:line="240" w:lineRule="auto"/>
      <w:jc w:val="both"/>
    </w:pPr>
    <w:rPr>
      <w:rFonts w:ascii="Times New Roman" w:eastAsia="Times New Roman" w:hAnsi="Times New Roman" w:cs="Times New Roman"/>
      <w:sz w:val="24"/>
      <w:szCs w:val="24"/>
    </w:rPr>
  </w:style>
  <w:style w:type="paragraph" w:customStyle="1" w:styleId="NumPar4">
    <w:name w:val="NumPar 4"/>
    <w:basedOn w:val="Normal"/>
    <w:next w:val="Normal"/>
    <w:pPr>
      <w:numPr>
        <w:ilvl w:val="3"/>
        <w:numId w:val="22"/>
      </w:numPr>
      <w:spacing w:before="120" w:after="120" w:line="240" w:lineRule="auto"/>
      <w:jc w:val="both"/>
    </w:pPr>
    <w:rPr>
      <w:rFonts w:ascii="Times New Roman" w:eastAsia="Times New Roman" w:hAnsi="Times New Roman" w:cs="Times New Roman"/>
      <w:sz w:val="24"/>
      <w:szCs w:val="24"/>
    </w:rPr>
  </w:style>
  <w:style w:type="paragraph" w:customStyle="1" w:styleId="Point0number">
    <w:name w:val="Point 0 (number)"/>
    <w:basedOn w:val="Normal"/>
    <w:pPr>
      <w:numPr>
        <w:ilvl w:val="1"/>
        <w:numId w:val="23"/>
      </w:numPr>
      <w:spacing w:before="120" w:after="120" w:line="240" w:lineRule="auto"/>
      <w:jc w:val="both"/>
    </w:pPr>
    <w:rPr>
      <w:rFonts w:ascii="Times New Roman" w:eastAsia="Times New Roman" w:hAnsi="Times New Roman" w:cs="Times New Roman"/>
      <w:sz w:val="24"/>
      <w:szCs w:val="24"/>
    </w:rPr>
  </w:style>
  <w:style w:type="paragraph" w:customStyle="1" w:styleId="Point1number">
    <w:name w:val="Point 1 (number)"/>
    <w:basedOn w:val="Normal"/>
    <w:pPr>
      <w:numPr>
        <w:ilvl w:val="3"/>
        <w:numId w:val="23"/>
      </w:numPr>
      <w:spacing w:before="120" w:after="120" w:line="240" w:lineRule="auto"/>
      <w:jc w:val="both"/>
    </w:pPr>
    <w:rPr>
      <w:rFonts w:ascii="Times New Roman" w:eastAsia="Times New Roman" w:hAnsi="Times New Roman" w:cs="Times New Roman"/>
      <w:sz w:val="24"/>
      <w:szCs w:val="24"/>
    </w:rPr>
  </w:style>
  <w:style w:type="paragraph" w:customStyle="1" w:styleId="Point2number">
    <w:name w:val="Point 2 (number)"/>
    <w:basedOn w:val="Normal"/>
    <w:pPr>
      <w:numPr>
        <w:ilvl w:val="5"/>
        <w:numId w:val="23"/>
      </w:numPr>
      <w:spacing w:before="120" w:after="120" w:line="240" w:lineRule="auto"/>
      <w:jc w:val="both"/>
    </w:pPr>
    <w:rPr>
      <w:rFonts w:ascii="Times New Roman" w:eastAsia="Times New Roman" w:hAnsi="Times New Roman" w:cs="Times New Roman"/>
      <w:sz w:val="24"/>
      <w:szCs w:val="24"/>
    </w:rPr>
  </w:style>
  <w:style w:type="paragraph" w:customStyle="1" w:styleId="Point3number">
    <w:name w:val="Point 3 (number)"/>
    <w:basedOn w:val="Normal"/>
    <w:pPr>
      <w:numPr>
        <w:ilvl w:val="7"/>
        <w:numId w:val="23"/>
      </w:numPr>
      <w:spacing w:before="120" w:after="120" w:line="240" w:lineRule="auto"/>
      <w:jc w:val="both"/>
    </w:pPr>
    <w:rPr>
      <w:rFonts w:ascii="Times New Roman" w:eastAsia="Times New Roman" w:hAnsi="Times New Roman" w:cs="Times New Roman"/>
      <w:sz w:val="24"/>
      <w:szCs w:val="24"/>
    </w:rPr>
  </w:style>
  <w:style w:type="paragraph" w:customStyle="1" w:styleId="Point0letter">
    <w:name w:val="Point 0 (letter)"/>
    <w:basedOn w:val="Normal"/>
    <w:pPr>
      <w:tabs>
        <w:tab w:val="num" w:pos="850"/>
      </w:tabs>
      <w:spacing w:before="120" w:after="120" w:line="240" w:lineRule="auto"/>
      <w:ind w:left="850" w:hanging="850"/>
      <w:jc w:val="both"/>
    </w:pPr>
    <w:rPr>
      <w:rFonts w:ascii="Times New Roman" w:eastAsia="Times New Roman" w:hAnsi="Times New Roman" w:cs="Times New Roman"/>
      <w:sz w:val="24"/>
      <w:szCs w:val="24"/>
    </w:rPr>
  </w:style>
  <w:style w:type="paragraph" w:customStyle="1" w:styleId="Point1letter">
    <w:name w:val="Point 1 (letter)"/>
    <w:basedOn w:val="Normal"/>
    <w:pPr>
      <w:tabs>
        <w:tab w:val="num" w:pos="1417"/>
      </w:tabs>
      <w:spacing w:before="120" w:after="120" w:line="240" w:lineRule="auto"/>
      <w:ind w:left="1417" w:hanging="567"/>
      <w:jc w:val="both"/>
    </w:pPr>
    <w:rPr>
      <w:rFonts w:ascii="Times New Roman" w:eastAsia="Times New Roman" w:hAnsi="Times New Roman" w:cs="Times New Roman"/>
      <w:sz w:val="24"/>
      <w:szCs w:val="24"/>
    </w:rPr>
  </w:style>
  <w:style w:type="paragraph" w:customStyle="1" w:styleId="Point2letter">
    <w:name w:val="Point 2 (letter)"/>
    <w:basedOn w:val="Normal"/>
    <w:pPr>
      <w:tabs>
        <w:tab w:val="num" w:pos="1984"/>
      </w:tabs>
      <w:spacing w:before="120" w:after="120" w:line="240" w:lineRule="auto"/>
      <w:ind w:left="1984" w:hanging="567"/>
      <w:jc w:val="both"/>
    </w:pPr>
    <w:rPr>
      <w:rFonts w:ascii="Times New Roman" w:eastAsia="Times New Roman" w:hAnsi="Times New Roman" w:cs="Times New Roman"/>
      <w:sz w:val="24"/>
      <w:szCs w:val="24"/>
    </w:rPr>
  </w:style>
  <w:style w:type="paragraph" w:customStyle="1" w:styleId="Point3letter">
    <w:name w:val="Point 3 (letter)"/>
    <w:basedOn w:val="Normal"/>
    <w:pPr>
      <w:tabs>
        <w:tab w:val="num" w:pos="2551"/>
      </w:tabs>
      <w:spacing w:before="120" w:after="120" w:line="240" w:lineRule="auto"/>
      <w:ind w:left="2551" w:hanging="567"/>
      <w:jc w:val="both"/>
    </w:pPr>
    <w:rPr>
      <w:rFonts w:ascii="Times New Roman" w:eastAsia="Times New Roman" w:hAnsi="Times New Roman" w:cs="Times New Roman"/>
      <w:sz w:val="24"/>
      <w:szCs w:val="24"/>
    </w:rPr>
  </w:style>
  <w:style w:type="paragraph" w:customStyle="1" w:styleId="Point4letter">
    <w:name w:val="Point 4 (letter)"/>
    <w:basedOn w:val="Normal"/>
    <w:pPr>
      <w:tabs>
        <w:tab w:val="num" w:pos="3118"/>
      </w:tabs>
      <w:spacing w:before="120" w:after="120" w:line="240" w:lineRule="auto"/>
      <w:ind w:left="3118" w:hanging="567"/>
      <w:jc w:val="both"/>
    </w:pPr>
    <w:rPr>
      <w:rFonts w:ascii="Times New Roman" w:eastAsia="Times New Roman" w:hAnsi="Times New Roman" w:cs="Times New Roman"/>
      <w:sz w:val="24"/>
      <w:szCs w:val="24"/>
    </w:rPr>
  </w:style>
  <w:style w:type="paragraph" w:customStyle="1" w:styleId="ZTitleChapter">
    <w:name w:val="Z_Title Chapter"/>
    <w:basedOn w:val="Normal"/>
    <w:pPr>
      <w:tabs>
        <w:tab w:val="left" w:pos="567"/>
        <w:tab w:val="left" w:pos="851"/>
        <w:tab w:val="left" w:pos="1134"/>
        <w:tab w:val="left" w:pos="1418"/>
        <w:tab w:val="left" w:pos="1701"/>
      </w:tabs>
      <w:spacing w:after="0" w:line="240" w:lineRule="auto"/>
      <w:jc w:val="center"/>
    </w:pPr>
    <w:rPr>
      <w:rFonts w:ascii="Times New Roman" w:eastAsia="Times New Roman" w:hAnsi="Times New Roman" w:cs="Times New Roman"/>
      <w:b/>
      <w:bCs/>
      <w:sz w:val="32"/>
      <w:szCs w:val="20"/>
      <w:lang w:eastAsia="en-GB"/>
    </w:rPr>
  </w:style>
  <w:style w:type="character" w:customStyle="1" w:styleId="Text1Znak">
    <w:name w:val="Text 1 Znak"/>
    <w:link w:val="Text1"/>
    <w:rPr>
      <w:rFonts w:ascii="Times New Roman" w:eastAsia="Times New Roman" w:hAnsi="Times New Roman" w:cs="Times New Roman"/>
      <w:sz w:val="24"/>
      <w:szCs w:val="20"/>
      <w:lang w:eastAsia="en-GB"/>
    </w:rPr>
  </w:style>
  <w:style w:type="paragraph" w:customStyle="1" w:styleId="Point1">
    <w:name w:val="Point 1"/>
    <w:basedOn w:val="Normal"/>
    <w:link w:val="Point1Char"/>
    <w:pPr>
      <w:spacing w:before="120" w:after="120" w:line="240" w:lineRule="auto"/>
      <w:ind w:left="1417" w:hanging="567"/>
      <w:jc w:val="both"/>
    </w:pPr>
    <w:rPr>
      <w:rFonts w:ascii="Times New Roman" w:eastAsia="Times New Roman" w:hAnsi="Times New Roman" w:cs="Times New Roman"/>
      <w:sz w:val="24"/>
      <w:szCs w:val="24"/>
      <w:lang w:eastAsia="en-GB"/>
    </w:rPr>
  </w:style>
  <w:style w:type="character" w:customStyle="1" w:styleId="Point1Char">
    <w:name w:val="Point 1 Char"/>
    <w:link w:val="Point1"/>
    <w:rPr>
      <w:rFonts w:ascii="Times New Roman" w:eastAsia="Times New Roman" w:hAnsi="Times New Roman" w:cs="Times New Roman"/>
      <w:sz w:val="24"/>
      <w:szCs w:val="24"/>
      <w:lang w:eastAsia="en-GB"/>
    </w:rPr>
  </w:style>
  <w:style w:type="paragraph" w:customStyle="1" w:styleId="ManualNumPar1">
    <w:name w:val="Manual NumPar 1"/>
    <w:basedOn w:val="Normal"/>
    <w:next w:val="Text1"/>
    <w:link w:val="ManualNumPar10"/>
    <w:pPr>
      <w:spacing w:before="120" w:after="120" w:line="240" w:lineRule="auto"/>
      <w:ind w:left="850" w:hanging="850"/>
      <w:jc w:val="both"/>
    </w:pPr>
    <w:rPr>
      <w:rFonts w:ascii="Times New Roman" w:eastAsia="Times New Roman" w:hAnsi="Times New Roman" w:cs="Times New Roman"/>
      <w:sz w:val="24"/>
      <w:szCs w:val="24"/>
      <w:lang w:eastAsia="en-GB"/>
    </w:rPr>
  </w:style>
  <w:style w:type="character" w:customStyle="1" w:styleId="ManualNumPar10">
    <w:name w:val="Manual NumPar 1 Знак"/>
    <w:link w:val="ManualNumPar1"/>
    <w:locked/>
    <w:rPr>
      <w:rFonts w:ascii="Times New Roman" w:eastAsia="Times New Roman" w:hAnsi="Times New Roman" w:cs="Times New Roman"/>
      <w:sz w:val="24"/>
      <w:szCs w:val="24"/>
      <w:lang w:eastAsia="en-GB"/>
    </w:rPr>
  </w:style>
  <w:style w:type="table" w:customStyle="1" w:styleId="TableGrid1">
    <w:name w:val="Table Grid1"/>
    <w:basedOn w:val="TableNormal"/>
    <w:next w:val="TableGrid"/>
    <w:uiPriority w:val="59"/>
    <w:pPr>
      <w:spacing w:after="240" w:line="240" w:lineRule="auto"/>
      <w:jc w:val="both"/>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Dash1">
    <w:name w:val="List Dash 1"/>
    <w:basedOn w:val="Normal"/>
    <w:pPr>
      <w:numPr>
        <w:numId w:val="24"/>
      </w:numPr>
      <w:spacing w:before="120" w:after="120" w:line="240" w:lineRule="auto"/>
      <w:jc w:val="both"/>
    </w:pPr>
    <w:rPr>
      <w:rFonts w:ascii="Times New Roman" w:eastAsia="Times New Roman" w:hAnsi="Times New Roman" w:cs="Times New Roman"/>
      <w:sz w:val="24"/>
      <w:szCs w:val="24"/>
      <w:lang w:eastAsia="en-GB"/>
    </w:rPr>
  </w:style>
  <w:style w:type="paragraph" w:styleId="TOC3">
    <w:name w:val="toc 3"/>
    <w:basedOn w:val="Normal"/>
    <w:next w:val="Normal"/>
    <w:autoRedefine/>
    <w:pPr>
      <w:keepLines/>
      <w:tabs>
        <w:tab w:val="left" w:pos="1200"/>
        <w:tab w:val="right" w:leader="dot" w:pos="9000"/>
        <w:tab w:val="right" w:leader="underscore" w:pos="9060"/>
      </w:tabs>
      <w:spacing w:after="120" w:line="240" w:lineRule="auto"/>
      <w:ind w:right="23"/>
      <w:jc w:val="both"/>
    </w:pPr>
    <w:rPr>
      <w:rFonts w:ascii="Times New Roman" w:eastAsia="Times New Roman" w:hAnsi="Times New Roman" w:cs="Times New Roman"/>
      <w:sz w:val="24"/>
      <w:szCs w:val="20"/>
      <w:lang w:val="en-US"/>
    </w:rPr>
  </w:style>
  <w:style w:type="paragraph" w:customStyle="1" w:styleId="pealkiri">
    <w:name w:val="pealkiri"/>
    <w:basedOn w:val="Normal"/>
    <w:pPr>
      <w:pBdr>
        <w:top w:val="single" w:sz="4" w:space="1" w:color="auto"/>
        <w:left w:val="single" w:sz="4" w:space="4" w:color="auto"/>
        <w:bottom w:val="single" w:sz="4" w:space="1" w:color="auto"/>
        <w:right w:val="single" w:sz="4" w:space="4" w:color="auto"/>
      </w:pBdr>
      <w:spacing w:after="0" w:line="240" w:lineRule="auto"/>
      <w:jc w:val="center"/>
    </w:pPr>
    <w:rPr>
      <w:rFonts w:ascii="Times New Roman" w:eastAsia="Times New Roman" w:hAnsi="Times New Roman" w:cs="Times New Roman"/>
      <w:b/>
      <w:caps/>
      <w:sz w:val="24"/>
      <w:szCs w:val="24"/>
      <w:lang w:eastAsia="zh-CN"/>
    </w:rPr>
  </w:style>
  <w:style w:type="paragraph" w:customStyle="1" w:styleId="Pealkiri2">
    <w:name w:val="Pealkiri 2"/>
    <w:basedOn w:val="Normal"/>
    <w:pPr>
      <w:numPr>
        <w:numId w:val="25"/>
      </w:numPr>
      <w:spacing w:after="0"/>
      <w:contextualSpacing/>
    </w:pPr>
    <w:rPr>
      <w:rFonts w:ascii="Times New Roman" w:eastAsia="SimSun" w:hAnsi="Times New Roman" w:cs="Times New Roman"/>
      <w:b/>
      <w:sz w:val="20"/>
      <w:szCs w:val="20"/>
      <w:lang w:eastAsia="en-GB"/>
    </w:rPr>
  </w:style>
  <w:style w:type="paragraph" w:customStyle="1" w:styleId="CharCharCharChar">
    <w:name w:val="Char Char Char Char"/>
    <w:basedOn w:val="Normal"/>
    <w:pPr>
      <w:tabs>
        <w:tab w:val="left" w:pos="709"/>
      </w:tabs>
      <w:spacing w:after="0" w:line="240" w:lineRule="auto"/>
    </w:pPr>
    <w:rPr>
      <w:rFonts w:ascii="Tahoma" w:eastAsia="Times New Roman" w:hAnsi="Tahoma" w:cs="Times New Roman"/>
      <w:sz w:val="24"/>
      <w:szCs w:val="24"/>
      <w:lang w:val="pl-PL" w:eastAsia="pl-PL"/>
    </w:rPr>
  </w:style>
  <w:style w:type="paragraph" w:styleId="DocumentMap">
    <w:name w:val="Document Map"/>
    <w:basedOn w:val="Normal"/>
    <w:link w:val="DocumentMapChar"/>
    <w:pPr>
      <w:shd w:val="clear" w:color="auto" w:fill="000080"/>
      <w:spacing w:after="0" w:line="240" w:lineRule="auto"/>
    </w:pPr>
    <w:rPr>
      <w:rFonts w:ascii="Tahoma" w:eastAsia="Times New Roman" w:hAnsi="Tahoma" w:cs="Tahoma"/>
      <w:sz w:val="20"/>
      <w:szCs w:val="20"/>
      <w:lang w:eastAsia="en-GB"/>
    </w:rPr>
  </w:style>
  <w:style w:type="character" w:customStyle="1" w:styleId="DocumentMapChar">
    <w:name w:val="Document Map Char"/>
    <w:basedOn w:val="DefaultParagraphFont"/>
    <w:link w:val="DocumentMap"/>
    <w:rPr>
      <w:rFonts w:ascii="Tahoma" w:eastAsia="Times New Roman" w:hAnsi="Tahoma" w:cs="Tahoma"/>
      <w:sz w:val="20"/>
      <w:szCs w:val="20"/>
      <w:shd w:val="clear" w:color="auto" w:fill="000080"/>
      <w:lang w:eastAsia="en-GB"/>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szCs w:val="24"/>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lang w:eastAsia="en-GB"/>
    </w:rPr>
  </w:style>
  <w:style w:type="paragraph" w:customStyle="1" w:styleId="Annexetitreglobale">
    <w:name w:val="Annexe titre (globale)"/>
    <w:basedOn w:val="Normal"/>
    <w:next w:val="Normal"/>
    <w:pPr>
      <w:spacing w:before="120" w:after="120" w:line="240" w:lineRule="auto"/>
      <w:jc w:val="center"/>
    </w:pPr>
    <w:rPr>
      <w:rFonts w:ascii="Times New Roman" w:eastAsia="Times New Roman" w:hAnsi="Times New Roman" w:cs="Times New Roman"/>
      <w:b/>
      <w:sz w:val="24"/>
      <w:szCs w:val="24"/>
      <w:u w:val="single"/>
      <w:lang w:eastAsia="de-DE"/>
    </w:rPr>
  </w:style>
  <w:style w:type="paragraph" w:customStyle="1" w:styleId="Transportable">
    <w:name w:val="Transportable"/>
    <w:basedOn w:val="Normal"/>
    <w:pPr>
      <w:spacing w:after="0" w:line="240" w:lineRule="auto"/>
    </w:pPr>
    <w:rPr>
      <w:rFonts w:ascii="Book Antiqua" w:eastAsia="Batang" w:hAnsi="Book Antiqua" w:cs="Times New Roman"/>
      <w:sz w:val="18"/>
      <w:szCs w:val="20"/>
    </w:rPr>
  </w:style>
  <w:style w:type="paragraph" w:customStyle="1" w:styleId="StyleHeading114pt">
    <w:name w:val="Style Heading 1 + 14 pt"/>
    <w:basedOn w:val="Heading1"/>
    <w:pPr>
      <w:keepNext/>
      <w:autoSpaceDE/>
      <w:autoSpaceDN/>
      <w:adjustRightInd/>
      <w:spacing w:before="360" w:after="120"/>
      <w:jc w:val="center"/>
    </w:pPr>
    <w:rPr>
      <w:rFonts w:ascii="Times New Roman" w:eastAsia="Batang" w:hAnsi="Times New Roman"/>
      <w:caps w:val="0"/>
      <w:smallCaps/>
      <w:sz w:val="28"/>
      <w:szCs w:val="32"/>
      <w:lang w:val="en-GB" w:eastAsia="ko-KR"/>
    </w:rPr>
  </w:style>
  <w:style w:type="paragraph" w:customStyle="1" w:styleId="footno">
    <w:name w:val="footno"/>
    <w:basedOn w:val="Footer"/>
    <w:pPr>
      <w:tabs>
        <w:tab w:val="clear" w:pos="4536"/>
        <w:tab w:val="clear" w:pos="9072"/>
        <w:tab w:val="center" w:pos="4320"/>
        <w:tab w:val="right" w:pos="8640"/>
      </w:tabs>
      <w:jc w:val="center"/>
    </w:pPr>
    <w:rPr>
      <w:rFonts w:ascii="Times New Roman" w:eastAsia="Times New Roman" w:hAnsi="Times New Roman" w:cstheme="majorBidi"/>
      <w:sz w:val="20"/>
      <w:szCs w:val="24"/>
      <w:lang w:eastAsia="en-GB"/>
    </w:rPr>
  </w:style>
  <w:style w:type="paragraph" w:customStyle="1" w:styleId="CharCharCharCharChar">
    <w:name w:val="Char Char Char Char Char"/>
    <w:basedOn w:val="Normal"/>
    <w:pPr>
      <w:spacing w:after="160" w:line="240" w:lineRule="exact"/>
    </w:pPr>
    <w:rPr>
      <w:rFonts w:ascii="Tahoma" w:eastAsia="Times New Roman" w:hAnsi="Tahoma" w:cs="Times New Roman"/>
      <w:sz w:val="20"/>
      <w:szCs w:val="20"/>
      <w:lang w:val="en-US"/>
    </w:rPr>
  </w:style>
  <w:style w:type="paragraph" w:customStyle="1" w:styleId="default0">
    <w:name w:val="default"/>
    <w:basedOn w:val="Normal"/>
    <w:pPr>
      <w:autoSpaceDE w:val="0"/>
      <w:autoSpaceDN w:val="0"/>
      <w:spacing w:after="0" w:line="240" w:lineRule="auto"/>
    </w:pPr>
    <w:rPr>
      <w:rFonts w:ascii="Times New Roman" w:eastAsia="Times New Roman" w:hAnsi="Times New Roman" w:cs="Times New Roman"/>
      <w:color w:val="000000"/>
      <w:sz w:val="24"/>
      <w:szCs w:val="24"/>
      <w:lang w:eastAsia="en-GB"/>
    </w:rPr>
  </w:style>
  <w:style w:type="paragraph" w:styleId="BodyText2">
    <w:name w:val="Body Text 2"/>
    <w:basedOn w:val="Normal"/>
    <w:link w:val="BodyText2Char"/>
    <w:pPr>
      <w:spacing w:after="120" w:line="480" w:lineRule="auto"/>
    </w:pPr>
    <w:rPr>
      <w:rFonts w:ascii="Times New Roman" w:eastAsia="Calibri" w:hAnsi="Times New Roman" w:cs="Times New Roman"/>
      <w:sz w:val="24"/>
      <w:szCs w:val="24"/>
      <w:lang w:eastAsia="ko-KR"/>
    </w:rPr>
  </w:style>
  <w:style w:type="character" w:customStyle="1" w:styleId="BodyText2Char">
    <w:name w:val="Body Text 2 Char"/>
    <w:basedOn w:val="DefaultParagraphFont"/>
    <w:link w:val="BodyText2"/>
    <w:rPr>
      <w:rFonts w:ascii="Times New Roman" w:eastAsia="Calibri" w:hAnsi="Times New Roman" w:cs="Times New Roman"/>
      <w:sz w:val="24"/>
      <w:szCs w:val="24"/>
      <w:lang w:eastAsia="ko-KR"/>
    </w:rPr>
  </w:style>
  <w:style w:type="paragraph" w:styleId="BodyTextIndent">
    <w:name w:val="Body Text Indent"/>
    <w:basedOn w:val="Normal"/>
    <w:link w:val="BodyTextIndentChar"/>
    <w:pPr>
      <w:spacing w:after="120" w:line="240" w:lineRule="auto"/>
      <w:ind w:left="283"/>
    </w:pPr>
    <w:rPr>
      <w:rFonts w:ascii="Times New Roman" w:eastAsia="Calibri" w:hAnsi="Times New Roman" w:cs="Times New Roman"/>
      <w:sz w:val="24"/>
      <w:szCs w:val="24"/>
      <w:lang w:eastAsia="ko-KR"/>
    </w:rPr>
  </w:style>
  <w:style w:type="character" w:customStyle="1" w:styleId="BodyTextIndentChar">
    <w:name w:val="Body Text Indent Char"/>
    <w:basedOn w:val="DefaultParagraphFont"/>
    <w:link w:val="BodyTextIndent"/>
    <w:rPr>
      <w:rFonts w:ascii="Times New Roman" w:eastAsia="Calibri" w:hAnsi="Times New Roman" w:cs="Times New Roman"/>
      <w:sz w:val="24"/>
      <w:szCs w:val="24"/>
      <w:lang w:eastAsia="ko-KR"/>
    </w:rPr>
  </w:style>
  <w:style w:type="paragraph" w:styleId="BodyTextIndent2">
    <w:name w:val="Body Text Indent 2"/>
    <w:basedOn w:val="Normal"/>
    <w:link w:val="BodyTextIndent2Char"/>
    <w:pPr>
      <w:spacing w:after="120" w:line="480" w:lineRule="auto"/>
      <w:ind w:left="283"/>
    </w:pPr>
    <w:rPr>
      <w:rFonts w:ascii="Times New Roman" w:eastAsia="Calibri" w:hAnsi="Times New Roman" w:cs="Times New Roman"/>
      <w:sz w:val="24"/>
      <w:szCs w:val="24"/>
      <w:lang w:eastAsia="ko-KR"/>
    </w:rPr>
  </w:style>
  <w:style w:type="character" w:customStyle="1" w:styleId="BodyTextIndent2Char">
    <w:name w:val="Body Text Indent 2 Char"/>
    <w:basedOn w:val="DefaultParagraphFont"/>
    <w:link w:val="BodyTextIndent2"/>
    <w:rPr>
      <w:rFonts w:ascii="Times New Roman" w:eastAsia="Calibri" w:hAnsi="Times New Roman" w:cs="Times New Roman"/>
      <w:sz w:val="24"/>
      <w:szCs w:val="24"/>
      <w:lang w:eastAsia="ko-KR"/>
    </w:rPr>
  </w:style>
  <w:style w:type="paragraph" w:customStyle="1" w:styleId="NormalWeb8">
    <w:name w:val="Normal (Web)8"/>
    <w:basedOn w:val="Normal"/>
    <w:pPr>
      <w:spacing w:before="75" w:after="75" w:line="240" w:lineRule="auto"/>
      <w:ind w:left="225" w:right="225"/>
    </w:pPr>
    <w:rPr>
      <w:rFonts w:ascii="Times New Roman" w:eastAsia="Times New Roman" w:hAnsi="Times New Roman" w:cs="Times New Roman"/>
      <w:lang w:eastAsia="en-GB"/>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szCs w:val="20"/>
      <w:lang w:eastAsia="en-GB"/>
    </w:rPr>
  </w:style>
  <w:style w:type="paragraph" w:customStyle="1" w:styleId="References">
    <w:name w:val="References"/>
    <w:basedOn w:val="Normal"/>
    <w:next w:val="Normal"/>
    <w:uiPriority w:val="99"/>
    <w:pPr>
      <w:spacing w:after="240" w:line="240" w:lineRule="auto"/>
      <w:ind w:left="5103"/>
    </w:pPr>
    <w:rPr>
      <w:rFonts w:ascii="Times New Roman" w:eastAsia="Times New Roman" w:hAnsi="Times New Roman" w:cs="Times New Roman"/>
      <w:sz w:val="20"/>
      <w:szCs w:val="20"/>
    </w:rPr>
  </w:style>
  <w:style w:type="character" w:customStyle="1" w:styleId="FootnoteTextChar1">
    <w:name w:val="Footnote Text Char1"/>
    <w:semiHidden/>
    <w:locked/>
    <w:rPr>
      <w:lang w:val="en-GB" w:eastAsia="ar-SA" w:bidi="ar-SA"/>
    </w:rPr>
  </w:style>
  <w:style w:type="character" w:customStyle="1" w:styleId="apple-converted-space">
    <w:name w:val="apple-converted-space"/>
  </w:style>
  <w:style w:type="paragraph" w:customStyle="1" w:styleId="Normal1">
    <w:name w:val="Normal 1"/>
    <w:basedOn w:val="Normal"/>
    <w:link w:val="Normal1Char"/>
    <w:pPr>
      <w:widowControl w:val="0"/>
      <w:tabs>
        <w:tab w:val="left" w:pos="567"/>
        <w:tab w:val="left" w:pos="851"/>
        <w:tab w:val="left" w:pos="1134"/>
        <w:tab w:val="left" w:pos="1418"/>
        <w:tab w:val="left" w:pos="1701"/>
      </w:tabs>
      <w:spacing w:before="60" w:after="60" w:line="240" w:lineRule="auto"/>
      <w:ind w:left="567"/>
      <w:jc w:val="both"/>
    </w:pPr>
    <w:rPr>
      <w:rFonts w:ascii="Times New Roman" w:eastAsia="Times New Roman" w:hAnsi="Times New Roman" w:cs="Times New Roman"/>
      <w:szCs w:val="20"/>
    </w:rPr>
  </w:style>
  <w:style w:type="paragraph" w:customStyle="1" w:styleId="NormalArticle">
    <w:name w:val="Normal Article"/>
    <w:basedOn w:val="Normal"/>
    <w:pPr>
      <w:tabs>
        <w:tab w:val="left" w:pos="720"/>
        <w:tab w:val="left" w:pos="1440"/>
      </w:tabs>
      <w:spacing w:after="0" w:line="240" w:lineRule="auto"/>
      <w:jc w:val="center"/>
    </w:pPr>
    <w:rPr>
      <w:rFonts w:ascii="Times New Roman" w:eastAsia="Times New Roman" w:hAnsi="Times New Roman" w:cs="Times New Roman"/>
      <w:b/>
      <w:bCs/>
      <w:sz w:val="24"/>
      <w:szCs w:val="20"/>
      <w:lang w:eastAsia="en-GB"/>
    </w:rPr>
  </w:style>
  <w:style w:type="character" w:customStyle="1" w:styleId="Normal1Char">
    <w:name w:val="Normal 1 Char"/>
    <w:link w:val="Normal1"/>
    <w:rPr>
      <w:rFonts w:ascii="Times New Roman" w:eastAsia="Times New Roman" w:hAnsi="Times New Roman" w:cs="Times New Roman"/>
      <w:szCs w:val="20"/>
    </w:rPr>
  </w:style>
  <w:style w:type="paragraph" w:customStyle="1" w:styleId="ZTitleSection">
    <w:name w:val="Z_Title Section"/>
    <w:basedOn w:val="Normal"/>
    <w:pPr>
      <w:spacing w:after="0" w:line="240" w:lineRule="auto"/>
      <w:jc w:val="center"/>
    </w:pPr>
    <w:rPr>
      <w:rFonts w:ascii="Times New Roman" w:eastAsia="Times New Roman" w:hAnsi="Times New Roman" w:cs="Times New Roman"/>
      <w:b/>
      <w:caps/>
      <w:sz w:val="24"/>
      <w:szCs w:val="20"/>
      <w:lang w:eastAsia="en-GB"/>
    </w:rPr>
  </w:style>
  <w:style w:type="paragraph" w:customStyle="1" w:styleId="NormalArticle000Indent127">
    <w:name w:val="Normal Article 000 Indent 127"/>
    <w:basedOn w:val="Normal"/>
    <w:pPr>
      <w:tabs>
        <w:tab w:val="left" w:pos="720"/>
      </w:tabs>
      <w:spacing w:after="0" w:line="240" w:lineRule="auto"/>
      <w:ind w:left="720" w:hanging="720"/>
      <w:jc w:val="both"/>
    </w:pPr>
    <w:rPr>
      <w:rFonts w:ascii="Times New Roman" w:eastAsia="Times New Roman" w:hAnsi="Times New Roman" w:cs="Times New Roman"/>
      <w:sz w:val="24"/>
      <w:szCs w:val="24"/>
      <w:lang w:eastAsia="en-GB"/>
    </w:rPr>
  </w:style>
  <w:style w:type="paragraph" w:customStyle="1" w:styleId="NormalArticle127Indent127">
    <w:name w:val="Normal Article 127 Indent 127"/>
    <w:basedOn w:val="Normal"/>
    <w:pPr>
      <w:widowControl w:val="0"/>
      <w:tabs>
        <w:tab w:val="left" w:pos="720"/>
        <w:tab w:val="left" w:pos="1440"/>
      </w:tabs>
      <w:spacing w:after="0" w:line="240" w:lineRule="auto"/>
      <w:ind w:left="1440" w:hanging="720"/>
      <w:jc w:val="both"/>
    </w:pPr>
    <w:rPr>
      <w:rFonts w:ascii="Times New Roman" w:eastAsia="Times New Roman" w:hAnsi="Times New Roman" w:cs="Times New Roman"/>
      <w:sz w:val="24"/>
      <w:szCs w:val="20"/>
    </w:rPr>
  </w:style>
  <w:style w:type="paragraph" w:customStyle="1" w:styleId="Normal10">
    <w:name w:val="Normal1"/>
    <w:pPr>
      <w:spacing w:after="0" w:line="240" w:lineRule="auto"/>
      <w:jc w:val="both"/>
    </w:pPr>
    <w:rPr>
      <w:rFonts w:ascii="Times New Roman" w:eastAsia="Times New Roman" w:hAnsi="Times New Roman" w:cs="Times New Roman"/>
      <w:color w:val="000000"/>
      <w:sz w:val="24"/>
      <w:szCs w:val="24"/>
      <w:lang w:val="en-US"/>
    </w:rPr>
  </w:style>
  <w:style w:type="paragraph" w:customStyle="1" w:styleId="Tiret1">
    <w:name w:val="Tiret 1"/>
    <w:basedOn w:val="Normal"/>
    <w:pPr>
      <w:numPr>
        <w:numId w:val="34"/>
      </w:numPr>
      <w:spacing w:before="120" w:after="120" w:line="240" w:lineRule="auto"/>
      <w:jc w:val="both"/>
    </w:pPr>
    <w:rPr>
      <w:rFonts w:ascii="Times New Roman" w:eastAsia="Times New Roman" w:hAnsi="Times New Roman" w:cs="Times New Roman"/>
      <w:sz w:val="24"/>
      <w:szCs w:val="24"/>
      <w:u w:color="000000"/>
      <w:lang w:eastAsia="de-DE"/>
    </w:rPr>
  </w:style>
  <w:style w:type="paragraph" w:customStyle="1" w:styleId="Annexetitreacte">
    <w:name w:val="Annexe titre (acte)"/>
    <w:next w:val="Normal"/>
    <w:pPr>
      <w:pBdr>
        <w:top w:val="nil"/>
        <w:left w:val="nil"/>
        <w:bottom w:val="nil"/>
        <w:right w:val="nil"/>
        <w:between w:val="nil"/>
        <w:bar w:val="nil"/>
      </w:pBdr>
      <w:spacing w:before="120" w:after="120" w:line="240" w:lineRule="auto"/>
      <w:jc w:val="center"/>
    </w:pPr>
    <w:rPr>
      <w:rFonts w:ascii="Times New Roman" w:eastAsia="Arial Unicode MS" w:hAnsi="Times New Roman" w:cs="Arial Unicode MS"/>
      <w:b/>
      <w:bCs/>
      <w:color w:val="000000"/>
      <w:sz w:val="24"/>
      <w:szCs w:val="24"/>
      <w:u w:val="single" w:color="000000"/>
      <w:bdr w:val="nil"/>
      <w:lang w:val="en-US" w:eastAsia="en-GB"/>
    </w:rPr>
  </w:style>
  <w:style w:type="numbering" w:customStyle="1" w:styleId="ImportedStyle1">
    <w:name w:val="Imported Style 1"/>
    <w:pPr>
      <w:numPr>
        <w:numId w:val="35"/>
      </w:numPr>
    </w:pPr>
  </w:style>
  <w:style w:type="numbering" w:customStyle="1" w:styleId="ImportedStyle2">
    <w:name w:val="Imported Style 2"/>
    <w:pPr>
      <w:numPr>
        <w:numId w:val="36"/>
      </w:numPr>
    </w:pPr>
  </w:style>
  <w:style w:type="numbering" w:customStyle="1" w:styleId="ImportedStyle3">
    <w:name w:val="Imported Style 3"/>
    <w:pPr>
      <w:numPr>
        <w:numId w:val="37"/>
      </w:numPr>
    </w:pPr>
  </w:style>
  <w:style w:type="numbering" w:customStyle="1" w:styleId="ImportedStyle11">
    <w:name w:val="Imported Style 11"/>
  </w:style>
  <w:style w:type="numbering" w:customStyle="1" w:styleId="ImportedStyle21">
    <w:name w:val="Imported Style 21"/>
  </w:style>
  <w:style w:type="numbering" w:customStyle="1" w:styleId="ImportedStyle31">
    <w:name w:val="Imported Style 31"/>
  </w:style>
  <w:style w:type="numbering" w:customStyle="1" w:styleId="NoList2">
    <w:name w:val="No List2"/>
    <w:next w:val="NoList"/>
    <w:uiPriority w:val="99"/>
    <w:semiHidden/>
    <w:unhideWhenUsed/>
  </w:style>
  <w:style w:type="numbering" w:customStyle="1" w:styleId="NoList3">
    <w:name w:val="No List3"/>
    <w:next w:val="NoList"/>
    <w:uiPriority w:val="99"/>
    <w:semiHidden/>
    <w:unhideWhenUsed/>
  </w:style>
  <w:style w:type="character" w:styleId="FollowedHyperlink">
    <w:name w:val="FollowedHyperlink"/>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0" w:qFormat="1"/>
    <w:lsdException w:name="footnote reference" w:uiPriority="0"/>
    <w:lsdException w:name="page number" w:uiPriority="0"/>
    <w:lsdException w:name="List Bullet" w:uiPriority="0"/>
    <w:lsdException w:name="List Number" w:uiPriority="0"/>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Indent 2"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autoSpaceDE w:val="0"/>
      <w:autoSpaceDN w:val="0"/>
      <w:adjustRightInd w:val="0"/>
      <w:spacing w:after="0" w:line="240" w:lineRule="auto"/>
      <w:outlineLvl w:val="0"/>
    </w:pPr>
    <w:rPr>
      <w:rFonts w:ascii="Times New Roman Bold" w:eastAsia="Times New Roman" w:hAnsi="Times New Roman Bold" w:cs="Times New Roman"/>
      <w:b/>
      <w:bCs/>
      <w:caps/>
      <w:sz w:val="24"/>
      <w:szCs w:val="24"/>
      <w:lang w:val="en-US"/>
    </w:rPr>
  </w:style>
  <w:style w:type="paragraph" w:styleId="Heading2">
    <w:name w:val="heading 2"/>
    <w:basedOn w:val="Normal"/>
    <w:next w:val="Normal"/>
    <w:link w:val="Heading2Char"/>
    <w:unhideWhenUsed/>
    <w:qFormat/>
    <w:pPr>
      <w:keepNext/>
      <w:spacing w:before="240" w:after="60" w:line="240" w:lineRule="auto"/>
      <w:outlineLvl w:val="1"/>
    </w:pPr>
    <w:rPr>
      <w:rFonts w:ascii="Cambria" w:eastAsia="Times New Roman" w:hAnsi="Cambria" w:cs="Times New Roman"/>
      <w:b/>
      <w:bCs/>
      <w:i/>
      <w:iCs/>
      <w:sz w:val="28"/>
      <w:szCs w:val="28"/>
      <w:lang w:val="en-US"/>
    </w:rPr>
  </w:style>
  <w:style w:type="paragraph" w:styleId="Heading3">
    <w:name w:val="heading 3"/>
    <w:basedOn w:val="Normal"/>
    <w:next w:val="Normal"/>
    <w:link w:val="Heading3Char"/>
    <w:unhideWhenUsed/>
    <w:qFormat/>
    <w:pPr>
      <w:keepNext/>
      <w:spacing w:before="240" w:after="60" w:line="240" w:lineRule="auto"/>
      <w:outlineLvl w:val="2"/>
    </w:pPr>
    <w:rPr>
      <w:rFonts w:ascii="Cambria" w:eastAsia="Times New Roman" w:hAnsi="Cambria" w:cs="Times New Roman"/>
      <w:b/>
      <w:bCs/>
      <w:sz w:val="26"/>
      <w:szCs w:val="26"/>
      <w:lang w:val="en-US"/>
    </w:rPr>
  </w:style>
  <w:style w:type="paragraph" w:styleId="Heading4">
    <w:name w:val="heading 4"/>
    <w:basedOn w:val="Normal"/>
    <w:next w:val="Normal"/>
    <w:link w:val="Heading4Char"/>
    <w:unhideWhenUsed/>
    <w:qFormat/>
    <w:pPr>
      <w:keepNext/>
      <w:spacing w:before="240" w:after="60" w:line="240" w:lineRule="auto"/>
      <w:outlineLvl w:val="3"/>
    </w:pPr>
    <w:rPr>
      <w:rFonts w:ascii="Calibri" w:eastAsia="Times New Roman" w:hAnsi="Calibri" w:cs="Times New Roman"/>
      <w:b/>
      <w:bCs/>
      <w:sz w:val="28"/>
      <w:szCs w:val="28"/>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nhideWhenUsed/>
    <w:pPr>
      <w:tabs>
        <w:tab w:val="center" w:pos="4536"/>
        <w:tab w:val="right" w:pos="9072"/>
      </w:tabs>
      <w:spacing w:after="0" w:line="240" w:lineRule="auto"/>
    </w:pPr>
  </w:style>
  <w:style w:type="character" w:customStyle="1" w:styleId="HeaderChar">
    <w:name w:val="Header Char"/>
    <w:basedOn w:val="DefaultParagraphFont"/>
    <w:link w:val="Header"/>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rPr>
      <w:rFonts w:ascii="Times New Roman Bold" w:eastAsia="Times New Roman" w:hAnsi="Times New Roman Bold" w:cs="Times New Roman"/>
      <w:b/>
      <w:bCs/>
      <w:caps/>
      <w:sz w:val="24"/>
      <w:szCs w:val="24"/>
      <w:lang w:val="en-US"/>
    </w:rPr>
  </w:style>
  <w:style w:type="character" w:customStyle="1" w:styleId="Heading2Char">
    <w:name w:val="Heading 2 Char"/>
    <w:basedOn w:val="DefaultParagraphFont"/>
    <w:link w:val="Heading2"/>
    <w:rPr>
      <w:rFonts w:ascii="Cambria" w:eastAsia="Times New Roman" w:hAnsi="Cambria" w:cs="Times New Roman"/>
      <w:b/>
      <w:bCs/>
      <w:i/>
      <w:iCs/>
      <w:sz w:val="28"/>
      <w:szCs w:val="28"/>
      <w:lang w:val="en-US"/>
    </w:rPr>
  </w:style>
  <w:style w:type="character" w:customStyle="1" w:styleId="Heading3Char">
    <w:name w:val="Heading 3 Char"/>
    <w:basedOn w:val="DefaultParagraphFont"/>
    <w:link w:val="Heading3"/>
    <w:rPr>
      <w:rFonts w:ascii="Cambria" w:eastAsia="Times New Roman" w:hAnsi="Cambria" w:cs="Times New Roman"/>
      <w:b/>
      <w:bCs/>
      <w:sz w:val="26"/>
      <w:szCs w:val="26"/>
      <w:lang w:val="en-US"/>
    </w:rPr>
  </w:style>
  <w:style w:type="character" w:customStyle="1" w:styleId="Heading4Char">
    <w:name w:val="Heading 4 Char"/>
    <w:basedOn w:val="DefaultParagraphFont"/>
    <w:link w:val="Heading4"/>
    <w:rPr>
      <w:rFonts w:ascii="Calibri" w:eastAsia="Times New Roman" w:hAnsi="Calibri" w:cs="Times New Roman"/>
      <w:b/>
      <w:bCs/>
      <w:sz w:val="28"/>
      <w:szCs w:val="28"/>
      <w:lang w:val="en-US"/>
    </w:rPr>
  </w:style>
  <w:style w:type="numbering" w:customStyle="1" w:styleId="NoList1">
    <w:name w:val="No List1"/>
    <w:next w:val="NoList"/>
    <w:uiPriority w:val="99"/>
    <w:semiHidden/>
    <w:unhideWhenUsed/>
  </w:style>
  <w:style w:type="paragraph" w:styleId="Date">
    <w:name w:val="Date"/>
    <w:basedOn w:val="Normal"/>
    <w:next w:val="Normal"/>
    <w:link w:val="DateChar"/>
    <w:pPr>
      <w:spacing w:after="0" w:line="240" w:lineRule="auto"/>
      <w:ind w:left="5103" w:right="-567"/>
    </w:pPr>
    <w:rPr>
      <w:rFonts w:ascii="Times New Roman" w:eastAsia="Times New Roman" w:hAnsi="Times New Roman" w:cs="Times New Roman"/>
      <w:sz w:val="24"/>
      <w:szCs w:val="20"/>
    </w:rPr>
  </w:style>
  <w:style w:type="character" w:customStyle="1" w:styleId="DateChar">
    <w:name w:val="Date Char"/>
    <w:basedOn w:val="DefaultParagraphFont"/>
    <w:link w:val="Date"/>
    <w:rPr>
      <w:rFonts w:ascii="Times New Roman" w:eastAsia="Times New Roman" w:hAnsi="Times New Roman" w:cs="Times New Roman"/>
      <w:sz w:val="24"/>
      <w:szCs w:val="20"/>
    </w:rPr>
  </w:style>
  <w:style w:type="paragraph" w:styleId="FootnoteText">
    <w:name w:val="footnote text"/>
    <w:basedOn w:val="Normal"/>
    <w:link w:val="FootnoteTextChar"/>
    <w:qFormat/>
    <w:pPr>
      <w:spacing w:after="0" w:line="240" w:lineRule="auto"/>
      <w:ind w:left="567" w:hanging="567"/>
    </w:pPr>
    <w:rPr>
      <w:rFonts w:ascii="Times New Roman" w:eastAsia="Times New Roman" w:hAnsi="Times New Roman" w:cs="Times New Roman"/>
      <w:sz w:val="24"/>
      <w:szCs w:val="20"/>
      <w:lang w:val="en"/>
    </w:rPr>
  </w:style>
  <w:style w:type="character" w:customStyle="1" w:styleId="FootnoteTextChar">
    <w:name w:val="Footnote Text Char"/>
    <w:basedOn w:val="DefaultParagraphFont"/>
    <w:link w:val="FootnoteText"/>
    <w:rPr>
      <w:rFonts w:ascii="Times New Roman" w:eastAsia="Times New Roman" w:hAnsi="Times New Roman" w:cs="Times New Roman"/>
      <w:sz w:val="24"/>
      <w:szCs w:val="20"/>
      <w:lang w:val="en"/>
    </w:rPr>
  </w:style>
  <w:style w:type="paragraph" w:styleId="ListBullet">
    <w:name w:val="List Bullet"/>
    <w:basedOn w:val="Normal"/>
    <w:pPr>
      <w:numPr>
        <w:numId w:val="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pPr>
      <w:numPr>
        <w:numId w:val="2"/>
      </w:numPr>
      <w:spacing w:after="240" w:line="240" w:lineRule="auto"/>
      <w:jc w:val="both"/>
    </w:pPr>
    <w:rPr>
      <w:rFonts w:ascii="Times New Roman" w:eastAsia="Times New Roman" w:hAnsi="Times New Roman" w:cs="Times New Roman"/>
      <w:sz w:val="24"/>
      <w:szCs w:val="20"/>
    </w:rPr>
  </w:style>
  <w:style w:type="character" w:styleId="FootnoteReference">
    <w:name w:val="footnote reference"/>
    <w:rPr>
      <w:rFonts w:ascii="Times New Roman" w:hAnsi="Times New Roman"/>
      <w:b/>
      <w:sz w:val="24"/>
      <w:vertAlign w:val="superscript"/>
    </w:rPr>
  </w:style>
  <w:style w:type="character" w:styleId="Emphasis">
    <w:name w:val="Emphasis"/>
    <w:qFormat/>
    <w:rPr>
      <w:i/>
      <w:iCs/>
    </w:rPr>
  </w:style>
  <w:style w:type="paragraph" w:customStyle="1" w:styleId="a">
    <w:name w:val="Знак"/>
    <w:basedOn w:val="Normal"/>
    <w:pPr>
      <w:spacing w:after="160" w:line="240" w:lineRule="exact"/>
    </w:pPr>
    <w:rPr>
      <w:rFonts w:ascii="Arial" w:eastAsia="Batang" w:hAnsi="Arial" w:cs="Arial"/>
      <w:sz w:val="20"/>
      <w:szCs w:val="20"/>
      <w:lang w:val="en-US"/>
    </w:rPr>
  </w:style>
  <w:style w:type="paragraph" w:customStyle="1" w:styleId="ListBullet1">
    <w:name w:val="List Bullet 1"/>
    <w:basedOn w:val="Normal"/>
    <w:pPr>
      <w:numPr>
        <w:numId w:val="3"/>
      </w:numPr>
      <w:spacing w:before="120" w:after="120" w:line="240" w:lineRule="auto"/>
      <w:jc w:val="both"/>
    </w:pPr>
    <w:rPr>
      <w:rFonts w:ascii="Times New Roman" w:eastAsia="Times New Roman" w:hAnsi="Times New Roman" w:cs="Times New Roman"/>
      <w:sz w:val="24"/>
      <w:szCs w:val="24"/>
      <w:lang w:eastAsia="de-DE"/>
    </w:rPr>
  </w:style>
  <w:style w:type="character" w:styleId="Strong">
    <w:name w:val="Strong"/>
    <w:uiPriority w:val="22"/>
    <w:qFormat/>
    <w:rPr>
      <w:b/>
      <w:bCs/>
    </w:rPr>
  </w:style>
  <w:style w:type="paragraph" w:styleId="BalloonText">
    <w:name w:val="Balloon Text"/>
    <w:basedOn w:val="Normal"/>
    <w:link w:val="BalloonTextChar"/>
    <w:uiPriority w:val="99"/>
    <w:pPr>
      <w:spacing w:after="0" w:line="240" w:lineRule="auto"/>
    </w:pPr>
    <w:rPr>
      <w:rFonts w:ascii="Tahoma" w:eastAsia="Times New Roman" w:hAnsi="Tahoma" w:cs="Tahoma"/>
      <w:sz w:val="16"/>
      <w:szCs w:val="16"/>
      <w:lang w:val="en-US" w:eastAsia="en-GB"/>
    </w:rPr>
  </w:style>
  <w:style w:type="character" w:customStyle="1" w:styleId="BalloonTextChar">
    <w:name w:val="Balloon Text Char"/>
    <w:basedOn w:val="DefaultParagraphFont"/>
    <w:link w:val="BalloonText"/>
    <w:uiPriority w:val="99"/>
    <w:rPr>
      <w:rFonts w:ascii="Tahoma" w:eastAsia="Times New Roman" w:hAnsi="Tahoma" w:cs="Tahoma"/>
      <w:sz w:val="16"/>
      <w:szCs w:val="16"/>
      <w:lang w:val="en-US" w:eastAsia="en-GB"/>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pPr>
      <w:spacing w:after="0" w:line="240" w:lineRule="auto"/>
    </w:pPr>
    <w:rPr>
      <w:rFonts w:ascii="Times New Roman" w:eastAsia="Times New Roman" w:hAnsi="Times New Roman" w:cs="Times New Roman"/>
      <w:sz w:val="20"/>
      <w:szCs w:val="20"/>
      <w:lang w:val="en-US" w:eastAsia="en-GB"/>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en-US" w:eastAsia="en-GB"/>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ascii="Times New Roman" w:eastAsia="Times New Roman" w:hAnsi="Times New Roman" w:cs="Times New Roman"/>
      <w:b/>
      <w:bCs/>
      <w:sz w:val="20"/>
      <w:szCs w:val="20"/>
      <w:lang w:val="en-US" w:eastAsia="en-GB"/>
    </w:rPr>
  </w:style>
  <w:style w:type="character" w:customStyle="1" w:styleId="Corpsdutexte">
    <w:name w:val="Corps du texte_"/>
    <w:link w:val="Corpsdutexte0"/>
    <w:rPr>
      <w:sz w:val="21"/>
      <w:szCs w:val="21"/>
      <w:shd w:val="clear" w:color="auto" w:fill="FFFFFF"/>
    </w:rPr>
  </w:style>
  <w:style w:type="paragraph" w:customStyle="1" w:styleId="Corpsdutexte0">
    <w:name w:val="Corps du texte"/>
    <w:basedOn w:val="Normal"/>
    <w:link w:val="Corpsdutexte"/>
    <w:pPr>
      <w:widowControl w:val="0"/>
      <w:shd w:val="clear" w:color="auto" w:fill="FFFFFF"/>
      <w:spacing w:before="660" w:after="540" w:line="0" w:lineRule="atLeast"/>
      <w:ind w:hanging="480"/>
      <w:jc w:val="center"/>
    </w:pPr>
    <w:rPr>
      <w:sz w:val="21"/>
      <w:szCs w:val="21"/>
    </w:r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Corpsdutexte2">
    <w:name w:val="Corps du texte (2)_"/>
    <w:link w:val="Corpsdutexte20"/>
    <w:rPr>
      <w:sz w:val="21"/>
      <w:szCs w:val="21"/>
      <w:shd w:val="clear" w:color="auto" w:fill="FFFFFF"/>
    </w:rPr>
  </w:style>
  <w:style w:type="character" w:customStyle="1" w:styleId="En-tteoupieddepage">
    <w:name w:val="En-tête ou pied de page_"/>
    <w:link w:val="En-tteoupieddepage0"/>
    <w:rPr>
      <w:shd w:val="clear" w:color="auto" w:fill="FFFFFF"/>
    </w:rPr>
  </w:style>
  <w:style w:type="character" w:customStyle="1" w:styleId="En-tte7">
    <w:name w:val="En-tête #7_"/>
    <w:link w:val="En-tte70"/>
    <w:rPr>
      <w:sz w:val="21"/>
      <w:szCs w:val="21"/>
      <w:shd w:val="clear" w:color="auto" w:fill="FFFFFF"/>
    </w:rPr>
  </w:style>
  <w:style w:type="character" w:customStyle="1" w:styleId="Corpsdutexte4">
    <w:name w:val="Corps du texte (4)_"/>
    <w:rPr>
      <w:b w:val="0"/>
      <w:bCs w:val="0"/>
      <w:i w:val="0"/>
      <w:iCs w:val="0"/>
      <w:smallCaps w:val="0"/>
      <w:strike w:val="0"/>
      <w:sz w:val="21"/>
      <w:szCs w:val="21"/>
      <w:u w:val="none"/>
    </w:rPr>
  </w:style>
  <w:style w:type="character" w:customStyle="1" w:styleId="Corpsdutexte6Exact">
    <w:name w:val="Corps du texte (6) Exact"/>
    <w:link w:val="Corpsdutexte6"/>
    <w:rPr>
      <w:spacing w:val="3"/>
      <w:shd w:val="clear" w:color="auto" w:fill="FFFFFF"/>
    </w:rPr>
  </w:style>
  <w:style w:type="character" w:customStyle="1" w:styleId="Corpsdutexte7Exact">
    <w:name w:val="Corps du texte (7) Exact"/>
    <w:link w:val="Corpsdutexte7"/>
    <w:rPr>
      <w:sz w:val="49"/>
      <w:szCs w:val="49"/>
      <w:shd w:val="clear" w:color="auto" w:fill="FFFFFF"/>
    </w:rPr>
  </w:style>
  <w:style w:type="character" w:customStyle="1" w:styleId="CorpsdutexteExact">
    <w:name w:val="Corps du texte Exact"/>
    <w:rPr>
      <w:b w:val="0"/>
      <w:bCs w:val="0"/>
      <w:i w:val="0"/>
      <w:iCs w:val="0"/>
      <w:smallCaps w:val="0"/>
      <w:strike w:val="0"/>
      <w:spacing w:val="4"/>
      <w:sz w:val="20"/>
      <w:szCs w:val="20"/>
      <w:u w:val="none"/>
    </w:rPr>
  </w:style>
  <w:style w:type="character" w:customStyle="1" w:styleId="CorpsdutexteGras">
    <w:name w:val="Corps du texte + Gras"/>
    <w:aliases w:val="Espacement 1 pt"/>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en-US"/>
    </w:rPr>
  </w:style>
  <w:style w:type="character" w:customStyle="1" w:styleId="En-tteoupieddepage105pt">
    <w:name w:val="En-tête ou pied de page + 10.5 pt"/>
    <w:aliases w:val="Italique,Corps du texte + 11 pt,Corps du texte + 12 pt,En-tête ou pied de page + 26 pt,Echelle 90%"/>
    <w:rPr>
      <w:rFonts w:ascii="Times New Roman" w:eastAsia="Times New Roman" w:hAnsi="Times New Roman" w:cs="Times New Roman"/>
      <w:b w:val="0"/>
      <w:bCs w:val="0"/>
      <w:i w:val="0"/>
      <w:iCs w:val="0"/>
      <w:smallCaps w:val="0"/>
      <w:strike w:val="0"/>
      <w:color w:val="000000"/>
      <w:spacing w:val="0"/>
      <w:w w:val="100"/>
      <w:position w:val="0"/>
      <w:sz w:val="21"/>
      <w:szCs w:val="21"/>
      <w:u w:val="none"/>
    </w:rPr>
  </w:style>
  <w:style w:type="character" w:customStyle="1" w:styleId="CorpsdutexteItalique">
    <w:name w:val="Corps du texte + Italique"/>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en-US"/>
    </w:rPr>
  </w:style>
  <w:style w:type="character" w:customStyle="1" w:styleId="Corpsdutexte40">
    <w:name w:val="Corps du texte (4)"/>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style>
  <w:style w:type="character" w:customStyle="1" w:styleId="Corpsdutexte175pt">
    <w:name w:val="Corps du texte + 17.5 pt"/>
    <w:rPr>
      <w:rFonts w:ascii="Times New Roman" w:eastAsia="Times New Roman" w:hAnsi="Times New Roman" w:cs="Times New Roman"/>
      <w:b w:val="0"/>
      <w:bCs w:val="0"/>
      <w:i w:val="0"/>
      <w:iCs w:val="0"/>
      <w:smallCaps w:val="0"/>
      <w:strike w:val="0"/>
      <w:color w:val="000000"/>
      <w:spacing w:val="0"/>
      <w:w w:val="100"/>
      <w:position w:val="0"/>
      <w:sz w:val="35"/>
      <w:szCs w:val="35"/>
      <w:u w:val="none"/>
      <w:shd w:val="clear" w:color="auto" w:fill="FFFFFF"/>
    </w:rPr>
  </w:style>
  <w:style w:type="character" w:customStyle="1" w:styleId="En-tte72">
    <w:name w:val="En-tête #7 (2)_"/>
    <w:rPr>
      <w:b w:val="0"/>
      <w:bCs w:val="0"/>
      <w:i w:val="0"/>
      <w:iCs w:val="0"/>
      <w:smallCaps w:val="0"/>
      <w:strike w:val="0"/>
      <w:sz w:val="21"/>
      <w:szCs w:val="21"/>
      <w:u w:val="none"/>
    </w:rPr>
  </w:style>
  <w:style w:type="character" w:customStyle="1" w:styleId="En-tte720">
    <w:name w:val="En-tête #7 (2)"/>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style>
  <w:style w:type="character" w:customStyle="1" w:styleId="En-tte7211pt">
    <w:name w:val="En-tête #7 (2) + 11 pt"/>
    <w:rPr>
      <w:rFonts w:ascii="Times New Roman" w:eastAsia="Times New Roman" w:hAnsi="Times New Roman" w:cs="Times New Roman"/>
      <w:b w:val="0"/>
      <w:bCs w:val="0"/>
      <w:i w:val="0"/>
      <w:iCs w:val="0"/>
      <w:smallCaps w:val="0"/>
      <w:strike w:val="0"/>
      <w:color w:val="000000"/>
      <w:spacing w:val="0"/>
      <w:w w:val="100"/>
      <w:position w:val="0"/>
      <w:sz w:val="22"/>
      <w:szCs w:val="22"/>
      <w:u w:val="none"/>
    </w:rPr>
  </w:style>
  <w:style w:type="character" w:customStyle="1" w:styleId="Corpsdutexte2Gras">
    <w:name w:val="Corps du texte (2) + Gras"/>
    <w:rPr>
      <w:rFonts w:ascii="Times New Roman" w:eastAsia="Times New Roman" w:hAnsi="Times New Roman" w:cs="Times New Roman"/>
      <w:b/>
      <w:bCs/>
      <w:i w:val="0"/>
      <w:iCs w:val="0"/>
      <w:smallCaps w:val="0"/>
      <w:strike w:val="0"/>
      <w:color w:val="000000"/>
      <w:spacing w:val="0"/>
      <w:w w:val="100"/>
      <w:position w:val="0"/>
      <w:sz w:val="21"/>
      <w:szCs w:val="21"/>
      <w:u w:val="none"/>
      <w:lang w:val="en-US"/>
    </w:rPr>
  </w:style>
  <w:style w:type="character" w:customStyle="1" w:styleId="Corpsdutexte4Gras">
    <w:name w:val="Corps du texte (4) + Gras"/>
    <w:rPr>
      <w:rFonts w:ascii="Times New Roman" w:eastAsia="Times New Roman" w:hAnsi="Times New Roman" w:cs="Times New Roman"/>
      <w:b/>
      <w:bCs/>
      <w:i w:val="0"/>
      <w:iCs w:val="0"/>
      <w:smallCaps w:val="0"/>
      <w:strike w:val="0"/>
      <w:color w:val="000000"/>
      <w:spacing w:val="0"/>
      <w:w w:val="100"/>
      <w:position w:val="0"/>
      <w:sz w:val="21"/>
      <w:szCs w:val="21"/>
      <w:u w:val="none"/>
      <w:lang w:val="en-US"/>
    </w:rPr>
  </w:style>
  <w:style w:type="paragraph" w:customStyle="1" w:styleId="Corpsdutexte20">
    <w:name w:val="Corps du texte (2)"/>
    <w:basedOn w:val="Normal"/>
    <w:link w:val="Corpsdutexte2"/>
    <w:pPr>
      <w:widowControl w:val="0"/>
      <w:shd w:val="clear" w:color="auto" w:fill="FFFFFF"/>
      <w:spacing w:after="3240" w:line="264" w:lineRule="exact"/>
      <w:jc w:val="right"/>
    </w:pPr>
    <w:rPr>
      <w:sz w:val="21"/>
      <w:szCs w:val="21"/>
    </w:rPr>
  </w:style>
  <w:style w:type="paragraph" w:customStyle="1" w:styleId="En-tteoupieddepage0">
    <w:name w:val="En-tête ou pied de page"/>
    <w:basedOn w:val="Normal"/>
    <w:link w:val="En-tteoupieddepage"/>
    <w:pPr>
      <w:widowControl w:val="0"/>
      <w:shd w:val="clear" w:color="auto" w:fill="FFFFFF"/>
      <w:spacing w:after="0" w:line="240" w:lineRule="auto"/>
    </w:pPr>
  </w:style>
  <w:style w:type="paragraph" w:customStyle="1" w:styleId="En-tte70">
    <w:name w:val="En-tête #7"/>
    <w:basedOn w:val="Normal"/>
    <w:link w:val="En-tte7"/>
    <w:pPr>
      <w:widowControl w:val="0"/>
      <w:shd w:val="clear" w:color="auto" w:fill="FFFFFF"/>
      <w:spacing w:after="0" w:line="374" w:lineRule="exact"/>
      <w:ind w:hanging="380"/>
      <w:jc w:val="both"/>
      <w:outlineLvl w:val="6"/>
    </w:pPr>
    <w:rPr>
      <w:sz w:val="21"/>
      <w:szCs w:val="21"/>
    </w:rPr>
  </w:style>
  <w:style w:type="paragraph" w:customStyle="1" w:styleId="Corpsdutexte6">
    <w:name w:val="Corps du texte (6)"/>
    <w:basedOn w:val="Normal"/>
    <w:link w:val="Corpsdutexte6Exact"/>
    <w:pPr>
      <w:widowControl w:val="0"/>
      <w:shd w:val="clear" w:color="auto" w:fill="FFFFFF"/>
      <w:spacing w:after="0" w:line="0" w:lineRule="atLeast"/>
    </w:pPr>
    <w:rPr>
      <w:spacing w:val="3"/>
    </w:rPr>
  </w:style>
  <w:style w:type="paragraph" w:customStyle="1" w:styleId="Corpsdutexte7">
    <w:name w:val="Corps du texte (7)"/>
    <w:basedOn w:val="Normal"/>
    <w:link w:val="Corpsdutexte7Exact"/>
    <w:pPr>
      <w:widowControl w:val="0"/>
      <w:shd w:val="clear" w:color="auto" w:fill="FFFFFF"/>
      <w:spacing w:after="0" w:line="0" w:lineRule="atLeast"/>
    </w:pPr>
    <w:rPr>
      <w:sz w:val="49"/>
      <w:szCs w:val="49"/>
    </w:rPr>
  </w:style>
  <w:style w:type="paragraph" w:customStyle="1" w:styleId="doc-ti">
    <w:name w:val="doc-ti"/>
    <w:basedOn w:val="Normal"/>
    <w:pPr>
      <w:spacing w:before="240" w:after="120" w:line="240" w:lineRule="auto"/>
      <w:jc w:val="center"/>
    </w:pPr>
    <w:rPr>
      <w:rFonts w:ascii="Times New Roman" w:eastAsia="Times New Roman" w:hAnsi="Times New Roman" w:cs="Times New Roman"/>
      <w:b/>
      <w:bCs/>
      <w:sz w:val="24"/>
      <w:szCs w:val="24"/>
      <w:lang w:eastAsia="en-GB"/>
    </w:rPr>
  </w:style>
  <w:style w:type="character" w:styleId="Hyperlink">
    <w:name w:val="Hyperlink"/>
    <w:uiPriority w:val="99"/>
    <w:unhideWhenUsed/>
    <w:rPr>
      <w:color w:val="0000FF"/>
      <w:u w:val="single"/>
    </w:rPr>
  </w:style>
  <w:style w:type="character" w:customStyle="1" w:styleId="En-tteoupieddepage23pt">
    <w:name w:val="En-tête ou pied de page + 23 pt"/>
    <w:aliases w:val="Gras,Espacement 2 pt,Echelle 66%,En-tête ou pied de page + Arial,21 pt,Corps du texte (2) + 16.5 pt,Non Italique,Corps du texte (3) + 17.5 pt,Non Gras"/>
    <w:rPr>
      <w:rFonts w:ascii="Times New Roman" w:eastAsia="Times New Roman" w:hAnsi="Times New Roman" w:cs="Times New Roman"/>
      <w:b/>
      <w:bCs/>
      <w:i w:val="0"/>
      <w:iCs w:val="0"/>
      <w:smallCaps w:val="0"/>
      <w:strike w:val="0"/>
      <w:color w:val="000000"/>
      <w:spacing w:val="40"/>
      <w:w w:val="66"/>
      <w:position w:val="0"/>
      <w:sz w:val="46"/>
      <w:szCs w:val="46"/>
      <w:u w:val="none"/>
      <w:lang w:val="en-US"/>
    </w:rPr>
  </w:style>
  <w:style w:type="paragraph" w:customStyle="1" w:styleId="Corpsdutexte1">
    <w:name w:val="Corps du texte1"/>
    <w:basedOn w:val="Normal"/>
    <w:uiPriority w:val="99"/>
    <w:pPr>
      <w:widowControl w:val="0"/>
      <w:shd w:val="clear" w:color="auto" w:fill="FFFFFF"/>
      <w:spacing w:before="900" w:after="360" w:line="408" w:lineRule="exact"/>
      <w:ind w:hanging="600"/>
      <w:jc w:val="center"/>
    </w:pPr>
    <w:rPr>
      <w:rFonts w:ascii="Times New Roman" w:eastAsia="Times New Roman" w:hAnsi="Times New Roman" w:cs="Times New Roman"/>
      <w:sz w:val="24"/>
      <w:szCs w:val="24"/>
      <w:lang w:val="en-US" w:eastAsia="en-GB"/>
    </w:rPr>
  </w:style>
  <w:style w:type="character" w:customStyle="1" w:styleId="Corpsdutexte211pt">
    <w:name w:val="Corps du texte (2) + 11 pt"/>
    <w:rPr>
      <w:rFonts w:ascii="Times New Roman" w:eastAsia="Times New Roman" w:hAnsi="Times New Roman" w:cs="Times New Roman"/>
      <w:color w:val="000000"/>
      <w:spacing w:val="0"/>
      <w:w w:val="100"/>
      <w:position w:val="0"/>
      <w:sz w:val="22"/>
      <w:szCs w:val="22"/>
      <w:shd w:val="clear" w:color="auto" w:fill="FFFFFF"/>
    </w:rPr>
  </w:style>
  <w:style w:type="character" w:customStyle="1" w:styleId="En-tte1">
    <w:name w:val="En-tête #1_"/>
    <w:link w:val="En-tte10"/>
    <w:rPr>
      <w:sz w:val="21"/>
      <w:szCs w:val="21"/>
      <w:shd w:val="clear" w:color="auto" w:fill="FFFFFF"/>
      <w:lang w:val="bg"/>
    </w:rPr>
  </w:style>
  <w:style w:type="character" w:customStyle="1" w:styleId="En-tte1Espacement2pt">
    <w:name w:val="En-tête #1 + Espacement 2 pt"/>
    <w:rPr>
      <w:rFonts w:ascii="Times New Roman" w:eastAsia="Times New Roman" w:hAnsi="Times New Roman" w:cs="Times New Roman"/>
      <w:color w:val="000000"/>
      <w:spacing w:val="40"/>
      <w:w w:val="100"/>
      <w:position w:val="0"/>
      <w:sz w:val="21"/>
      <w:szCs w:val="21"/>
      <w:shd w:val="clear" w:color="auto" w:fill="FFFFFF"/>
      <w:lang w:val="bg"/>
    </w:rPr>
  </w:style>
  <w:style w:type="character" w:customStyle="1" w:styleId="Corpsdutexte3">
    <w:name w:val="Corps du texte (3)_"/>
    <w:rPr>
      <w:b w:val="0"/>
      <w:bCs w:val="0"/>
      <w:i w:val="0"/>
      <w:iCs w:val="0"/>
      <w:smallCaps w:val="0"/>
      <w:strike w:val="0"/>
      <w:sz w:val="34"/>
      <w:szCs w:val="34"/>
      <w:u w:val="none"/>
    </w:rPr>
  </w:style>
  <w:style w:type="character" w:customStyle="1" w:styleId="Corpsdutexte30">
    <w:name w:val="Corps du texte (3)"/>
    <w:rPr>
      <w:rFonts w:ascii="Times New Roman" w:eastAsia="Times New Roman" w:hAnsi="Times New Roman" w:cs="Times New Roman"/>
      <w:b w:val="0"/>
      <w:bCs w:val="0"/>
      <w:i w:val="0"/>
      <w:iCs w:val="0"/>
      <w:smallCaps w:val="0"/>
      <w:strike w:val="0"/>
      <w:color w:val="000000"/>
      <w:spacing w:val="0"/>
      <w:w w:val="100"/>
      <w:position w:val="0"/>
      <w:sz w:val="34"/>
      <w:szCs w:val="34"/>
      <w:u w:val="none"/>
      <w:lang w:val="en-US"/>
    </w:rPr>
  </w:style>
  <w:style w:type="character" w:customStyle="1" w:styleId="En-tte3">
    <w:name w:val="En-tête #3_"/>
    <w:link w:val="En-tte30"/>
    <w:rPr>
      <w:spacing w:val="10"/>
      <w:sz w:val="28"/>
      <w:szCs w:val="28"/>
      <w:shd w:val="clear" w:color="auto" w:fill="FFFFFF"/>
    </w:rPr>
  </w:style>
  <w:style w:type="character" w:customStyle="1" w:styleId="En-tte4">
    <w:name w:val="En-tête #4_"/>
    <w:link w:val="En-tte40"/>
    <w:rPr>
      <w:spacing w:val="10"/>
      <w:sz w:val="28"/>
      <w:szCs w:val="28"/>
      <w:shd w:val="clear" w:color="auto" w:fill="FFFFFF"/>
    </w:rPr>
  </w:style>
  <w:style w:type="character" w:customStyle="1" w:styleId="En-tte5">
    <w:name w:val="En-tête #5_"/>
    <w:link w:val="En-tte50"/>
    <w:rPr>
      <w:sz w:val="30"/>
      <w:szCs w:val="30"/>
      <w:shd w:val="clear" w:color="auto" w:fill="FFFFFF"/>
      <w:lang w:val="sl"/>
    </w:rPr>
  </w:style>
  <w:style w:type="character" w:customStyle="1" w:styleId="En-tte6">
    <w:name w:val="En-tête #6_"/>
    <w:link w:val="En-tte60"/>
    <w:rPr>
      <w:sz w:val="21"/>
      <w:szCs w:val="21"/>
      <w:shd w:val="clear" w:color="auto" w:fill="FFFFFF"/>
      <w:lang w:val="sl"/>
    </w:rPr>
  </w:style>
  <w:style w:type="character" w:customStyle="1" w:styleId="En-tte6Espacement1pt">
    <w:name w:val="En-tête #6 + Espacement 1 pt"/>
    <w:rPr>
      <w:rFonts w:ascii="Times New Roman" w:eastAsia="Times New Roman" w:hAnsi="Times New Roman" w:cs="Times New Roman"/>
      <w:color w:val="000000"/>
      <w:spacing w:val="30"/>
      <w:w w:val="100"/>
      <w:position w:val="0"/>
      <w:sz w:val="21"/>
      <w:szCs w:val="21"/>
      <w:shd w:val="clear" w:color="auto" w:fill="FFFFFF"/>
      <w:lang w:val="sl"/>
    </w:rPr>
  </w:style>
  <w:style w:type="character" w:customStyle="1" w:styleId="En-tteoupieddepageEspacement0pt">
    <w:name w:val="En-tête ou pied de page + Espacement 0 pt"/>
    <w:rPr>
      <w:rFonts w:ascii="Times New Roman" w:eastAsia="Times New Roman" w:hAnsi="Times New Roman" w:cs="Times New Roman"/>
      <w:color w:val="000000"/>
      <w:spacing w:val="10"/>
      <w:w w:val="100"/>
      <w:position w:val="0"/>
      <w:sz w:val="20"/>
      <w:szCs w:val="20"/>
      <w:shd w:val="clear" w:color="auto" w:fill="FFFFFF"/>
      <w:lang w:val="sl"/>
    </w:rPr>
  </w:style>
  <w:style w:type="character" w:customStyle="1" w:styleId="En-tte62">
    <w:name w:val="En-tête #6 (2)_"/>
    <w:link w:val="En-tte620"/>
    <w:rPr>
      <w:spacing w:val="10"/>
      <w:sz w:val="31"/>
      <w:szCs w:val="31"/>
      <w:shd w:val="clear" w:color="auto" w:fill="FFFFFF"/>
      <w:lang w:val="fr"/>
    </w:rPr>
  </w:style>
  <w:style w:type="character" w:customStyle="1" w:styleId="Corpsdutexte5">
    <w:name w:val="Corps du texte (5)_"/>
    <w:link w:val="Corpsdutexte50"/>
    <w:rPr>
      <w:spacing w:val="10"/>
      <w:sz w:val="31"/>
      <w:szCs w:val="31"/>
      <w:shd w:val="clear" w:color="auto" w:fill="FFFFFF"/>
      <w:lang w:val="sl"/>
    </w:rPr>
  </w:style>
  <w:style w:type="character" w:customStyle="1" w:styleId="Lgendedelimage">
    <w:name w:val="Légende de l'image_"/>
    <w:rPr>
      <w:b w:val="0"/>
      <w:bCs w:val="0"/>
      <w:i w:val="0"/>
      <w:iCs w:val="0"/>
      <w:smallCaps w:val="0"/>
      <w:strike w:val="0"/>
      <w:sz w:val="21"/>
      <w:szCs w:val="21"/>
      <w:u w:val="none"/>
    </w:rPr>
  </w:style>
  <w:style w:type="character" w:customStyle="1" w:styleId="Lgendedelimage0">
    <w:name w:val="Légende de l'image"/>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style>
  <w:style w:type="character" w:customStyle="1" w:styleId="Corpsdutexte8">
    <w:name w:val="Corps du texte (8)_"/>
    <w:rPr>
      <w:b w:val="0"/>
      <w:bCs w:val="0"/>
      <w:i w:val="0"/>
      <w:iCs w:val="0"/>
      <w:smallCaps w:val="0"/>
      <w:strike w:val="0"/>
      <w:sz w:val="16"/>
      <w:szCs w:val="16"/>
      <w:u w:val="none"/>
    </w:rPr>
  </w:style>
  <w:style w:type="character" w:customStyle="1" w:styleId="Corpsdutexte80">
    <w:name w:val="Corps du texte (8)"/>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style>
  <w:style w:type="character" w:customStyle="1" w:styleId="Corpsdutexte8Gras">
    <w:name w:val="Corps du texte (8) + Gras"/>
    <w:rPr>
      <w:rFonts w:ascii="Times New Roman" w:eastAsia="Times New Roman" w:hAnsi="Times New Roman" w:cs="Times New Roman"/>
      <w:b/>
      <w:bCs/>
      <w:i w:val="0"/>
      <w:iCs w:val="0"/>
      <w:smallCaps w:val="0"/>
      <w:strike w:val="0"/>
      <w:color w:val="000000"/>
      <w:spacing w:val="0"/>
      <w:w w:val="100"/>
      <w:position w:val="0"/>
      <w:sz w:val="16"/>
      <w:szCs w:val="16"/>
      <w:u w:val="none"/>
      <w:lang w:val="en-US"/>
    </w:rPr>
  </w:style>
  <w:style w:type="character" w:customStyle="1" w:styleId="Lgendedelimage2">
    <w:name w:val="Légende de l'image (2)_"/>
    <w:link w:val="Lgendedelimage20"/>
    <w:rPr>
      <w:sz w:val="21"/>
      <w:szCs w:val="21"/>
      <w:shd w:val="clear" w:color="auto" w:fill="FFFFFF"/>
    </w:rPr>
  </w:style>
  <w:style w:type="character" w:customStyle="1" w:styleId="Corpsdutexte4Espacement-1pt">
    <w:name w:val="Corps du texte (4) + Espacement -1 pt"/>
    <w:rPr>
      <w:rFonts w:ascii="Times New Roman" w:eastAsia="Times New Roman" w:hAnsi="Times New Roman" w:cs="Times New Roman"/>
      <w:b w:val="0"/>
      <w:bCs w:val="0"/>
      <w:i w:val="0"/>
      <w:iCs w:val="0"/>
      <w:smallCaps w:val="0"/>
      <w:strike w:val="0"/>
      <w:color w:val="000000"/>
      <w:spacing w:val="-20"/>
      <w:w w:val="100"/>
      <w:position w:val="0"/>
      <w:sz w:val="21"/>
      <w:szCs w:val="21"/>
      <w:u w:val="none"/>
      <w:lang w:val="sl"/>
    </w:rPr>
  </w:style>
  <w:style w:type="character" w:customStyle="1" w:styleId="En-tte72Gras">
    <w:name w:val="En-tête #7 (2) + Gras"/>
    <w:rPr>
      <w:rFonts w:ascii="Times New Roman" w:eastAsia="Times New Roman" w:hAnsi="Times New Roman" w:cs="Times New Roman"/>
      <w:b/>
      <w:bCs/>
      <w:i w:val="0"/>
      <w:iCs w:val="0"/>
      <w:smallCaps w:val="0"/>
      <w:strike w:val="0"/>
      <w:color w:val="000000"/>
      <w:spacing w:val="0"/>
      <w:w w:val="100"/>
      <w:position w:val="0"/>
      <w:sz w:val="21"/>
      <w:szCs w:val="21"/>
      <w:u w:val="none"/>
      <w:lang w:val="en-US"/>
    </w:rPr>
  </w:style>
  <w:style w:type="character" w:customStyle="1" w:styleId="Corpsdutexte95pt">
    <w:name w:val="Corps du texte + 9.5 p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en-US"/>
    </w:rPr>
  </w:style>
  <w:style w:type="character" w:customStyle="1" w:styleId="En-tte2">
    <w:name w:val="En-tête #2_"/>
    <w:link w:val="En-tte20"/>
    <w:rPr>
      <w:sz w:val="30"/>
      <w:szCs w:val="30"/>
      <w:shd w:val="clear" w:color="auto" w:fill="FFFFFF"/>
      <w:lang w:val="sl"/>
    </w:rPr>
  </w:style>
  <w:style w:type="paragraph" w:customStyle="1" w:styleId="En-tte10">
    <w:name w:val="En-tête #1"/>
    <w:basedOn w:val="Normal"/>
    <w:link w:val="En-tte1"/>
    <w:pPr>
      <w:widowControl w:val="0"/>
      <w:shd w:val="clear" w:color="auto" w:fill="FFFFFF"/>
      <w:spacing w:before="120" w:after="480" w:line="0" w:lineRule="atLeast"/>
      <w:jc w:val="center"/>
      <w:outlineLvl w:val="0"/>
    </w:pPr>
    <w:rPr>
      <w:sz w:val="21"/>
      <w:szCs w:val="21"/>
      <w:lang w:val="bg"/>
    </w:rPr>
  </w:style>
  <w:style w:type="paragraph" w:customStyle="1" w:styleId="En-tte30">
    <w:name w:val="En-tête #3"/>
    <w:basedOn w:val="Normal"/>
    <w:link w:val="En-tte3"/>
    <w:pPr>
      <w:widowControl w:val="0"/>
      <w:shd w:val="clear" w:color="auto" w:fill="FFFFFF"/>
      <w:spacing w:after="0" w:line="0" w:lineRule="atLeast"/>
      <w:outlineLvl w:val="2"/>
    </w:pPr>
    <w:rPr>
      <w:spacing w:val="10"/>
      <w:sz w:val="28"/>
      <w:szCs w:val="28"/>
    </w:rPr>
  </w:style>
  <w:style w:type="paragraph" w:customStyle="1" w:styleId="En-tte40">
    <w:name w:val="En-tête #4"/>
    <w:basedOn w:val="Normal"/>
    <w:link w:val="En-tte4"/>
    <w:pPr>
      <w:widowControl w:val="0"/>
      <w:shd w:val="clear" w:color="auto" w:fill="FFFFFF"/>
      <w:spacing w:after="120" w:line="0" w:lineRule="atLeast"/>
      <w:outlineLvl w:val="3"/>
    </w:pPr>
    <w:rPr>
      <w:spacing w:val="10"/>
      <w:sz w:val="28"/>
      <w:szCs w:val="28"/>
    </w:rPr>
  </w:style>
  <w:style w:type="paragraph" w:customStyle="1" w:styleId="En-tte50">
    <w:name w:val="En-tête #5"/>
    <w:basedOn w:val="Normal"/>
    <w:link w:val="En-tte5"/>
    <w:pPr>
      <w:widowControl w:val="0"/>
      <w:shd w:val="clear" w:color="auto" w:fill="FFFFFF"/>
      <w:spacing w:before="120" w:after="660" w:line="0" w:lineRule="atLeast"/>
      <w:jc w:val="center"/>
      <w:outlineLvl w:val="4"/>
    </w:pPr>
    <w:rPr>
      <w:sz w:val="30"/>
      <w:szCs w:val="30"/>
      <w:lang w:val="sl"/>
    </w:rPr>
  </w:style>
  <w:style w:type="paragraph" w:customStyle="1" w:styleId="En-tte60">
    <w:name w:val="En-tête #6"/>
    <w:basedOn w:val="Normal"/>
    <w:link w:val="En-tte6"/>
    <w:pPr>
      <w:widowControl w:val="0"/>
      <w:shd w:val="clear" w:color="auto" w:fill="FFFFFF"/>
      <w:spacing w:after="0" w:line="346" w:lineRule="exact"/>
      <w:ind w:firstLine="360"/>
      <w:outlineLvl w:val="5"/>
    </w:pPr>
    <w:rPr>
      <w:sz w:val="21"/>
      <w:szCs w:val="21"/>
      <w:lang w:val="sl"/>
    </w:rPr>
  </w:style>
  <w:style w:type="paragraph" w:customStyle="1" w:styleId="En-tte620">
    <w:name w:val="En-tête #6 (2)"/>
    <w:basedOn w:val="Normal"/>
    <w:link w:val="En-tte62"/>
    <w:pPr>
      <w:widowControl w:val="0"/>
      <w:shd w:val="clear" w:color="auto" w:fill="FFFFFF"/>
      <w:spacing w:after="0" w:line="360" w:lineRule="exact"/>
      <w:jc w:val="both"/>
      <w:outlineLvl w:val="5"/>
    </w:pPr>
    <w:rPr>
      <w:spacing w:val="10"/>
      <w:sz w:val="31"/>
      <w:szCs w:val="31"/>
      <w:lang w:val="fr"/>
    </w:rPr>
  </w:style>
  <w:style w:type="paragraph" w:customStyle="1" w:styleId="Corpsdutexte50">
    <w:name w:val="Corps du texte (5)"/>
    <w:basedOn w:val="Normal"/>
    <w:link w:val="Corpsdutexte5"/>
    <w:pPr>
      <w:widowControl w:val="0"/>
      <w:shd w:val="clear" w:color="auto" w:fill="FFFFFF"/>
      <w:spacing w:after="0" w:line="360" w:lineRule="exact"/>
      <w:jc w:val="both"/>
    </w:pPr>
    <w:rPr>
      <w:spacing w:val="10"/>
      <w:sz w:val="31"/>
      <w:szCs w:val="31"/>
      <w:lang w:val="sl"/>
    </w:rPr>
  </w:style>
  <w:style w:type="paragraph" w:customStyle="1" w:styleId="Lgendedelimage20">
    <w:name w:val="Légende de l'image (2)"/>
    <w:basedOn w:val="Normal"/>
    <w:link w:val="Lgendedelimage2"/>
    <w:pPr>
      <w:widowControl w:val="0"/>
      <w:shd w:val="clear" w:color="auto" w:fill="FFFFFF"/>
      <w:spacing w:after="0" w:line="0" w:lineRule="atLeast"/>
    </w:pPr>
    <w:rPr>
      <w:sz w:val="21"/>
      <w:szCs w:val="21"/>
    </w:rPr>
  </w:style>
  <w:style w:type="paragraph" w:customStyle="1" w:styleId="En-tte20">
    <w:name w:val="En-tête #2"/>
    <w:basedOn w:val="Normal"/>
    <w:link w:val="En-tte2"/>
    <w:pPr>
      <w:widowControl w:val="0"/>
      <w:shd w:val="clear" w:color="auto" w:fill="FFFFFF"/>
      <w:spacing w:after="780" w:line="0" w:lineRule="atLeast"/>
      <w:jc w:val="both"/>
      <w:outlineLvl w:val="1"/>
    </w:pPr>
    <w:rPr>
      <w:sz w:val="30"/>
      <w:szCs w:val="30"/>
      <w:lang w:val="sl"/>
    </w:rPr>
  </w:style>
  <w:style w:type="paragraph" w:styleId="ListParagraph">
    <w:name w:val="List Paragraph"/>
    <w:basedOn w:val="Normal"/>
    <w:uiPriority w:val="34"/>
    <w:qFormat/>
    <w:pPr>
      <w:spacing w:after="0" w:line="240" w:lineRule="auto"/>
      <w:ind w:left="720"/>
    </w:pPr>
    <w:rPr>
      <w:rFonts w:ascii="Calibri" w:eastAsia="Calibri" w:hAnsi="Calibri" w:cs="Times New Roman"/>
    </w:rPr>
  </w:style>
  <w:style w:type="numbering" w:customStyle="1" w:styleId="NoList11">
    <w:name w:val="No List11"/>
    <w:next w:val="NoList"/>
    <w:uiPriority w:val="99"/>
    <w:semiHidden/>
    <w:unhideWhenUsed/>
  </w:style>
  <w:style w:type="numbering" w:customStyle="1" w:styleId="NoList111">
    <w:name w:val="No List111"/>
    <w:next w:val="NoList"/>
    <w:uiPriority w:val="99"/>
    <w:semiHidden/>
  </w:style>
  <w:style w:type="character" w:styleId="PageNumber">
    <w:name w:val="page number"/>
  </w:style>
  <w:style w:type="character" w:customStyle="1" w:styleId="ecx472343111-23052011">
    <w:name w:val="ecx472343111-23052011"/>
  </w:style>
  <w:style w:type="character" w:customStyle="1" w:styleId="apple-style-span">
    <w:name w:val="apple-style-span"/>
  </w:style>
  <w:style w:type="paragraph" w:customStyle="1" w:styleId="msolistparagraph0">
    <w:name w:val="msolistparagraph"/>
    <w:basedOn w:val="Normal"/>
    <w:pPr>
      <w:spacing w:after="0" w:line="240" w:lineRule="auto"/>
      <w:ind w:left="720"/>
    </w:pPr>
    <w:rPr>
      <w:rFonts w:ascii="Times New Roman" w:eastAsia="Times New Roman" w:hAnsi="Times New Roman" w:cs="Times New Roman"/>
      <w:sz w:val="24"/>
      <w:szCs w:val="24"/>
    </w:rPr>
  </w:style>
  <w:style w:type="table" w:styleId="TableGrid">
    <w:name w:val="Table Grid"/>
    <w:basedOn w:val="TableNormal"/>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qFormat/>
    <w:pPr>
      <w:spacing w:after="0" w:line="240" w:lineRule="auto"/>
    </w:pPr>
    <w:rPr>
      <w:rFonts w:ascii="Times New Roman" w:eastAsia="Times New Roman" w:hAnsi="Times New Roman" w:cs="Times New Roman"/>
      <w:b/>
      <w:bCs/>
      <w:sz w:val="20"/>
      <w:szCs w:val="20"/>
    </w:rPr>
  </w:style>
  <w:style w:type="paragraph" w:customStyle="1" w:styleId="Text1">
    <w:name w:val="Text 1"/>
    <w:basedOn w:val="Normal"/>
    <w:link w:val="Text1Znak"/>
    <w:pPr>
      <w:spacing w:before="120" w:after="120" w:line="240" w:lineRule="auto"/>
      <w:ind w:left="850"/>
      <w:jc w:val="both"/>
    </w:pPr>
    <w:rPr>
      <w:rFonts w:ascii="Times New Roman" w:eastAsia="Times New Roman" w:hAnsi="Times New Roman" w:cs="Times New Roman"/>
      <w:sz w:val="24"/>
      <w:szCs w:val="20"/>
      <w:lang w:eastAsia="en-GB"/>
    </w:rPr>
  </w:style>
  <w:style w:type="paragraph" w:styleId="BodyText">
    <w:name w:val="Body Text"/>
    <w:aliases w:val="Texto independiente Car,Car1 Car,Body"/>
    <w:basedOn w:val="Normal"/>
    <w:link w:val="BodyTextChar"/>
    <w:pPr>
      <w:spacing w:after="0" w:line="240" w:lineRule="auto"/>
      <w:jc w:val="both"/>
    </w:pPr>
    <w:rPr>
      <w:rFonts w:ascii="Times New Roman" w:eastAsia="Times New Roman" w:hAnsi="Times New Roman" w:cs="Times New Roman"/>
      <w:sz w:val="24"/>
      <w:szCs w:val="24"/>
      <w:lang w:val="uk-UA" w:eastAsia="x-none"/>
    </w:rPr>
  </w:style>
  <w:style w:type="character" w:customStyle="1" w:styleId="BodyTextChar">
    <w:name w:val="Body Text Char"/>
    <w:aliases w:val="Texto independiente Car Char,Car1 Car Char,Body Char"/>
    <w:basedOn w:val="DefaultParagraphFont"/>
    <w:link w:val="BodyText"/>
    <w:rPr>
      <w:rFonts w:ascii="Times New Roman" w:eastAsia="Times New Roman" w:hAnsi="Times New Roman" w:cs="Times New Roman"/>
      <w:sz w:val="24"/>
      <w:szCs w:val="24"/>
      <w:lang w:val="uk-UA" w:eastAsia="x-none"/>
    </w:rPr>
  </w:style>
  <w:style w:type="paragraph" w:customStyle="1" w:styleId="ListNumber1">
    <w:name w:val="List Number 1"/>
    <w:basedOn w:val="Text1"/>
    <w:pPr>
      <w:numPr>
        <w:numId w:val="17"/>
      </w:numPr>
      <w:tabs>
        <w:tab w:val="clear" w:pos="1560"/>
        <w:tab w:val="num" w:pos="720"/>
      </w:tabs>
      <w:ind w:left="720" w:hanging="360"/>
    </w:pPr>
    <w:rPr>
      <w:szCs w:val="24"/>
      <w:lang w:eastAsia="de-DE"/>
    </w:rPr>
  </w:style>
  <w:style w:type="paragraph" w:customStyle="1" w:styleId="ListNumber1Level2">
    <w:name w:val="List Number 1 (Level 2)"/>
    <w:basedOn w:val="Text1"/>
    <w:pPr>
      <w:numPr>
        <w:ilvl w:val="1"/>
        <w:numId w:val="17"/>
      </w:numPr>
      <w:tabs>
        <w:tab w:val="clear" w:pos="2268"/>
        <w:tab w:val="num" w:pos="1440"/>
      </w:tabs>
      <w:ind w:left="1440" w:hanging="360"/>
    </w:pPr>
    <w:rPr>
      <w:szCs w:val="24"/>
      <w:lang w:eastAsia="de-DE"/>
    </w:rPr>
  </w:style>
  <w:style w:type="paragraph" w:customStyle="1" w:styleId="ListNumber1Level3">
    <w:name w:val="List Number 1 (Level 3)"/>
    <w:basedOn w:val="Text1"/>
    <w:pPr>
      <w:numPr>
        <w:ilvl w:val="2"/>
        <w:numId w:val="17"/>
      </w:numPr>
      <w:tabs>
        <w:tab w:val="clear" w:pos="2977"/>
        <w:tab w:val="num" w:pos="2160"/>
      </w:tabs>
      <w:ind w:left="2160" w:hanging="360"/>
    </w:pPr>
    <w:rPr>
      <w:szCs w:val="24"/>
      <w:lang w:eastAsia="de-DE"/>
    </w:rPr>
  </w:style>
  <w:style w:type="paragraph" w:customStyle="1" w:styleId="ListNumber1Level4">
    <w:name w:val="List Number 1 (Level 4)"/>
    <w:basedOn w:val="Text1"/>
    <w:pPr>
      <w:numPr>
        <w:ilvl w:val="3"/>
        <w:numId w:val="17"/>
      </w:numPr>
      <w:tabs>
        <w:tab w:val="clear" w:pos="3686"/>
        <w:tab w:val="num" w:pos="2880"/>
      </w:tabs>
      <w:ind w:left="2880" w:hanging="360"/>
    </w:pPr>
    <w:rPr>
      <w:szCs w:val="24"/>
      <w:lang w:eastAsia="de-DE"/>
    </w:rPr>
  </w:style>
  <w:style w:type="paragraph" w:customStyle="1" w:styleId="Titrearticle">
    <w:name w:val="Titre article"/>
    <w:basedOn w:val="Normal"/>
    <w:next w:val="Normal"/>
    <w:link w:val="TitrearticleChar"/>
    <w:pPr>
      <w:keepNext/>
      <w:spacing w:before="360" w:after="120" w:line="240" w:lineRule="auto"/>
      <w:jc w:val="center"/>
    </w:pPr>
    <w:rPr>
      <w:rFonts w:ascii="Times New Roman" w:eastAsia="Times New Roman" w:hAnsi="Times New Roman" w:cs="Times New Roman"/>
      <w:i/>
      <w:sz w:val="24"/>
      <w:szCs w:val="24"/>
      <w:lang w:eastAsia="de-DE"/>
    </w:rPr>
  </w:style>
  <w:style w:type="paragraph" w:customStyle="1" w:styleId="Text2">
    <w:name w:val="Text 2"/>
    <w:basedOn w:val="Normal"/>
    <w:pPr>
      <w:numPr>
        <w:numId w:val="21"/>
      </w:numPr>
      <w:tabs>
        <w:tab w:val="clear" w:pos="360"/>
      </w:tabs>
      <w:spacing w:before="120" w:after="120" w:line="240" w:lineRule="auto"/>
      <w:ind w:left="850" w:firstLine="0"/>
      <w:jc w:val="both"/>
    </w:pPr>
    <w:rPr>
      <w:rFonts w:ascii="Times New Roman" w:eastAsia="Times New Roman" w:hAnsi="Times New Roman" w:cs="Times New Roman"/>
      <w:sz w:val="24"/>
      <w:szCs w:val="24"/>
      <w:lang w:eastAsia="de-DE"/>
    </w:rPr>
  </w:style>
  <w:style w:type="paragraph" w:styleId="ListNumber">
    <w:name w:val="List Number"/>
    <w:basedOn w:val="Normal"/>
    <w:pPr>
      <w:numPr>
        <w:numId w:val="18"/>
      </w:numPr>
      <w:spacing w:before="120" w:after="120" w:line="240" w:lineRule="auto"/>
      <w:jc w:val="both"/>
    </w:pPr>
    <w:rPr>
      <w:rFonts w:ascii="Times New Roman" w:eastAsia="Times New Roman" w:hAnsi="Times New Roman" w:cs="Times New Roman"/>
      <w:sz w:val="24"/>
      <w:szCs w:val="24"/>
      <w:lang w:eastAsia="en-GB"/>
    </w:rPr>
  </w:style>
  <w:style w:type="paragraph" w:customStyle="1" w:styleId="ListNumberLevel2">
    <w:name w:val="List Number (Level 2)"/>
    <w:basedOn w:val="Normal"/>
    <w:pPr>
      <w:numPr>
        <w:ilvl w:val="1"/>
        <w:numId w:val="18"/>
      </w:numPr>
      <w:spacing w:before="120" w:after="120" w:line="240" w:lineRule="auto"/>
      <w:jc w:val="both"/>
    </w:pPr>
    <w:rPr>
      <w:rFonts w:ascii="Times New Roman" w:eastAsia="Times New Roman" w:hAnsi="Times New Roman" w:cs="Times New Roman"/>
      <w:sz w:val="24"/>
      <w:szCs w:val="24"/>
      <w:lang w:eastAsia="en-GB"/>
    </w:rPr>
  </w:style>
  <w:style w:type="paragraph" w:customStyle="1" w:styleId="ListNumberLevel3">
    <w:name w:val="List Number (Level 3)"/>
    <w:basedOn w:val="Normal"/>
    <w:pPr>
      <w:numPr>
        <w:ilvl w:val="2"/>
        <w:numId w:val="18"/>
      </w:numPr>
      <w:spacing w:before="120" w:after="120" w:line="240" w:lineRule="auto"/>
      <w:jc w:val="both"/>
    </w:pPr>
    <w:rPr>
      <w:rFonts w:ascii="Times New Roman" w:eastAsia="Times New Roman" w:hAnsi="Times New Roman" w:cs="Times New Roman"/>
      <w:sz w:val="24"/>
      <w:szCs w:val="24"/>
      <w:lang w:eastAsia="en-GB"/>
    </w:rPr>
  </w:style>
  <w:style w:type="paragraph" w:customStyle="1" w:styleId="ListNumberLevel4">
    <w:name w:val="List Number (Level 4)"/>
    <w:basedOn w:val="Normal"/>
    <w:pPr>
      <w:numPr>
        <w:ilvl w:val="3"/>
        <w:numId w:val="18"/>
      </w:numPr>
      <w:spacing w:before="120" w:after="120" w:line="240" w:lineRule="auto"/>
      <w:jc w:val="both"/>
    </w:pPr>
    <w:rPr>
      <w:rFonts w:ascii="Times New Roman" w:eastAsia="Times New Roman" w:hAnsi="Times New Roman" w:cs="Times New Roman"/>
      <w:sz w:val="24"/>
      <w:szCs w:val="24"/>
      <w:lang w:eastAsia="en-GB"/>
    </w:rPr>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M4">
    <w:name w:val="CM4"/>
    <w:basedOn w:val="Normal"/>
    <w:next w:val="Normal"/>
    <w:uiPriority w:val="99"/>
    <w:pPr>
      <w:autoSpaceDE w:val="0"/>
      <w:autoSpaceDN w:val="0"/>
      <w:adjustRightInd w:val="0"/>
      <w:spacing w:after="0" w:line="240" w:lineRule="auto"/>
    </w:pPr>
    <w:rPr>
      <w:rFonts w:ascii="EUAlbertina" w:eastAsia="Times New Roman" w:hAnsi="EUAlbertina" w:cs="Times New Roman"/>
      <w:sz w:val="24"/>
      <w:szCs w:val="24"/>
      <w:lang w:eastAsia="en-GB"/>
    </w:rPr>
  </w:style>
  <w:style w:type="paragraph" w:customStyle="1" w:styleId="CharCharCharCharCharCharChar">
    <w:name w:val="Char Char Char Char Char Char Char"/>
    <w:aliases w:val=" Char Char Char Char Char1"/>
    <w:basedOn w:val="Normal"/>
    <w:next w:val="Normal"/>
    <w:pPr>
      <w:spacing w:after="160" w:line="240" w:lineRule="exact"/>
    </w:pPr>
    <w:rPr>
      <w:rFonts w:ascii="Tahoma" w:eastAsia="Times New Roman" w:hAnsi="Tahoma" w:cs="Times New Roman"/>
      <w:sz w:val="24"/>
      <w:szCs w:val="20"/>
    </w:rPr>
  </w:style>
  <w:style w:type="paragraph" w:styleId="Title">
    <w:name w:val="Title"/>
    <w:basedOn w:val="Normal"/>
    <w:next w:val="Normal"/>
    <w:link w:val="TitleChar"/>
    <w:uiPriority w:val="10"/>
    <w:qFormat/>
    <w:pPr>
      <w:spacing w:before="240" w:after="60"/>
      <w:jc w:val="center"/>
      <w:outlineLvl w:val="0"/>
    </w:pPr>
    <w:rPr>
      <w:rFonts w:ascii="Times New Roman" w:eastAsia="Times New Roman" w:hAnsi="Times New Roman" w:cs="Times New Roman"/>
      <w:b/>
      <w:bCs/>
      <w:kern w:val="28"/>
      <w:sz w:val="24"/>
      <w:szCs w:val="32"/>
      <w:lang w:val="x-none"/>
    </w:rPr>
  </w:style>
  <w:style w:type="character" w:customStyle="1" w:styleId="TitleChar">
    <w:name w:val="Title Char"/>
    <w:basedOn w:val="DefaultParagraphFont"/>
    <w:link w:val="Title"/>
    <w:uiPriority w:val="10"/>
    <w:rPr>
      <w:rFonts w:ascii="Times New Roman" w:eastAsia="Times New Roman" w:hAnsi="Times New Roman" w:cs="Times New Roman"/>
      <w:b/>
      <w:bCs/>
      <w:kern w:val="28"/>
      <w:sz w:val="24"/>
      <w:szCs w:val="32"/>
      <w:lang w:val="x-none"/>
    </w:rPr>
  </w:style>
  <w:style w:type="paragraph" w:styleId="PlainText">
    <w:name w:val="Plain Text"/>
    <w:basedOn w:val="Normal"/>
    <w:link w:val="PlainTextChar"/>
    <w:uiPriority w:val="99"/>
    <w:unhideWhenUsed/>
    <w:pPr>
      <w:spacing w:after="0" w:line="240" w:lineRule="auto"/>
    </w:pPr>
    <w:rPr>
      <w:rFonts w:ascii="Times New Roman" w:eastAsia="Calibri" w:hAnsi="Times New Roman" w:cs="Times New Roman"/>
      <w:sz w:val="24"/>
      <w:szCs w:val="24"/>
      <w:lang w:val="x-none"/>
    </w:rPr>
  </w:style>
  <w:style w:type="character" w:customStyle="1" w:styleId="PlainTextChar">
    <w:name w:val="Plain Text Char"/>
    <w:basedOn w:val="DefaultParagraphFont"/>
    <w:link w:val="PlainText"/>
    <w:uiPriority w:val="99"/>
    <w:rPr>
      <w:rFonts w:ascii="Times New Roman" w:eastAsia="Calibri" w:hAnsi="Times New Roman" w:cs="Times New Roman"/>
      <w:sz w:val="24"/>
      <w:szCs w:val="24"/>
      <w:lang w:val="x-none"/>
    </w:rPr>
  </w:style>
  <w:style w:type="paragraph" w:customStyle="1" w:styleId="Bullet1">
    <w:name w:val="Bullet 1"/>
    <w:basedOn w:val="Normal"/>
    <w:pPr>
      <w:numPr>
        <w:numId w:val="19"/>
      </w:numPr>
      <w:spacing w:before="120" w:after="120" w:line="360" w:lineRule="auto"/>
      <w:outlineLvl w:val="0"/>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pPr>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Pr>
      <w:rFonts w:ascii="Courier New" w:eastAsia="Times New Roman" w:hAnsi="Courier New" w:cs="Courier New"/>
      <w:sz w:val="20"/>
      <w:szCs w:val="20"/>
    </w:rPr>
  </w:style>
  <w:style w:type="paragraph" w:styleId="ListBullet2">
    <w:name w:val="List Bullet 2"/>
    <w:basedOn w:val="Normal"/>
    <w:pPr>
      <w:numPr>
        <w:numId w:val="20"/>
      </w:numPr>
      <w:spacing w:after="0" w:line="240" w:lineRule="auto"/>
      <w:contextualSpacing/>
    </w:pPr>
    <w:rPr>
      <w:rFonts w:ascii="Times New Roman" w:eastAsia="Times New Roman" w:hAnsi="Times New Roman" w:cs="Times New Roman"/>
      <w:sz w:val="24"/>
      <w:szCs w:val="24"/>
    </w:rPr>
  </w:style>
  <w:style w:type="numbering" w:customStyle="1" w:styleId="NoList1111">
    <w:name w:val="No List1111"/>
    <w:next w:val="NoList"/>
    <w:uiPriority w:val="99"/>
    <w:semiHidden/>
    <w:unhideWhenUsed/>
  </w:style>
  <w:style w:type="paragraph" w:customStyle="1" w:styleId="ZDGName">
    <w:name w:val="Z_DGName"/>
    <w:basedOn w:val="Normal"/>
    <w:pPr>
      <w:widowControl w:val="0"/>
      <w:autoSpaceDE w:val="0"/>
      <w:autoSpaceDN w:val="0"/>
      <w:spacing w:after="0" w:line="240" w:lineRule="auto"/>
      <w:ind w:right="85"/>
    </w:pPr>
    <w:rPr>
      <w:rFonts w:ascii="Arial" w:eastAsia="Times New Roman" w:hAnsi="Arial" w:cs="Arial"/>
      <w:sz w:val="16"/>
      <w:szCs w:val="16"/>
      <w:lang w:eastAsia="en-GB"/>
    </w:rPr>
  </w:style>
  <w:style w:type="paragraph" w:customStyle="1" w:styleId="ZCom">
    <w:name w:val="Z_Com"/>
    <w:basedOn w:val="Normal"/>
    <w:next w:val="ZDGName"/>
    <w:pPr>
      <w:widowControl w:val="0"/>
      <w:autoSpaceDE w:val="0"/>
      <w:autoSpaceDN w:val="0"/>
      <w:spacing w:after="0" w:line="240" w:lineRule="auto"/>
      <w:ind w:right="85"/>
      <w:jc w:val="both"/>
    </w:pPr>
    <w:rPr>
      <w:rFonts w:ascii="Arial" w:eastAsia="Times New Roman" w:hAnsi="Arial" w:cs="Arial"/>
      <w:sz w:val="24"/>
      <w:szCs w:val="24"/>
      <w:lang w:eastAsia="en-GB"/>
    </w:rPr>
  </w:style>
  <w:style w:type="paragraph" w:customStyle="1" w:styleId="CM1">
    <w:name w:val="CM1"/>
    <w:basedOn w:val="Default"/>
    <w:next w:val="Default"/>
    <w:uiPriority w:val="99"/>
    <w:rPr>
      <w:rFonts w:ascii="EUAlbertina" w:eastAsia="Calibri" w:hAnsi="EUAlbertina"/>
      <w:color w:val="auto"/>
      <w:lang w:val="en-GB"/>
    </w:rPr>
  </w:style>
  <w:style w:type="paragraph" w:customStyle="1" w:styleId="CM3">
    <w:name w:val="CM3"/>
    <w:basedOn w:val="Default"/>
    <w:next w:val="Default"/>
    <w:uiPriority w:val="99"/>
    <w:rPr>
      <w:rFonts w:ascii="EUAlbertina" w:eastAsia="Calibri" w:hAnsi="EUAlbertina"/>
      <w:color w:val="auto"/>
      <w:lang w:val="en-GB"/>
    </w:rPr>
  </w:style>
  <w:style w:type="character" w:customStyle="1" w:styleId="spschname">
    <w:name w:val="sp_schname"/>
  </w:style>
  <w:style w:type="character" w:customStyle="1" w:styleId="TitrearticleChar">
    <w:name w:val="Titre article Char"/>
    <w:link w:val="Titrearticle"/>
    <w:rPr>
      <w:rFonts w:ascii="Times New Roman" w:eastAsia="Times New Roman" w:hAnsi="Times New Roman" w:cs="Times New Roman"/>
      <w:i/>
      <w:sz w:val="24"/>
      <w:szCs w:val="24"/>
      <w:lang w:eastAsia="de-DE"/>
    </w:rPr>
  </w:style>
  <w:style w:type="paragraph" w:customStyle="1" w:styleId="num">
    <w:name w:val="num"/>
    <w:basedOn w:val="Normal"/>
    <w:pPr>
      <w:spacing w:after="240" w:line="240" w:lineRule="auto"/>
      <w:ind w:left="850" w:hanging="850"/>
      <w:jc w:val="both"/>
    </w:pPr>
    <w:rPr>
      <w:rFonts w:ascii="Times New Roman" w:eastAsia="Times New Roman" w:hAnsi="Times New Roman" w:cs="Times New Roman"/>
      <w:sz w:val="24"/>
      <w:szCs w:val="20"/>
      <w:lang w:eastAsia="en-GB"/>
    </w:rPr>
  </w:style>
  <w:style w:type="paragraph" w:customStyle="1" w:styleId="num2">
    <w:name w:val="num2"/>
    <w:basedOn w:val="num"/>
    <w:pPr>
      <w:ind w:left="1700"/>
    </w:pPr>
  </w:style>
  <w:style w:type="paragraph" w:customStyle="1" w:styleId="footnote">
    <w:name w:val="footnote"/>
    <w:basedOn w:val="FootnoteText"/>
    <w:link w:val="footnoteChar"/>
    <w:pPr>
      <w:ind w:left="0" w:firstLine="0"/>
    </w:pPr>
    <w:rPr>
      <w:rFonts w:eastAsia="Batang"/>
      <w:sz w:val="16"/>
      <w:szCs w:val="16"/>
      <w:lang w:eastAsia="en-GB"/>
    </w:rPr>
  </w:style>
  <w:style w:type="character" w:customStyle="1" w:styleId="footnoteChar">
    <w:name w:val="footnote Char"/>
    <w:link w:val="footnote"/>
    <w:rPr>
      <w:rFonts w:ascii="Times New Roman" w:eastAsia="Batang" w:hAnsi="Times New Roman" w:cs="Times New Roman"/>
      <w:sz w:val="16"/>
      <w:szCs w:val="16"/>
      <w:lang w:val="en" w:eastAsia="en-GB"/>
    </w:rPr>
  </w:style>
  <w:style w:type="paragraph" w:customStyle="1" w:styleId="para">
    <w:name w:val="para"/>
    <w:basedOn w:val="Normal"/>
    <w:pPr>
      <w:spacing w:after="240" w:line="240" w:lineRule="auto"/>
    </w:pPr>
    <w:rPr>
      <w:rFonts w:ascii="Times New Roman" w:eastAsia="Batang" w:hAnsi="Times New Roman" w:cs="Times New Roman"/>
      <w:sz w:val="24"/>
      <w:szCs w:val="20"/>
      <w:lang w:val="en-US"/>
    </w:rPr>
  </w:style>
  <w:style w:type="paragraph" w:customStyle="1" w:styleId="Tiret4">
    <w:name w:val="Tiret 4"/>
    <w:basedOn w:val="Normal"/>
    <w:pPr>
      <w:tabs>
        <w:tab w:val="num" w:pos="3118"/>
      </w:tabs>
      <w:spacing w:before="120" w:after="120" w:line="240" w:lineRule="auto"/>
      <w:ind w:left="3118" w:hanging="567"/>
      <w:jc w:val="both"/>
    </w:pPr>
    <w:rPr>
      <w:rFonts w:ascii="Times New Roman" w:eastAsia="Times New Roman" w:hAnsi="Times New Roman" w:cs="Times New Roman"/>
      <w:sz w:val="24"/>
      <w:szCs w:val="24"/>
    </w:rPr>
  </w:style>
  <w:style w:type="paragraph" w:customStyle="1" w:styleId="NumPar1">
    <w:name w:val="NumPar 1"/>
    <w:basedOn w:val="Normal"/>
    <w:next w:val="Normal"/>
    <w:pPr>
      <w:numPr>
        <w:numId w:val="22"/>
      </w:numPr>
      <w:spacing w:before="120" w:after="120" w:line="240" w:lineRule="auto"/>
      <w:jc w:val="both"/>
    </w:pPr>
    <w:rPr>
      <w:rFonts w:ascii="Times New Roman" w:eastAsia="Times New Roman" w:hAnsi="Times New Roman" w:cs="Times New Roman"/>
      <w:sz w:val="24"/>
      <w:szCs w:val="24"/>
    </w:rPr>
  </w:style>
  <w:style w:type="paragraph" w:customStyle="1" w:styleId="NumPar2">
    <w:name w:val="NumPar 2"/>
    <w:basedOn w:val="Normal"/>
    <w:next w:val="Normal"/>
    <w:pPr>
      <w:numPr>
        <w:ilvl w:val="1"/>
        <w:numId w:val="22"/>
      </w:numPr>
      <w:spacing w:before="120" w:after="120" w:line="240" w:lineRule="auto"/>
      <w:jc w:val="both"/>
    </w:pPr>
    <w:rPr>
      <w:rFonts w:ascii="Times New Roman" w:eastAsia="Times New Roman" w:hAnsi="Times New Roman" w:cs="Times New Roman"/>
      <w:sz w:val="24"/>
      <w:szCs w:val="24"/>
    </w:rPr>
  </w:style>
  <w:style w:type="paragraph" w:customStyle="1" w:styleId="NumPar3">
    <w:name w:val="NumPar 3"/>
    <w:basedOn w:val="Normal"/>
    <w:next w:val="Normal"/>
    <w:pPr>
      <w:numPr>
        <w:ilvl w:val="2"/>
        <w:numId w:val="22"/>
      </w:numPr>
      <w:spacing w:before="120" w:after="120" w:line="240" w:lineRule="auto"/>
      <w:jc w:val="both"/>
    </w:pPr>
    <w:rPr>
      <w:rFonts w:ascii="Times New Roman" w:eastAsia="Times New Roman" w:hAnsi="Times New Roman" w:cs="Times New Roman"/>
      <w:sz w:val="24"/>
      <w:szCs w:val="24"/>
    </w:rPr>
  </w:style>
  <w:style w:type="paragraph" w:customStyle="1" w:styleId="NumPar4">
    <w:name w:val="NumPar 4"/>
    <w:basedOn w:val="Normal"/>
    <w:next w:val="Normal"/>
    <w:pPr>
      <w:numPr>
        <w:ilvl w:val="3"/>
        <w:numId w:val="22"/>
      </w:numPr>
      <w:spacing w:before="120" w:after="120" w:line="240" w:lineRule="auto"/>
      <w:jc w:val="both"/>
    </w:pPr>
    <w:rPr>
      <w:rFonts w:ascii="Times New Roman" w:eastAsia="Times New Roman" w:hAnsi="Times New Roman" w:cs="Times New Roman"/>
      <w:sz w:val="24"/>
      <w:szCs w:val="24"/>
    </w:rPr>
  </w:style>
  <w:style w:type="paragraph" w:customStyle="1" w:styleId="Point0number">
    <w:name w:val="Point 0 (number)"/>
    <w:basedOn w:val="Normal"/>
    <w:pPr>
      <w:numPr>
        <w:ilvl w:val="1"/>
        <w:numId w:val="23"/>
      </w:numPr>
      <w:spacing w:before="120" w:after="120" w:line="240" w:lineRule="auto"/>
      <w:jc w:val="both"/>
    </w:pPr>
    <w:rPr>
      <w:rFonts w:ascii="Times New Roman" w:eastAsia="Times New Roman" w:hAnsi="Times New Roman" w:cs="Times New Roman"/>
      <w:sz w:val="24"/>
      <w:szCs w:val="24"/>
    </w:rPr>
  </w:style>
  <w:style w:type="paragraph" w:customStyle="1" w:styleId="Point1number">
    <w:name w:val="Point 1 (number)"/>
    <w:basedOn w:val="Normal"/>
    <w:pPr>
      <w:numPr>
        <w:ilvl w:val="3"/>
        <w:numId w:val="23"/>
      </w:numPr>
      <w:spacing w:before="120" w:after="120" w:line="240" w:lineRule="auto"/>
      <w:jc w:val="both"/>
    </w:pPr>
    <w:rPr>
      <w:rFonts w:ascii="Times New Roman" w:eastAsia="Times New Roman" w:hAnsi="Times New Roman" w:cs="Times New Roman"/>
      <w:sz w:val="24"/>
      <w:szCs w:val="24"/>
    </w:rPr>
  </w:style>
  <w:style w:type="paragraph" w:customStyle="1" w:styleId="Point2number">
    <w:name w:val="Point 2 (number)"/>
    <w:basedOn w:val="Normal"/>
    <w:pPr>
      <w:numPr>
        <w:ilvl w:val="5"/>
        <w:numId w:val="23"/>
      </w:numPr>
      <w:spacing w:before="120" w:after="120" w:line="240" w:lineRule="auto"/>
      <w:jc w:val="both"/>
    </w:pPr>
    <w:rPr>
      <w:rFonts w:ascii="Times New Roman" w:eastAsia="Times New Roman" w:hAnsi="Times New Roman" w:cs="Times New Roman"/>
      <w:sz w:val="24"/>
      <w:szCs w:val="24"/>
    </w:rPr>
  </w:style>
  <w:style w:type="paragraph" w:customStyle="1" w:styleId="Point3number">
    <w:name w:val="Point 3 (number)"/>
    <w:basedOn w:val="Normal"/>
    <w:pPr>
      <w:numPr>
        <w:ilvl w:val="7"/>
        <w:numId w:val="23"/>
      </w:numPr>
      <w:spacing w:before="120" w:after="120" w:line="240" w:lineRule="auto"/>
      <w:jc w:val="both"/>
    </w:pPr>
    <w:rPr>
      <w:rFonts w:ascii="Times New Roman" w:eastAsia="Times New Roman" w:hAnsi="Times New Roman" w:cs="Times New Roman"/>
      <w:sz w:val="24"/>
      <w:szCs w:val="24"/>
    </w:rPr>
  </w:style>
  <w:style w:type="paragraph" w:customStyle="1" w:styleId="Point0letter">
    <w:name w:val="Point 0 (letter)"/>
    <w:basedOn w:val="Normal"/>
    <w:pPr>
      <w:tabs>
        <w:tab w:val="num" w:pos="850"/>
      </w:tabs>
      <w:spacing w:before="120" w:after="120" w:line="240" w:lineRule="auto"/>
      <w:ind w:left="850" w:hanging="850"/>
      <w:jc w:val="both"/>
    </w:pPr>
    <w:rPr>
      <w:rFonts w:ascii="Times New Roman" w:eastAsia="Times New Roman" w:hAnsi="Times New Roman" w:cs="Times New Roman"/>
      <w:sz w:val="24"/>
      <w:szCs w:val="24"/>
    </w:rPr>
  </w:style>
  <w:style w:type="paragraph" w:customStyle="1" w:styleId="Point1letter">
    <w:name w:val="Point 1 (letter)"/>
    <w:basedOn w:val="Normal"/>
    <w:pPr>
      <w:tabs>
        <w:tab w:val="num" w:pos="1417"/>
      </w:tabs>
      <w:spacing w:before="120" w:after="120" w:line="240" w:lineRule="auto"/>
      <w:ind w:left="1417" w:hanging="567"/>
      <w:jc w:val="both"/>
    </w:pPr>
    <w:rPr>
      <w:rFonts w:ascii="Times New Roman" w:eastAsia="Times New Roman" w:hAnsi="Times New Roman" w:cs="Times New Roman"/>
      <w:sz w:val="24"/>
      <w:szCs w:val="24"/>
    </w:rPr>
  </w:style>
  <w:style w:type="paragraph" w:customStyle="1" w:styleId="Point2letter">
    <w:name w:val="Point 2 (letter)"/>
    <w:basedOn w:val="Normal"/>
    <w:pPr>
      <w:tabs>
        <w:tab w:val="num" w:pos="1984"/>
      </w:tabs>
      <w:spacing w:before="120" w:after="120" w:line="240" w:lineRule="auto"/>
      <w:ind w:left="1984" w:hanging="567"/>
      <w:jc w:val="both"/>
    </w:pPr>
    <w:rPr>
      <w:rFonts w:ascii="Times New Roman" w:eastAsia="Times New Roman" w:hAnsi="Times New Roman" w:cs="Times New Roman"/>
      <w:sz w:val="24"/>
      <w:szCs w:val="24"/>
    </w:rPr>
  </w:style>
  <w:style w:type="paragraph" w:customStyle="1" w:styleId="Point3letter">
    <w:name w:val="Point 3 (letter)"/>
    <w:basedOn w:val="Normal"/>
    <w:pPr>
      <w:tabs>
        <w:tab w:val="num" w:pos="2551"/>
      </w:tabs>
      <w:spacing w:before="120" w:after="120" w:line="240" w:lineRule="auto"/>
      <w:ind w:left="2551" w:hanging="567"/>
      <w:jc w:val="both"/>
    </w:pPr>
    <w:rPr>
      <w:rFonts w:ascii="Times New Roman" w:eastAsia="Times New Roman" w:hAnsi="Times New Roman" w:cs="Times New Roman"/>
      <w:sz w:val="24"/>
      <w:szCs w:val="24"/>
    </w:rPr>
  </w:style>
  <w:style w:type="paragraph" w:customStyle="1" w:styleId="Point4letter">
    <w:name w:val="Point 4 (letter)"/>
    <w:basedOn w:val="Normal"/>
    <w:pPr>
      <w:tabs>
        <w:tab w:val="num" w:pos="3118"/>
      </w:tabs>
      <w:spacing w:before="120" w:after="120" w:line="240" w:lineRule="auto"/>
      <w:ind w:left="3118" w:hanging="567"/>
      <w:jc w:val="both"/>
    </w:pPr>
    <w:rPr>
      <w:rFonts w:ascii="Times New Roman" w:eastAsia="Times New Roman" w:hAnsi="Times New Roman" w:cs="Times New Roman"/>
      <w:sz w:val="24"/>
      <w:szCs w:val="24"/>
    </w:rPr>
  </w:style>
  <w:style w:type="paragraph" w:customStyle="1" w:styleId="ZTitleChapter">
    <w:name w:val="Z_Title Chapter"/>
    <w:basedOn w:val="Normal"/>
    <w:pPr>
      <w:tabs>
        <w:tab w:val="left" w:pos="567"/>
        <w:tab w:val="left" w:pos="851"/>
        <w:tab w:val="left" w:pos="1134"/>
        <w:tab w:val="left" w:pos="1418"/>
        <w:tab w:val="left" w:pos="1701"/>
      </w:tabs>
      <w:spacing w:after="0" w:line="240" w:lineRule="auto"/>
      <w:jc w:val="center"/>
    </w:pPr>
    <w:rPr>
      <w:rFonts w:ascii="Times New Roman" w:eastAsia="Times New Roman" w:hAnsi="Times New Roman" w:cs="Times New Roman"/>
      <w:b/>
      <w:bCs/>
      <w:sz w:val="32"/>
      <w:szCs w:val="20"/>
      <w:lang w:eastAsia="en-GB"/>
    </w:rPr>
  </w:style>
  <w:style w:type="character" w:customStyle="1" w:styleId="Text1Znak">
    <w:name w:val="Text 1 Znak"/>
    <w:link w:val="Text1"/>
    <w:rPr>
      <w:rFonts w:ascii="Times New Roman" w:eastAsia="Times New Roman" w:hAnsi="Times New Roman" w:cs="Times New Roman"/>
      <w:sz w:val="24"/>
      <w:szCs w:val="20"/>
      <w:lang w:eastAsia="en-GB"/>
    </w:rPr>
  </w:style>
  <w:style w:type="paragraph" w:customStyle="1" w:styleId="Point1">
    <w:name w:val="Point 1"/>
    <w:basedOn w:val="Normal"/>
    <w:link w:val="Point1Char"/>
    <w:pPr>
      <w:spacing w:before="120" w:after="120" w:line="240" w:lineRule="auto"/>
      <w:ind w:left="1417" w:hanging="567"/>
      <w:jc w:val="both"/>
    </w:pPr>
    <w:rPr>
      <w:rFonts w:ascii="Times New Roman" w:eastAsia="Times New Roman" w:hAnsi="Times New Roman" w:cs="Times New Roman"/>
      <w:sz w:val="24"/>
      <w:szCs w:val="24"/>
      <w:lang w:eastAsia="en-GB"/>
    </w:rPr>
  </w:style>
  <w:style w:type="character" w:customStyle="1" w:styleId="Point1Char">
    <w:name w:val="Point 1 Char"/>
    <w:link w:val="Point1"/>
    <w:rPr>
      <w:rFonts w:ascii="Times New Roman" w:eastAsia="Times New Roman" w:hAnsi="Times New Roman" w:cs="Times New Roman"/>
      <w:sz w:val="24"/>
      <w:szCs w:val="24"/>
      <w:lang w:eastAsia="en-GB"/>
    </w:rPr>
  </w:style>
  <w:style w:type="paragraph" w:customStyle="1" w:styleId="ManualNumPar1">
    <w:name w:val="Manual NumPar 1"/>
    <w:basedOn w:val="Normal"/>
    <w:next w:val="Text1"/>
    <w:link w:val="ManualNumPar10"/>
    <w:pPr>
      <w:spacing w:before="120" w:after="120" w:line="240" w:lineRule="auto"/>
      <w:ind w:left="850" w:hanging="850"/>
      <w:jc w:val="both"/>
    </w:pPr>
    <w:rPr>
      <w:rFonts w:ascii="Times New Roman" w:eastAsia="Times New Roman" w:hAnsi="Times New Roman" w:cs="Times New Roman"/>
      <w:sz w:val="24"/>
      <w:szCs w:val="24"/>
      <w:lang w:eastAsia="en-GB"/>
    </w:rPr>
  </w:style>
  <w:style w:type="character" w:customStyle="1" w:styleId="ManualNumPar10">
    <w:name w:val="Manual NumPar 1 Знак"/>
    <w:link w:val="ManualNumPar1"/>
    <w:locked/>
    <w:rPr>
      <w:rFonts w:ascii="Times New Roman" w:eastAsia="Times New Roman" w:hAnsi="Times New Roman" w:cs="Times New Roman"/>
      <w:sz w:val="24"/>
      <w:szCs w:val="24"/>
      <w:lang w:eastAsia="en-GB"/>
    </w:rPr>
  </w:style>
  <w:style w:type="table" w:customStyle="1" w:styleId="TableGrid1">
    <w:name w:val="Table Grid1"/>
    <w:basedOn w:val="TableNormal"/>
    <w:next w:val="TableGrid"/>
    <w:uiPriority w:val="59"/>
    <w:pPr>
      <w:spacing w:after="240" w:line="240" w:lineRule="auto"/>
      <w:jc w:val="both"/>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Dash1">
    <w:name w:val="List Dash 1"/>
    <w:basedOn w:val="Normal"/>
    <w:pPr>
      <w:numPr>
        <w:numId w:val="24"/>
      </w:numPr>
      <w:spacing w:before="120" w:after="120" w:line="240" w:lineRule="auto"/>
      <w:jc w:val="both"/>
    </w:pPr>
    <w:rPr>
      <w:rFonts w:ascii="Times New Roman" w:eastAsia="Times New Roman" w:hAnsi="Times New Roman" w:cs="Times New Roman"/>
      <w:sz w:val="24"/>
      <w:szCs w:val="24"/>
      <w:lang w:eastAsia="en-GB"/>
    </w:rPr>
  </w:style>
  <w:style w:type="paragraph" w:styleId="TOC3">
    <w:name w:val="toc 3"/>
    <w:basedOn w:val="Normal"/>
    <w:next w:val="Normal"/>
    <w:autoRedefine/>
    <w:pPr>
      <w:keepLines/>
      <w:tabs>
        <w:tab w:val="left" w:pos="1200"/>
        <w:tab w:val="right" w:leader="dot" w:pos="9000"/>
        <w:tab w:val="right" w:leader="underscore" w:pos="9060"/>
      </w:tabs>
      <w:spacing w:after="120" w:line="240" w:lineRule="auto"/>
      <w:ind w:right="23"/>
      <w:jc w:val="both"/>
    </w:pPr>
    <w:rPr>
      <w:rFonts w:ascii="Times New Roman" w:eastAsia="Times New Roman" w:hAnsi="Times New Roman" w:cs="Times New Roman"/>
      <w:sz w:val="24"/>
      <w:szCs w:val="20"/>
      <w:lang w:val="en-US"/>
    </w:rPr>
  </w:style>
  <w:style w:type="paragraph" w:customStyle="1" w:styleId="pealkiri">
    <w:name w:val="pealkiri"/>
    <w:basedOn w:val="Normal"/>
    <w:pPr>
      <w:pBdr>
        <w:top w:val="single" w:sz="4" w:space="1" w:color="auto"/>
        <w:left w:val="single" w:sz="4" w:space="4" w:color="auto"/>
        <w:bottom w:val="single" w:sz="4" w:space="1" w:color="auto"/>
        <w:right w:val="single" w:sz="4" w:space="4" w:color="auto"/>
      </w:pBdr>
      <w:spacing w:after="0" w:line="240" w:lineRule="auto"/>
      <w:jc w:val="center"/>
    </w:pPr>
    <w:rPr>
      <w:rFonts w:ascii="Times New Roman" w:eastAsia="Times New Roman" w:hAnsi="Times New Roman" w:cs="Times New Roman"/>
      <w:b/>
      <w:caps/>
      <w:sz w:val="24"/>
      <w:szCs w:val="24"/>
      <w:lang w:eastAsia="zh-CN"/>
    </w:rPr>
  </w:style>
  <w:style w:type="paragraph" w:customStyle="1" w:styleId="Pealkiri2">
    <w:name w:val="Pealkiri 2"/>
    <w:basedOn w:val="Normal"/>
    <w:pPr>
      <w:numPr>
        <w:numId w:val="25"/>
      </w:numPr>
      <w:spacing w:after="0"/>
      <w:contextualSpacing/>
    </w:pPr>
    <w:rPr>
      <w:rFonts w:ascii="Times New Roman" w:eastAsia="SimSun" w:hAnsi="Times New Roman" w:cs="Times New Roman"/>
      <w:b/>
      <w:sz w:val="20"/>
      <w:szCs w:val="20"/>
      <w:lang w:eastAsia="en-GB"/>
    </w:rPr>
  </w:style>
  <w:style w:type="paragraph" w:customStyle="1" w:styleId="CharCharCharChar">
    <w:name w:val="Char Char Char Char"/>
    <w:basedOn w:val="Normal"/>
    <w:pPr>
      <w:tabs>
        <w:tab w:val="left" w:pos="709"/>
      </w:tabs>
      <w:spacing w:after="0" w:line="240" w:lineRule="auto"/>
    </w:pPr>
    <w:rPr>
      <w:rFonts w:ascii="Tahoma" w:eastAsia="Times New Roman" w:hAnsi="Tahoma" w:cs="Times New Roman"/>
      <w:sz w:val="24"/>
      <w:szCs w:val="24"/>
      <w:lang w:val="pl-PL" w:eastAsia="pl-PL"/>
    </w:rPr>
  </w:style>
  <w:style w:type="paragraph" w:styleId="DocumentMap">
    <w:name w:val="Document Map"/>
    <w:basedOn w:val="Normal"/>
    <w:link w:val="DocumentMapChar"/>
    <w:pPr>
      <w:shd w:val="clear" w:color="auto" w:fill="000080"/>
      <w:spacing w:after="0" w:line="240" w:lineRule="auto"/>
    </w:pPr>
    <w:rPr>
      <w:rFonts w:ascii="Tahoma" w:eastAsia="Times New Roman" w:hAnsi="Tahoma" w:cs="Tahoma"/>
      <w:sz w:val="20"/>
      <w:szCs w:val="20"/>
      <w:lang w:eastAsia="en-GB"/>
    </w:rPr>
  </w:style>
  <w:style w:type="character" w:customStyle="1" w:styleId="DocumentMapChar">
    <w:name w:val="Document Map Char"/>
    <w:basedOn w:val="DefaultParagraphFont"/>
    <w:link w:val="DocumentMap"/>
    <w:rPr>
      <w:rFonts w:ascii="Tahoma" w:eastAsia="Times New Roman" w:hAnsi="Tahoma" w:cs="Tahoma"/>
      <w:sz w:val="20"/>
      <w:szCs w:val="20"/>
      <w:shd w:val="clear" w:color="auto" w:fill="000080"/>
      <w:lang w:eastAsia="en-GB"/>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szCs w:val="24"/>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lang w:eastAsia="en-GB"/>
    </w:rPr>
  </w:style>
  <w:style w:type="paragraph" w:customStyle="1" w:styleId="Annexetitreglobale">
    <w:name w:val="Annexe titre (globale)"/>
    <w:basedOn w:val="Normal"/>
    <w:next w:val="Normal"/>
    <w:pPr>
      <w:spacing w:before="120" w:after="120" w:line="240" w:lineRule="auto"/>
      <w:jc w:val="center"/>
    </w:pPr>
    <w:rPr>
      <w:rFonts w:ascii="Times New Roman" w:eastAsia="Times New Roman" w:hAnsi="Times New Roman" w:cs="Times New Roman"/>
      <w:b/>
      <w:sz w:val="24"/>
      <w:szCs w:val="24"/>
      <w:u w:val="single"/>
      <w:lang w:eastAsia="de-DE"/>
    </w:rPr>
  </w:style>
  <w:style w:type="paragraph" w:customStyle="1" w:styleId="Transportable">
    <w:name w:val="Transportable"/>
    <w:basedOn w:val="Normal"/>
    <w:pPr>
      <w:spacing w:after="0" w:line="240" w:lineRule="auto"/>
    </w:pPr>
    <w:rPr>
      <w:rFonts w:ascii="Book Antiqua" w:eastAsia="Batang" w:hAnsi="Book Antiqua" w:cs="Times New Roman"/>
      <w:sz w:val="18"/>
      <w:szCs w:val="20"/>
    </w:rPr>
  </w:style>
  <w:style w:type="paragraph" w:customStyle="1" w:styleId="StyleHeading114pt">
    <w:name w:val="Style Heading 1 + 14 pt"/>
    <w:basedOn w:val="Heading1"/>
    <w:pPr>
      <w:keepNext/>
      <w:autoSpaceDE/>
      <w:autoSpaceDN/>
      <w:adjustRightInd/>
      <w:spacing w:before="360" w:after="120"/>
      <w:jc w:val="center"/>
    </w:pPr>
    <w:rPr>
      <w:rFonts w:ascii="Times New Roman" w:eastAsia="Batang" w:hAnsi="Times New Roman"/>
      <w:caps w:val="0"/>
      <w:smallCaps/>
      <w:sz w:val="28"/>
      <w:szCs w:val="32"/>
      <w:lang w:val="en-GB" w:eastAsia="ko-KR"/>
    </w:rPr>
  </w:style>
  <w:style w:type="paragraph" w:customStyle="1" w:styleId="footno">
    <w:name w:val="footno"/>
    <w:basedOn w:val="Footer"/>
    <w:pPr>
      <w:tabs>
        <w:tab w:val="clear" w:pos="4536"/>
        <w:tab w:val="clear" w:pos="9072"/>
        <w:tab w:val="center" w:pos="4320"/>
        <w:tab w:val="right" w:pos="8640"/>
      </w:tabs>
      <w:jc w:val="center"/>
    </w:pPr>
    <w:rPr>
      <w:rFonts w:ascii="Times New Roman" w:eastAsia="Times New Roman" w:hAnsi="Times New Roman" w:cstheme="majorBidi"/>
      <w:sz w:val="20"/>
      <w:szCs w:val="24"/>
      <w:lang w:eastAsia="en-GB"/>
    </w:rPr>
  </w:style>
  <w:style w:type="paragraph" w:customStyle="1" w:styleId="CharCharCharCharChar">
    <w:name w:val="Char Char Char Char Char"/>
    <w:basedOn w:val="Normal"/>
    <w:pPr>
      <w:spacing w:after="160" w:line="240" w:lineRule="exact"/>
    </w:pPr>
    <w:rPr>
      <w:rFonts w:ascii="Tahoma" w:eastAsia="Times New Roman" w:hAnsi="Tahoma" w:cs="Times New Roman"/>
      <w:sz w:val="20"/>
      <w:szCs w:val="20"/>
      <w:lang w:val="en-US"/>
    </w:rPr>
  </w:style>
  <w:style w:type="paragraph" w:customStyle="1" w:styleId="default0">
    <w:name w:val="default"/>
    <w:basedOn w:val="Normal"/>
    <w:pPr>
      <w:autoSpaceDE w:val="0"/>
      <w:autoSpaceDN w:val="0"/>
      <w:spacing w:after="0" w:line="240" w:lineRule="auto"/>
    </w:pPr>
    <w:rPr>
      <w:rFonts w:ascii="Times New Roman" w:eastAsia="Times New Roman" w:hAnsi="Times New Roman" w:cs="Times New Roman"/>
      <w:color w:val="000000"/>
      <w:sz w:val="24"/>
      <w:szCs w:val="24"/>
      <w:lang w:eastAsia="en-GB"/>
    </w:rPr>
  </w:style>
  <w:style w:type="paragraph" w:styleId="BodyText2">
    <w:name w:val="Body Text 2"/>
    <w:basedOn w:val="Normal"/>
    <w:link w:val="BodyText2Char"/>
    <w:pPr>
      <w:spacing w:after="120" w:line="480" w:lineRule="auto"/>
    </w:pPr>
    <w:rPr>
      <w:rFonts w:ascii="Times New Roman" w:eastAsia="Calibri" w:hAnsi="Times New Roman" w:cs="Times New Roman"/>
      <w:sz w:val="24"/>
      <w:szCs w:val="24"/>
      <w:lang w:eastAsia="ko-KR"/>
    </w:rPr>
  </w:style>
  <w:style w:type="character" w:customStyle="1" w:styleId="BodyText2Char">
    <w:name w:val="Body Text 2 Char"/>
    <w:basedOn w:val="DefaultParagraphFont"/>
    <w:link w:val="BodyText2"/>
    <w:rPr>
      <w:rFonts w:ascii="Times New Roman" w:eastAsia="Calibri" w:hAnsi="Times New Roman" w:cs="Times New Roman"/>
      <w:sz w:val="24"/>
      <w:szCs w:val="24"/>
      <w:lang w:eastAsia="ko-KR"/>
    </w:rPr>
  </w:style>
  <w:style w:type="paragraph" w:styleId="BodyTextIndent">
    <w:name w:val="Body Text Indent"/>
    <w:basedOn w:val="Normal"/>
    <w:link w:val="BodyTextIndentChar"/>
    <w:pPr>
      <w:spacing w:after="120" w:line="240" w:lineRule="auto"/>
      <w:ind w:left="283"/>
    </w:pPr>
    <w:rPr>
      <w:rFonts w:ascii="Times New Roman" w:eastAsia="Calibri" w:hAnsi="Times New Roman" w:cs="Times New Roman"/>
      <w:sz w:val="24"/>
      <w:szCs w:val="24"/>
      <w:lang w:eastAsia="ko-KR"/>
    </w:rPr>
  </w:style>
  <w:style w:type="character" w:customStyle="1" w:styleId="BodyTextIndentChar">
    <w:name w:val="Body Text Indent Char"/>
    <w:basedOn w:val="DefaultParagraphFont"/>
    <w:link w:val="BodyTextIndent"/>
    <w:rPr>
      <w:rFonts w:ascii="Times New Roman" w:eastAsia="Calibri" w:hAnsi="Times New Roman" w:cs="Times New Roman"/>
      <w:sz w:val="24"/>
      <w:szCs w:val="24"/>
      <w:lang w:eastAsia="ko-KR"/>
    </w:rPr>
  </w:style>
  <w:style w:type="paragraph" w:styleId="BodyTextIndent2">
    <w:name w:val="Body Text Indent 2"/>
    <w:basedOn w:val="Normal"/>
    <w:link w:val="BodyTextIndent2Char"/>
    <w:pPr>
      <w:spacing w:after="120" w:line="480" w:lineRule="auto"/>
      <w:ind w:left="283"/>
    </w:pPr>
    <w:rPr>
      <w:rFonts w:ascii="Times New Roman" w:eastAsia="Calibri" w:hAnsi="Times New Roman" w:cs="Times New Roman"/>
      <w:sz w:val="24"/>
      <w:szCs w:val="24"/>
      <w:lang w:eastAsia="ko-KR"/>
    </w:rPr>
  </w:style>
  <w:style w:type="character" w:customStyle="1" w:styleId="BodyTextIndent2Char">
    <w:name w:val="Body Text Indent 2 Char"/>
    <w:basedOn w:val="DefaultParagraphFont"/>
    <w:link w:val="BodyTextIndent2"/>
    <w:rPr>
      <w:rFonts w:ascii="Times New Roman" w:eastAsia="Calibri" w:hAnsi="Times New Roman" w:cs="Times New Roman"/>
      <w:sz w:val="24"/>
      <w:szCs w:val="24"/>
      <w:lang w:eastAsia="ko-KR"/>
    </w:rPr>
  </w:style>
  <w:style w:type="paragraph" w:customStyle="1" w:styleId="NormalWeb8">
    <w:name w:val="Normal (Web)8"/>
    <w:basedOn w:val="Normal"/>
    <w:pPr>
      <w:spacing w:before="75" w:after="75" w:line="240" w:lineRule="auto"/>
      <w:ind w:left="225" w:right="225"/>
    </w:pPr>
    <w:rPr>
      <w:rFonts w:ascii="Times New Roman" w:eastAsia="Times New Roman" w:hAnsi="Times New Roman" w:cs="Times New Roman"/>
      <w:lang w:eastAsia="en-GB"/>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szCs w:val="20"/>
      <w:lang w:eastAsia="en-GB"/>
    </w:rPr>
  </w:style>
  <w:style w:type="paragraph" w:customStyle="1" w:styleId="References">
    <w:name w:val="References"/>
    <w:basedOn w:val="Normal"/>
    <w:next w:val="Normal"/>
    <w:uiPriority w:val="99"/>
    <w:pPr>
      <w:spacing w:after="240" w:line="240" w:lineRule="auto"/>
      <w:ind w:left="5103"/>
    </w:pPr>
    <w:rPr>
      <w:rFonts w:ascii="Times New Roman" w:eastAsia="Times New Roman" w:hAnsi="Times New Roman" w:cs="Times New Roman"/>
      <w:sz w:val="20"/>
      <w:szCs w:val="20"/>
    </w:rPr>
  </w:style>
  <w:style w:type="character" w:customStyle="1" w:styleId="FootnoteTextChar1">
    <w:name w:val="Footnote Text Char1"/>
    <w:semiHidden/>
    <w:locked/>
    <w:rPr>
      <w:lang w:val="en-GB" w:eastAsia="ar-SA" w:bidi="ar-SA"/>
    </w:rPr>
  </w:style>
  <w:style w:type="character" w:customStyle="1" w:styleId="apple-converted-space">
    <w:name w:val="apple-converted-space"/>
  </w:style>
  <w:style w:type="paragraph" w:customStyle="1" w:styleId="Normal1">
    <w:name w:val="Normal 1"/>
    <w:basedOn w:val="Normal"/>
    <w:link w:val="Normal1Char"/>
    <w:pPr>
      <w:widowControl w:val="0"/>
      <w:tabs>
        <w:tab w:val="left" w:pos="567"/>
        <w:tab w:val="left" w:pos="851"/>
        <w:tab w:val="left" w:pos="1134"/>
        <w:tab w:val="left" w:pos="1418"/>
        <w:tab w:val="left" w:pos="1701"/>
      </w:tabs>
      <w:spacing w:before="60" w:after="60" w:line="240" w:lineRule="auto"/>
      <w:ind w:left="567"/>
      <w:jc w:val="both"/>
    </w:pPr>
    <w:rPr>
      <w:rFonts w:ascii="Times New Roman" w:eastAsia="Times New Roman" w:hAnsi="Times New Roman" w:cs="Times New Roman"/>
      <w:szCs w:val="20"/>
    </w:rPr>
  </w:style>
  <w:style w:type="paragraph" w:customStyle="1" w:styleId="NormalArticle">
    <w:name w:val="Normal Article"/>
    <w:basedOn w:val="Normal"/>
    <w:pPr>
      <w:tabs>
        <w:tab w:val="left" w:pos="720"/>
        <w:tab w:val="left" w:pos="1440"/>
      </w:tabs>
      <w:spacing w:after="0" w:line="240" w:lineRule="auto"/>
      <w:jc w:val="center"/>
    </w:pPr>
    <w:rPr>
      <w:rFonts w:ascii="Times New Roman" w:eastAsia="Times New Roman" w:hAnsi="Times New Roman" w:cs="Times New Roman"/>
      <w:b/>
      <w:bCs/>
      <w:sz w:val="24"/>
      <w:szCs w:val="20"/>
      <w:lang w:eastAsia="en-GB"/>
    </w:rPr>
  </w:style>
  <w:style w:type="character" w:customStyle="1" w:styleId="Normal1Char">
    <w:name w:val="Normal 1 Char"/>
    <w:link w:val="Normal1"/>
    <w:rPr>
      <w:rFonts w:ascii="Times New Roman" w:eastAsia="Times New Roman" w:hAnsi="Times New Roman" w:cs="Times New Roman"/>
      <w:szCs w:val="20"/>
    </w:rPr>
  </w:style>
  <w:style w:type="paragraph" w:customStyle="1" w:styleId="ZTitleSection">
    <w:name w:val="Z_Title Section"/>
    <w:basedOn w:val="Normal"/>
    <w:pPr>
      <w:spacing w:after="0" w:line="240" w:lineRule="auto"/>
      <w:jc w:val="center"/>
    </w:pPr>
    <w:rPr>
      <w:rFonts w:ascii="Times New Roman" w:eastAsia="Times New Roman" w:hAnsi="Times New Roman" w:cs="Times New Roman"/>
      <w:b/>
      <w:caps/>
      <w:sz w:val="24"/>
      <w:szCs w:val="20"/>
      <w:lang w:eastAsia="en-GB"/>
    </w:rPr>
  </w:style>
  <w:style w:type="paragraph" w:customStyle="1" w:styleId="NormalArticle000Indent127">
    <w:name w:val="Normal Article 000 Indent 127"/>
    <w:basedOn w:val="Normal"/>
    <w:pPr>
      <w:tabs>
        <w:tab w:val="left" w:pos="720"/>
      </w:tabs>
      <w:spacing w:after="0" w:line="240" w:lineRule="auto"/>
      <w:ind w:left="720" w:hanging="720"/>
      <w:jc w:val="both"/>
    </w:pPr>
    <w:rPr>
      <w:rFonts w:ascii="Times New Roman" w:eastAsia="Times New Roman" w:hAnsi="Times New Roman" w:cs="Times New Roman"/>
      <w:sz w:val="24"/>
      <w:szCs w:val="24"/>
      <w:lang w:eastAsia="en-GB"/>
    </w:rPr>
  </w:style>
  <w:style w:type="paragraph" w:customStyle="1" w:styleId="NormalArticle127Indent127">
    <w:name w:val="Normal Article 127 Indent 127"/>
    <w:basedOn w:val="Normal"/>
    <w:pPr>
      <w:widowControl w:val="0"/>
      <w:tabs>
        <w:tab w:val="left" w:pos="720"/>
        <w:tab w:val="left" w:pos="1440"/>
      </w:tabs>
      <w:spacing w:after="0" w:line="240" w:lineRule="auto"/>
      <w:ind w:left="1440" w:hanging="720"/>
      <w:jc w:val="both"/>
    </w:pPr>
    <w:rPr>
      <w:rFonts w:ascii="Times New Roman" w:eastAsia="Times New Roman" w:hAnsi="Times New Roman" w:cs="Times New Roman"/>
      <w:sz w:val="24"/>
      <w:szCs w:val="20"/>
    </w:rPr>
  </w:style>
  <w:style w:type="paragraph" w:customStyle="1" w:styleId="Normal10">
    <w:name w:val="Normal1"/>
    <w:pPr>
      <w:spacing w:after="0" w:line="240" w:lineRule="auto"/>
      <w:jc w:val="both"/>
    </w:pPr>
    <w:rPr>
      <w:rFonts w:ascii="Times New Roman" w:eastAsia="Times New Roman" w:hAnsi="Times New Roman" w:cs="Times New Roman"/>
      <w:color w:val="000000"/>
      <w:sz w:val="24"/>
      <w:szCs w:val="24"/>
      <w:lang w:val="en-US"/>
    </w:rPr>
  </w:style>
  <w:style w:type="paragraph" w:customStyle="1" w:styleId="Tiret1">
    <w:name w:val="Tiret 1"/>
    <w:basedOn w:val="Normal"/>
    <w:pPr>
      <w:numPr>
        <w:numId w:val="34"/>
      </w:numPr>
      <w:spacing w:before="120" w:after="120" w:line="240" w:lineRule="auto"/>
      <w:jc w:val="both"/>
    </w:pPr>
    <w:rPr>
      <w:rFonts w:ascii="Times New Roman" w:eastAsia="Times New Roman" w:hAnsi="Times New Roman" w:cs="Times New Roman"/>
      <w:sz w:val="24"/>
      <w:szCs w:val="24"/>
      <w:u w:color="000000"/>
      <w:lang w:eastAsia="de-DE"/>
    </w:rPr>
  </w:style>
  <w:style w:type="paragraph" w:customStyle="1" w:styleId="Annexetitreacte">
    <w:name w:val="Annexe titre (acte)"/>
    <w:next w:val="Normal"/>
    <w:pPr>
      <w:pBdr>
        <w:top w:val="nil"/>
        <w:left w:val="nil"/>
        <w:bottom w:val="nil"/>
        <w:right w:val="nil"/>
        <w:between w:val="nil"/>
        <w:bar w:val="nil"/>
      </w:pBdr>
      <w:spacing w:before="120" w:after="120" w:line="240" w:lineRule="auto"/>
      <w:jc w:val="center"/>
    </w:pPr>
    <w:rPr>
      <w:rFonts w:ascii="Times New Roman" w:eastAsia="Arial Unicode MS" w:hAnsi="Times New Roman" w:cs="Arial Unicode MS"/>
      <w:b/>
      <w:bCs/>
      <w:color w:val="000000"/>
      <w:sz w:val="24"/>
      <w:szCs w:val="24"/>
      <w:u w:val="single" w:color="000000"/>
      <w:bdr w:val="nil"/>
      <w:lang w:val="en-US" w:eastAsia="en-GB"/>
    </w:rPr>
  </w:style>
  <w:style w:type="numbering" w:customStyle="1" w:styleId="ImportedStyle1">
    <w:name w:val="Imported Style 1"/>
    <w:pPr>
      <w:numPr>
        <w:numId w:val="35"/>
      </w:numPr>
    </w:pPr>
  </w:style>
  <w:style w:type="numbering" w:customStyle="1" w:styleId="ImportedStyle2">
    <w:name w:val="Imported Style 2"/>
    <w:pPr>
      <w:numPr>
        <w:numId w:val="36"/>
      </w:numPr>
    </w:pPr>
  </w:style>
  <w:style w:type="numbering" w:customStyle="1" w:styleId="ImportedStyle3">
    <w:name w:val="Imported Style 3"/>
    <w:pPr>
      <w:numPr>
        <w:numId w:val="37"/>
      </w:numPr>
    </w:pPr>
  </w:style>
  <w:style w:type="numbering" w:customStyle="1" w:styleId="ImportedStyle11">
    <w:name w:val="Imported Style 11"/>
  </w:style>
  <w:style w:type="numbering" w:customStyle="1" w:styleId="ImportedStyle21">
    <w:name w:val="Imported Style 21"/>
  </w:style>
  <w:style w:type="numbering" w:customStyle="1" w:styleId="ImportedStyle31">
    <w:name w:val="Imported Style 31"/>
  </w:style>
  <w:style w:type="numbering" w:customStyle="1" w:styleId="NoList2">
    <w:name w:val="No List2"/>
    <w:next w:val="NoList"/>
    <w:uiPriority w:val="99"/>
    <w:semiHidden/>
    <w:unhideWhenUsed/>
  </w:style>
  <w:style w:type="numbering" w:customStyle="1" w:styleId="NoList3">
    <w:name w:val="No List3"/>
    <w:next w:val="NoList"/>
    <w:uiPriority w:val="99"/>
    <w:semiHidden/>
    <w:unhideWhenUsed/>
  </w:style>
  <w:style w:type="character" w:styleId="FollowedHyperlink">
    <w:name w:val="FollowedHyperlink"/>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9" Type="http://schemas.openxmlformats.org/officeDocument/2006/relationships/footer" Target="footer15.xml"/><Relationship Id="rId21" Type="http://schemas.openxmlformats.org/officeDocument/2006/relationships/footer" Target="footer6.xml"/><Relationship Id="rId34" Type="http://schemas.openxmlformats.org/officeDocument/2006/relationships/header" Target="header13.xml"/><Relationship Id="rId42" Type="http://schemas.openxmlformats.org/officeDocument/2006/relationships/footer" Target="footer16.xml"/><Relationship Id="rId47" Type="http://schemas.openxmlformats.org/officeDocument/2006/relationships/header" Target="header20.xml"/><Relationship Id="rId50" Type="http://schemas.openxmlformats.org/officeDocument/2006/relationships/header" Target="header21.xml"/><Relationship Id="rId55" Type="http://schemas.openxmlformats.org/officeDocument/2006/relationships/footer" Target="footer23.xml"/><Relationship Id="rId63" Type="http://schemas.openxmlformats.org/officeDocument/2006/relationships/footer" Target="footer27.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41" Type="http://schemas.openxmlformats.org/officeDocument/2006/relationships/header" Target="header17.xml"/><Relationship Id="rId54" Type="http://schemas.openxmlformats.org/officeDocument/2006/relationships/footer" Target="footer22.xml"/><Relationship Id="rId62" Type="http://schemas.openxmlformats.org/officeDocument/2006/relationships/header" Target="header2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2.xml"/><Relationship Id="rId37" Type="http://schemas.openxmlformats.org/officeDocument/2006/relationships/footer" Target="footer14.xml"/><Relationship Id="rId40" Type="http://schemas.openxmlformats.org/officeDocument/2006/relationships/header" Target="header16.xml"/><Relationship Id="rId45" Type="http://schemas.openxmlformats.org/officeDocument/2006/relationships/footer" Target="footer18.xml"/><Relationship Id="rId53" Type="http://schemas.openxmlformats.org/officeDocument/2006/relationships/header" Target="header23.xml"/><Relationship Id="rId58" Type="http://schemas.openxmlformats.org/officeDocument/2006/relationships/header" Target="header25.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footer" Target="footer13.xml"/><Relationship Id="rId49" Type="http://schemas.openxmlformats.org/officeDocument/2006/relationships/footer" Target="footer20.xml"/><Relationship Id="rId57" Type="http://schemas.openxmlformats.org/officeDocument/2006/relationships/footer" Target="footer24.xml"/><Relationship Id="rId61" Type="http://schemas.openxmlformats.org/officeDocument/2006/relationships/footer" Target="footer26.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4" Type="http://schemas.openxmlformats.org/officeDocument/2006/relationships/header" Target="header18.xml"/><Relationship Id="rId52" Type="http://schemas.openxmlformats.org/officeDocument/2006/relationships/header" Target="header22.xml"/><Relationship Id="rId60" Type="http://schemas.openxmlformats.org/officeDocument/2006/relationships/footer" Target="footer25.xml"/><Relationship Id="rId65"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footer" Target="footer10.xml"/><Relationship Id="rId35" Type="http://schemas.openxmlformats.org/officeDocument/2006/relationships/header" Target="header14.xml"/><Relationship Id="rId43" Type="http://schemas.openxmlformats.org/officeDocument/2006/relationships/footer" Target="footer17.xml"/><Relationship Id="rId48" Type="http://schemas.openxmlformats.org/officeDocument/2006/relationships/footer" Target="footer19.xml"/><Relationship Id="rId56" Type="http://schemas.openxmlformats.org/officeDocument/2006/relationships/header" Target="header24.xml"/><Relationship Id="rId64"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footer" Target="footer21.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footer" Target="footer12.xml"/><Relationship Id="rId38" Type="http://schemas.openxmlformats.org/officeDocument/2006/relationships/header" Target="header15.xml"/><Relationship Id="rId46" Type="http://schemas.openxmlformats.org/officeDocument/2006/relationships/header" Target="header19.xml"/><Relationship Id="rId59" Type="http://schemas.openxmlformats.org/officeDocument/2006/relationships/header" Target="header2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006064-52E7-480A-9EBD-2F7DA19BE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95</Pages>
  <Words>17717</Words>
  <Characters>101520</Characters>
  <Application>Microsoft Office Word</Application>
  <DocSecurity>0</DocSecurity>
  <Lines>2671</Lines>
  <Paragraphs>883</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118354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JANTUNEN Johanna (EEAS)</dc:creator>
  <cp:lastModifiedBy>DIGIT/A3</cp:lastModifiedBy>
  <cp:revision>21</cp:revision>
  <dcterms:created xsi:type="dcterms:W3CDTF">2017-08-10T11:07:00Z</dcterms:created>
  <dcterms:modified xsi:type="dcterms:W3CDTF">2017-09-18T14:26:00Z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rst annex">
    <vt:lpwstr>2</vt:lpwstr>
  </property>
  <property fmtid="{D5CDD505-2E9C-101B-9397-08002B2CF9AE}" pid="3" name="Last annex">
    <vt:lpwstr>2</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lassification">
    <vt:lpwstr> </vt:lpwstr>
  </property>
</Properties>
</file>