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8550C430767438E8F177ECD954861D4"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t>ANNEXE</w:t>
      </w:r>
    </w:p>
    <w:p>
      <w:pPr>
        <w:spacing w:after="480"/>
        <w:jc w:val="center"/>
        <w:rPr>
          <w:b/>
          <w:noProof/>
        </w:rPr>
      </w:pPr>
      <w:r>
        <w:rPr>
          <w:b/>
          <w:noProof/>
        </w:rPr>
        <w:t>Liste des projets ou des programmes présentant un intérêt pour l’Union visés à l’article 3, paragraphe 3</w:t>
      </w:r>
    </w:p>
    <w:p>
      <w:pPr>
        <w:pStyle w:val="Tiret0"/>
        <w:numPr>
          <w:ilvl w:val="0"/>
          <w:numId w:val="9"/>
        </w:numPr>
        <w:rPr>
          <w:noProof/>
        </w:rPr>
      </w:pPr>
      <w:r>
        <w:rPr>
          <w:noProof/>
        </w:rPr>
        <w:t>Programmes européens en matière de GNSS (Galileo et EGNOS):</w:t>
      </w:r>
    </w:p>
    <w:p>
      <w:pPr>
        <w:pStyle w:val="Text2"/>
        <w:rPr>
          <w:noProof/>
        </w:rPr>
      </w:pPr>
      <w:r>
        <w:rPr>
          <w:noProof/>
        </w:rPr>
        <w:t>Règlement (UE) nº 1285/2013 du Parlement européen et du Conseil du 11 décembre 2013 relatif à la mise en place et à l’exploitation des systèmes européens de radionavigation par satellite et abrogeant le règlement (CE) nº 876/2002 du Conseil et le règlement (CE) nº 683/2008 du Parlement européen et du Conseil.</w:t>
      </w:r>
    </w:p>
    <w:p>
      <w:pPr>
        <w:pStyle w:val="Tiret0"/>
        <w:rPr>
          <w:noProof/>
        </w:rPr>
      </w:pPr>
      <w:r>
        <w:rPr>
          <w:noProof/>
        </w:rPr>
        <w:t>Copernicus:</w:t>
      </w:r>
    </w:p>
    <w:p>
      <w:pPr>
        <w:pStyle w:val="Text2"/>
        <w:rPr>
          <w:noProof/>
        </w:rPr>
      </w:pPr>
      <w:r>
        <w:rPr>
          <w:noProof/>
        </w:rPr>
        <w:t>Règlement (UE) nº 377/2014 du Parlement européen et du Conseil du 3 avril 2014 établissant le programme Copernicus, JO L 122 du 24.4.2014, p. 44.</w:t>
      </w:r>
    </w:p>
    <w:p>
      <w:pPr>
        <w:pStyle w:val="Tiret0"/>
        <w:rPr>
          <w:noProof/>
        </w:rPr>
      </w:pPr>
      <w:r>
        <w:rPr>
          <w:noProof/>
        </w:rPr>
        <w:t>Horizon 2020:</w:t>
      </w:r>
    </w:p>
    <w:p>
      <w:pPr>
        <w:pStyle w:val="Text2"/>
        <w:rPr>
          <w:noProof/>
        </w:rPr>
      </w:pPr>
      <w:r>
        <w:rPr>
          <w:noProof/>
        </w:rPr>
        <w:t>Règlement (UE) nº 1291/2013 du Parlement européen et du Conseil du 11 décembre 2013 portant établissement du programme-cadre pour la recherche et l’innovation «Horizon 2020» (2014/2020) et abrogeant la décision nº 1982/2006/CE, y compris les mesures prévues par ce règlement en matière de technologies clés génériques comme l’intelligence artificielle, la robotique, les semi-conducteurs et la cybersécurité.</w:t>
      </w:r>
    </w:p>
    <w:p>
      <w:pPr>
        <w:pStyle w:val="Tiret0"/>
        <w:rPr>
          <w:noProof/>
        </w:rPr>
      </w:pPr>
      <w:r>
        <w:rPr>
          <w:noProof/>
        </w:rPr>
        <w:t>Réseaux transeuropéens de transport (RTE-T):</w:t>
      </w:r>
    </w:p>
    <w:p>
      <w:pPr>
        <w:pStyle w:val="Text2"/>
        <w:rPr>
          <w:noProof/>
        </w:rPr>
      </w:pPr>
      <w:r>
        <w:rPr>
          <w:noProof/>
        </w:rPr>
        <w:t xml:space="preserve">Règlement (UE) nº 1315/2013 du Parlement européen et du Conseil du 11 décembre 2013 sur les orientations de l’Union pour le développement du réseau transeuropéen de transport et abrogeant la décision nº 661/2010/UE, JO L 348 du 20.12.2013, p. 1. </w:t>
      </w:r>
    </w:p>
    <w:p>
      <w:pPr>
        <w:pStyle w:val="Tiret0"/>
        <w:rPr>
          <w:noProof/>
        </w:rPr>
      </w:pPr>
      <w:r>
        <w:rPr>
          <w:noProof/>
        </w:rPr>
        <w:t>Réseaux transeuropéens d’énergie (RTE-E):</w:t>
      </w:r>
    </w:p>
    <w:p>
      <w:pPr>
        <w:pStyle w:val="Text2"/>
        <w:rPr>
          <w:noProof/>
        </w:rPr>
      </w:pPr>
      <w:r>
        <w:rPr>
          <w:noProof/>
        </w:rPr>
        <w:t xml:space="preserve">Règlement (UE) nº 347/2013 du Parlement européen et du Conseil du 17 avril 2013 concernant des orientations pour les infrastructures énergétiques transeuropéennes, et abrogeant la décision nº 1364/2006/CE et modifiant les règlements (CE) nº 713/2009, (CE) nº 714/2009 et (CE) nº 715/2009, JO L 115 du 25.4.2013, p. 39. </w:t>
      </w:r>
    </w:p>
    <w:p>
      <w:pPr>
        <w:pStyle w:val="Tiret0"/>
        <w:rPr>
          <w:noProof/>
        </w:rPr>
      </w:pPr>
      <w:r>
        <w:rPr>
          <w:noProof/>
        </w:rPr>
        <w:t>Réseaux transeuropéens de télécommunications:</w:t>
      </w:r>
    </w:p>
    <w:p>
      <w:pPr>
        <w:pStyle w:val="Text2"/>
        <w:rPr>
          <w:noProof/>
        </w:rPr>
      </w:pPr>
      <w:r>
        <w:rPr>
          <w:noProof/>
        </w:rPr>
        <w:t xml:space="preserve">Règlement (UE) nº 283/2014 du Parlement européen et du Conseil du 11 mars 2014 concernant des orientations pour les réseaux transeuropéens dans le domaine des infrastructures de télécommunications et abrogeant la décision nº 1336/97/CE.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F2F8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6621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A232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7437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864C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02D0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D58AED8"/>
    <w:lvl w:ilvl="0">
      <w:start w:val="1"/>
      <w:numFmt w:val="decimal"/>
      <w:pStyle w:val="ListNumber"/>
      <w:lvlText w:val="%1."/>
      <w:lvlJc w:val="left"/>
      <w:pPr>
        <w:tabs>
          <w:tab w:val="num" w:pos="360"/>
        </w:tabs>
        <w:ind w:left="360" w:hanging="360"/>
      </w:pPr>
    </w:lvl>
  </w:abstractNum>
  <w:abstractNum w:abstractNumId="7">
    <w:nsid w:val="FFFFFF89"/>
    <w:multiLevelType w:val="singleLevel"/>
    <w:tmpl w:val="9BB278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displayBackgroundShape/>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6:27: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88550C430767438E8F177ECD954861D4"/>
    <w:docVar w:name="LW_CROSSREFERENCE" w:val="{SWD(2017) 297 final}"/>
    <w:docVar w:name="LW_DocType" w:val="ANNEX"/>
    <w:docVar w:name="LW_EMISSION" w:val="13.9.2017"/>
    <w:docVar w:name="LW_EMISSION_ISODATE" w:val="2017-09-13"/>
    <w:docVar w:name="LW_EMISSION_LOCATION" w:val="BRX"/>
    <w:docVar w:name="LW_EMISSION_PREFIX" w:val="Bruxelles, le "/>
    <w:docVar w:name="LW_EMISSION_SUFFIX" w:val=" "/>
    <w:docVar w:name="LW_ID_DOCSTRUCTURE" w:val="COM/ANNEX"/>
    <w:docVar w:name="LW_ID_DOCTYPE" w:val="SG-017"/>
    <w:docVar w:name="LW_LANGUE" w:val="FR"/>
    <w:docVar w:name="LW_MARKING" w:val="&lt;EMPTY&gt;"/>
    <w:docVar w:name="LW_NOM.INST" w:val="COMMISSION EUROPÉENNE"/>
    <w:docVar w:name="LW_NOM.INST_JOINTDOC" w:val="&lt;EMPTY&gt;"/>
    <w:docVar w:name="LW_OBJETACTEPRINCIPAL" w:val="établissant un cadre pour le filtrage des investissements directs étrangers dans l'Union européenne"/>
    <w:docVar w:name="LW_OBJETACTEPRINCIPAL.CP" w:val="établissant un cadre pour le filtrage des investissements directs étrangers dans l'Union européenne"/>
    <w:docVar w:name="LW_PART_NBR" w:val="1"/>
    <w:docVar w:name="LW_PART_NBR_TOTAL" w:val="1"/>
    <w:docVar w:name="LW_REF.INST.NEW" w:val="COM"/>
    <w:docVar w:name="LW_REF.INST.NEW_ADOPTED" w:val="final"/>
    <w:docVar w:name="LW_REF.INST.NEW_TEXT" w:val="(2017) 487"/>
    <w:docVar w:name="LW_REF.INTERNE" w:val="&lt;UNUSED&gt;"/>
    <w:docVar w:name="LW_SUPERTITRE" w:val="&lt;UNUSED&gt;"/>
    <w:docVar w:name="LW_TITRE.OBJ.CP" w:val="&lt;UNUSED&gt;"/>
    <w:docVar w:name="LW_TYPE.DOC" w:val="ANNEXE"/>
    <w:docVar w:name="LW_TYPE.DOC.CP" w:val="ANNEXE"/>
    <w:docVar w:name="LW_TYPEACTEPRINCIPAL" w:val="PROPOSITIOND DE RÈGLEMENT DU PARLEMENT EUROPÉEN ET DU CONSEIL"/>
    <w:docVar w:name="LW_TYPEACTEPRINCIPAL.CP" w:val="PROPOSITIOND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298</Words>
  <Characters>1707</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FARIVAR Rita (DGT)</dc:creator>
  <cp:lastModifiedBy>DIGIT/A3</cp:lastModifiedBy>
  <cp:revision>8</cp:revision>
  <cp:lastPrinted>2017-09-07T11:58:00Z</cp:lastPrinted>
  <dcterms:created xsi:type="dcterms:W3CDTF">2017-09-18T11:30:00Z</dcterms:created>
  <dcterms:modified xsi:type="dcterms:W3CDTF">2017-09-25T14:27:00Z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