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08D1FFB6F604CCD8ABCE0385CB845BC" style="width:450.75pt;height:540pt">
            <v:imagedata r:id="rId7" o:title=""/>
          </v:shape>
        </w:pict>
      </w:r>
    </w:p>
    <w:bookmarkEnd w:id="0"/>
    <w:p>
      <w:pPr>
        <w:rPr>
          <w:noProof/>
        </w:rPr>
        <w:sectPr>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1"/>
          <w:cols w:space="720"/>
          <w:docGrid w:linePitch="360"/>
        </w:sectPr>
      </w:pPr>
    </w:p>
    <w:p>
      <w:pPr>
        <w:jc w:val="both"/>
        <w:rPr>
          <w:rFonts w:ascii="Times New Roman" w:hAnsi="Times New Roman" w:cs="Times New Roman"/>
          <w:noProof/>
          <w:sz w:val="24"/>
          <w:szCs w:val="24"/>
        </w:rPr>
      </w:pPr>
      <w:bookmarkStart w:id="1" w:name="_GoBack"/>
      <w:bookmarkEnd w:id="1"/>
      <w:r>
        <w:rPr>
          <w:rFonts w:ascii="Times New Roman" w:hAnsi="Times New Roman" w:cs="Times New Roman"/>
          <w:noProof/>
          <w:sz w:val="24"/>
          <w:szCs w:val="24"/>
        </w:rPr>
        <w:t xml:space="preserve">Regulation (EU) No 652/2014 of the European Parliament and of the Council of 15 May 2014 (hereinafter: CFF Regulation) lays down provisions for the management of expenditure relating to the food chain, animal health and animal welfare, plant health and plant reproductive material. </w:t>
      </w:r>
    </w:p>
    <w:p>
      <w:pPr>
        <w:tabs>
          <w:tab w:val="left" w:pos="936"/>
        </w:tabs>
        <w:jc w:val="both"/>
        <w:textAlignment w:val="baseline"/>
        <w:rPr>
          <w:rFonts w:ascii="Times New Roman" w:hAnsi="Times New Roman" w:cs="Times New Roman"/>
          <w:noProof/>
          <w:sz w:val="24"/>
          <w:szCs w:val="24"/>
        </w:rPr>
      </w:pPr>
      <w:r>
        <w:rPr>
          <w:rFonts w:ascii="Times New Roman" w:hAnsi="Times New Roman" w:cs="Times New Roman"/>
          <w:noProof/>
          <w:sz w:val="24"/>
          <w:szCs w:val="24"/>
        </w:rPr>
        <w:t xml:space="preserve">Article 42 of the CFF Regulation provides that </w:t>
      </w:r>
      <w:r>
        <w:rPr>
          <w:rFonts w:ascii="Times New Roman" w:hAnsi="Times New Roman" w:cs="Times New Roman"/>
          <w:noProof/>
          <w:color w:val="000000"/>
          <w:sz w:val="24"/>
          <w:szCs w:val="24"/>
          <w:lang w:val="en-US"/>
        </w:rPr>
        <w:t>the Commission shall establish and present to the European Parliament and to the Council a mid-</w:t>
      </w:r>
      <w:r>
        <w:rPr>
          <w:rFonts w:ascii="Times New Roman" w:hAnsi="Times New Roman" w:cs="Times New Roman"/>
          <w:noProof/>
          <w:color w:val="000000"/>
          <w:spacing w:val="-2"/>
          <w:sz w:val="24"/>
          <w:szCs w:val="24"/>
          <w:lang w:val="en-US"/>
        </w:rPr>
        <w:t>term evaluation report on whether, in terms of their results and impacts, the animal health and plant health measures (Chapters I and II of Title II) and the European Union Reference laboratories and Better Training for Safer Food activities (Articles 30 and 31 of Chapter III) achieve the objectives set out in the Regulation itself (Article 2(1)), as regards the efficiency of the use of resources and its added value, at Union level.</w:t>
      </w:r>
    </w:p>
    <w:p>
      <w:pPr>
        <w:jc w:val="both"/>
        <w:rPr>
          <w:rFonts w:ascii="Times New Roman" w:hAnsi="Times New Roman" w:cs="Times New Roman"/>
          <w:noProof/>
          <w:sz w:val="24"/>
          <w:szCs w:val="24"/>
        </w:rPr>
      </w:pPr>
      <w:r>
        <w:rPr>
          <w:rFonts w:ascii="Times New Roman" w:hAnsi="Times New Roman" w:cs="Times New Roman"/>
          <w:noProof/>
          <w:sz w:val="24"/>
          <w:szCs w:val="24"/>
        </w:rPr>
        <w:t>The CFF Regulation involves an average annual spending of EUR 270,3 million, with a maximum ceiling for expenditure of EUR 1 891 936 000 over the 7-year</w:t>
      </w:r>
      <w:r>
        <w:rPr>
          <w:noProof/>
        </w:rPr>
        <w:t xml:space="preserve"> </w:t>
      </w:r>
      <w:r>
        <w:rPr>
          <w:rFonts w:ascii="Times New Roman" w:hAnsi="Times New Roman" w:cs="Times New Roman"/>
          <w:noProof/>
          <w:sz w:val="24"/>
          <w:szCs w:val="24"/>
        </w:rPr>
        <w:t xml:space="preserve">period 2014-2020.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The present Staff Working Document (SWD) summarises the outcome of the mid-term evaluation exercise, which included an external study complemented by the internal assessment performed by the Commission. The evaluation fully covers the implementation of the above-referred measures in the 28 EU Member States for 2014, 2015 and, partially, for 2016, dependant on preliminary data available. The SWD provides a qualitative and quantitative overview of those measures and assesses them against the five evaluation criteria set by the Better Regulation</w:t>
      </w:r>
      <w:r>
        <w:rPr>
          <w:rStyle w:val="FootnoteReference"/>
          <w:rFonts w:ascii="Times New Roman" w:hAnsi="Times New Roman" w:cs="Times New Roman"/>
          <w:noProof/>
          <w:sz w:val="24"/>
          <w:szCs w:val="24"/>
        </w:rPr>
        <w:footnoteReference w:id="1"/>
      </w:r>
      <w:r>
        <w:rPr>
          <w:rFonts w:ascii="Times New Roman" w:hAnsi="Times New Roman" w:cs="Times New Roman"/>
          <w:noProof/>
          <w:sz w:val="24"/>
          <w:szCs w:val="24"/>
        </w:rPr>
        <w:t xml:space="preserve"> policies in the European Commission: relevance, European added value, effectiveness, efficiency and coherence.</w:t>
      </w:r>
    </w:p>
    <w:p>
      <w:pPr>
        <w:jc w:val="both"/>
        <w:rPr>
          <w:rFonts w:ascii="Times New Roman" w:hAnsi="Times New Roman" w:cs="Times New Roman"/>
          <w:noProof/>
          <w:sz w:val="24"/>
          <w:szCs w:val="24"/>
          <w:lang w:eastAsia="ar-SA"/>
        </w:rPr>
      </w:pPr>
      <w:r>
        <w:rPr>
          <w:rFonts w:ascii="Times New Roman" w:hAnsi="Times New Roman" w:cs="Times New Roman"/>
          <w:noProof/>
          <w:sz w:val="24"/>
          <w:szCs w:val="24"/>
        </w:rPr>
        <w:t xml:space="preserve">Based on the analysis performed, it can be concluded that the CFF Regulation is highly </w:t>
      </w:r>
      <w:r>
        <w:rPr>
          <w:rFonts w:ascii="Times New Roman" w:hAnsi="Times New Roman" w:cs="Times New Roman"/>
          <w:b/>
          <w:noProof/>
          <w:sz w:val="24"/>
          <w:szCs w:val="24"/>
        </w:rPr>
        <w:t>relevant</w:t>
      </w:r>
      <w:r>
        <w:rPr>
          <w:rFonts w:ascii="Times New Roman" w:hAnsi="Times New Roman" w:cs="Times New Roman"/>
          <w:noProof/>
          <w:sz w:val="24"/>
          <w:szCs w:val="24"/>
        </w:rPr>
        <w:t xml:space="preserve"> in the area of food chain: ensuring a high status of human, animal and plant health, it helps to protect more than 500 million of European consumers and facilitates the functioning of agri-food supply chains. The majority of the activities covered by the CFF Regulation proved to be </w:t>
      </w:r>
      <w:r>
        <w:rPr>
          <w:rFonts w:ascii="Times New Roman" w:hAnsi="Times New Roman" w:cs="Times New Roman"/>
          <w:b/>
          <w:noProof/>
          <w:sz w:val="24"/>
          <w:szCs w:val="24"/>
        </w:rPr>
        <w:t>effective</w:t>
      </w:r>
      <w:r>
        <w:rPr>
          <w:rFonts w:ascii="Times New Roman" w:hAnsi="Times New Roman" w:cs="Times New Roman"/>
          <w:noProof/>
          <w:sz w:val="24"/>
          <w:szCs w:val="24"/>
        </w:rPr>
        <w:t xml:space="preserve"> in achieving the CFF objectives, and showed progress in the indicators used to monitor the CFF measures implemented. Also the outcome of the consultation process revealed a large appreciation of the EU financial contribution in those areas. Overall, the use of CFF financial resources is </w:t>
      </w:r>
      <w:r>
        <w:rPr>
          <w:rFonts w:ascii="Times New Roman" w:hAnsi="Times New Roman" w:cs="Times New Roman"/>
          <w:b/>
          <w:noProof/>
          <w:sz w:val="24"/>
          <w:szCs w:val="24"/>
        </w:rPr>
        <w:t>efficient</w:t>
      </w:r>
      <w:r>
        <w:rPr>
          <w:rFonts w:ascii="Times New Roman" w:hAnsi="Times New Roman" w:cs="Times New Roman"/>
          <w:noProof/>
          <w:sz w:val="24"/>
          <w:szCs w:val="24"/>
        </w:rPr>
        <w:t xml:space="preserve"> and consistent with the results achieved. Particularly, in the veterinary area, the improvement of the animal health status is accompanied by a progressive and significant reduction of the financial resources needed. </w:t>
      </w:r>
      <w:r>
        <w:rPr>
          <w:rFonts w:ascii="Times New Roman" w:hAnsi="Times New Roman" w:cs="Times New Roman"/>
          <w:noProof/>
          <w:sz w:val="24"/>
          <w:szCs w:val="24"/>
          <w:lang w:eastAsia="ar-SA"/>
        </w:rPr>
        <w:t xml:space="preserve">The CFF Regulation has shown to be largely </w:t>
      </w:r>
      <w:r>
        <w:rPr>
          <w:rFonts w:ascii="Times New Roman" w:hAnsi="Times New Roman" w:cs="Times New Roman"/>
          <w:b/>
          <w:noProof/>
          <w:sz w:val="24"/>
          <w:szCs w:val="24"/>
          <w:lang w:eastAsia="ar-SA"/>
        </w:rPr>
        <w:t>coherent</w:t>
      </w:r>
      <w:r>
        <w:rPr>
          <w:rFonts w:ascii="Times New Roman" w:hAnsi="Times New Roman" w:cs="Times New Roman"/>
          <w:noProof/>
          <w:sz w:val="24"/>
          <w:szCs w:val="24"/>
          <w:lang w:eastAsia="ar-SA"/>
        </w:rPr>
        <w:t xml:space="preserve"> with other EU and national policies in the area of food safety. Primary agriculture coherence is reflected in the complementarity of the CFF regulation and Common Agriculture Policies.</w:t>
      </w:r>
      <w:r>
        <w:rPr>
          <w:rFonts w:ascii="Times New Roman" w:hAnsi="Times New Roman" w:cs="Times New Roman"/>
          <w:b/>
          <w:noProof/>
          <w:sz w:val="24"/>
          <w:szCs w:val="24"/>
          <w:lang w:eastAsia="ar-SA"/>
        </w:rPr>
        <w:t xml:space="preserve"> </w:t>
      </w:r>
      <w:r>
        <w:rPr>
          <w:rFonts w:ascii="Times New Roman" w:hAnsi="Times New Roman" w:cs="Times New Roman"/>
          <w:noProof/>
          <w:sz w:val="24"/>
          <w:szCs w:val="24"/>
        </w:rPr>
        <w:t xml:space="preserve">The measures co-financed by the CFF Regulation strongly contribute to creating </w:t>
      </w:r>
      <w:r>
        <w:rPr>
          <w:rFonts w:ascii="Times New Roman" w:hAnsi="Times New Roman" w:cs="Times New Roman"/>
          <w:b/>
          <w:noProof/>
          <w:sz w:val="24"/>
          <w:szCs w:val="24"/>
        </w:rPr>
        <w:t>EU added value</w:t>
      </w:r>
      <w:r>
        <w:rPr>
          <w:rFonts w:ascii="Times New Roman" w:hAnsi="Times New Roman" w:cs="Times New Roman"/>
          <w:noProof/>
          <w:sz w:val="24"/>
          <w:szCs w:val="24"/>
        </w:rPr>
        <w:t xml:space="preserve">. Member States benefit from the prioritised and targeted implementation of EU co-funded activities, especially for emergency, eradication, control and monitoring measures for animal diseases and plant pest throughout the Union. </w:t>
      </w:r>
    </w:p>
    <w:p>
      <w:pPr>
        <w:jc w:val="both"/>
        <w:rPr>
          <w:noProof/>
          <w:lang w:eastAsia="en-GB"/>
        </w:rPr>
      </w:pPr>
      <w:r>
        <w:rPr>
          <w:rFonts w:ascii="Times New Roman" w:hAnsi="Times New Roman" w:cs="Times New Roman"/>
          <w:noProof/>
          <w:sz w:val="24"/>
          <w:szCs w:val="24"/>
          <w:lang w:eastAsia="en-GB"/>
        </w:rPr>
        <w:t xml:space="preserve">Overall, the mid-term evaluation revealed that the CFF Regulation is functioning well within its policy context. </w:t>
      </w:r>
      <w:r>
        <w:rPr>
          <w:rFonts w:ascii="Times New Roman" w:eastAsia="Times New Roman" w:hAnsi="Times New Roman" w:cs="Times New Roman"/>
          <w:noProof/>
          <w:sz w:val="24"/>
          <w:szCs w:val="24"/>
          <w:lang w:eastAsia="en-GB"/>
        </w:rPr>
        <w:t>All activities receiving EU financial support in this area have proven to serve the CFF objectives, namely the improvement of human, animal and plant health, as well as the overall Commission’s priorities, including the functioning of an effective internal market and the support to trade with non-EU countries.</w:t>
      </w:r>
    </w:p>
    <w:p>
      <w:pPr>
        <w:pStyle w:val="ListParagraph"/>
        <w:ind w:left="0"/>
        <w:jc w:val="both"/>
        <w:rPr>
          <w:rFonts w:ascii="Times New Roman" w:eastAsia="Times New Roman" w:hAnsi="Times New Roman" w:cs="Times New Roman"/>
          <w:bCs/>
          <w:smallCaps/>
          <w:noProof/>
          <w:sz w:val="24"/>
          <w:szCs w:val="24"/>
          <w:lang w:eastAsia="en-GB"/>
        </w:rPr>
      </w:pPr>
      <w:r>
        <w:rPr>
          <w:rFonts w:ascii="Times New Roman" w:eastAsia="Times New Roman" w:hAnsi="Times New Roman" w:cs="Times New Roman"/>
          <w:noProof/>
          <w:sz w:val="24"/>
          <w:szCs w:val="24"/>
          <w:lang w:eastAsia="en-GB"/>
        </w:rPr>
        <w:t>The EU financial provisions on food safety, animal and plant health have been recognised as uniform and consistent in their application and enforcement in all EU Member States. This ensures in turn that both citizens and businesses are confident that this financial framework is fair and effective in promoting high safety standards in a key sector of the EU economy.</w:t>
      </w:r>
      <w:r>
        <w:rPr>
          <w:rFonts w:ascii="Times New Roman" w:hAnsi="Times New Roman" w:cs="Times New Roman"/>
          <w:noProof/>
          <w:sz w:val="24"/>
          <w:szCs w:val="24"/>
          <w:lang w:eastAsia="ar-SA"/>
        </w:rPr>
        <w:t xml:space="preserve"> The activities funded under the CFF Regulation contribute to an EU which is safe and secure, prosperous and sustainable, social, and stronger on the global scene.</w:t>
      </w:r>
    </w:p>
    <w:sectPr>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90876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https://ec.europa.eu/info/law/law-making-process/better-regulation-why-and-how_en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displayBackgroundShape/>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
    <w:docVar w:name="LW_CORRIGENDUM" w:val="&lt;UNUSED&gt;"/>
    <w:docVar w:name="LW_COVERPAGE_GUID" w:val="208D1FFB6F604CCD8ABCE0385CB845BC"/>
    <w:docVar w:name="LW_CROSSREFERENCE" w:val="{COM(2017) 546 final}_x000b_{SWD(2017) 314 final}_x000b_{SWD(2017) 316 final}"/>
    <w:docVar w:name="LW_DocType" w:val="NORMAL"/>
    <w:docVar w:name="LW_EMISSION" w:val="26.9.2017"/>
    <w:docVar w:name="LW_EMISSION_ISODATE" w:val="2017-09-26"/>
    <w:docVar w:name="LW_EMISSION_LOCATION" w:val="BRX"/>
    <w:docVar w:name="LW_EMISSION_PREFIX" w:val="Brussels, "/>
    <w:docVar w:name="LW_EMISSION_SUFFIX" w:val=" "/>
    <w:docVar w:name="LW_ID_DOCTYPE_NONLW" w:val="CP-025"/>
    <w:docVar w:name="LW_LANGUE" w:val="EN"/>
    <w:docVar w:name="LW_MARKING" w:val="&lt;UNUSED&gt;"/>
    <w:docVar w:name="LW_NOM.INST" w:val="EUROPEAN COMMISSION"/>
    <w:docVar w:name="LW_NOM.INST_JOINTDOC" w:val="&lt;EMPTY&gt;"/>
    <w:docVar w:name="LW_OBJETACTEPRINCIPAL.CP" w:val="Mid-term evaluation of Regulation (EU) No 652/2014 of the European Parliament and of the Council laying down provisions for the management of expenditure relating to the food chain, animal health and animal welfare, and relating to plant health and plant reproductive material, amending Council Directives 98/56/EC, 2000/29/EC and 2008/90/EC, Regulations (EC) No 178/2002, (EC) No 882/2004 and (EC) No 396/2005 of the European Parliament and of the Council, Directive 2009/128/EC of the European Parliament and of the Council and Regulation (EC) No 1107/2009 of the European Parliament and of the Council and repealing Council Decisions 66/399/EEC, 76/894/EEC and 2009/470/EC"/>
    <w:docVar w:name="LW_PART_NBR" w:val="1"/>
    <w:docVar w:name="LW_PART_NBR_TOTAL" w:val="1"/>
    <w:docVar w:name="LW_REF.INST.NEW" w:val="SWD"/>
    <w:docVar w:name="LW_REF.INST.NEW_ADOPTED" w:val="final"/>
    <w:docVar w:name="LW_REF.INST.NEW_TEXT" w:val="(2017) 315"/>
    <w:docVar w:name="LW_REF.INTERNE" w:val="&lt;UNUSED&gt;"/>
    <w:docVar w:name="LW_SUPERTITRE" w:val="&lt;UNUSED&gt;"/>
    <w:docVar w:name="LW_TITRE.OBJ.CP" w:val="EXECUTIVE SUMMARY OF THE EVALUATION"/>
    <w:docVar w:name="LW_TYPE.DOC.CP" w:val="COMMISSION STAFF WORKING DOCUMENT"/>
    <w:docVar w:name="LW_TYPEACTEPRINCIPAL.CP" w:val="REPORT FROM THE COMMISSION TO THE EUROPEAN PARLIAMENT AND TO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Voetnoottekst Char1,Voetnoottekst Char Char,Voetnoottekst Char2 Char Char,Voetnoottekst Char1 Char Char Char,Voetnoottekst Char Char Char Char Char,Voetnoottekst Char2 Char Char Char Char Char,Voetnoottekst Char3 Char Char,Tekst przypisu,f"/>
    <w:basedOn w:val="Normal"/>
    <w:link w:val="FootnoteTextChar"/>
    <w:uiPriority w:val="99"/>
    <w:unhideWhenUsed/>
    <w:pPr>
      <w:spacing w:after="0" w:line="240" w:lineRule="auto"/>
    </w:pPr>
    <w:rPr>
      <w:sz w:val="20"/>
      <w:szCs w:val="20"/>
    </w:rPr>
  </w:style>
  <w:style w:type="character" w:customStyle="1" w:styleId="FootnoteTextChar">
    <w:name w:val="Footnote Text Char"/>
    <w:aliases w:val="Voetnoottekst Char1 Char,Voetnoottekst Char Char Char,Voetnoottekst Char2 Char Char Char,Voetnoottekst Char1 Char Char Char Char,Voetnoottekst Char Char Char Char Char Char,Voetnoottekst Char2 Char Char Char Char Char Char,f Char"/>
    <w:basedOn w:val="DefaultParagraphFont"/>
    <w:link w:val="FootnoteText"/>
    <w:uiPriority w:val="99"/>
    <w:rPr>
      <w:sz w:val="20"/>
      <w:szCs w:val="20"/>
    </w:rPr>
  </w:style>
  <w:style w:type="character" w:styleId="FootnoteReference">
    <w:name w:val="footnote reference"/>
    <w:aliases w:val="Footnote symbol,Odwołanie przypisu,Footnote Reference Number,Footnote Reference Superscript,SUPERS,Times 10 Point,Exposant 3 Point, Exposant 3 Point,Footnote,Ref,de nota al pie,Footnote Char,Footnote number Char,Footnote symbol Char"/>
    <w:unhideWhenUsed/>
    <w:qFormat/>
    <w:rPr>
      <w:shd w:val="clear" w:color="auto" w:fill="auto"/>
      <w:vertAlign w:val="superscript"/>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Voetnoottekst Char1,Voetnoottekst Char Char,Voetnoottekst Char2 Char Char,Voetnoottekst Char1 Char Char Char,Voetnoottekst Char Char Char Char Char,Voetnoottekst Char2 Char Char Char Char Char,Voetnoottekst Char3 Char Char,Tekst przypisu,f"/>
    <w:basedOn w:val="Normal"/>
    <w:link w:val="FootnoteTextChar"/>
    <w:uiPriority w:val="99"/>
    <w:unhideWhenUsed/>
    <w:pPr>
      <w:spacing w:after="0" w:line="240" w:lineRule="auto"/>
    </w:pPr>
    <w:rPr>
      <w:sz w:val="20"/>
      <w:szCs w:val="20"/>
    </w:rPr>
  </w:style>
  <w:style w:type="character" w:customStyle="1" w:styleId="FootnoteTextChar">
    <w:name w:val="Footnote Text Char"/>
    <w:aliases w:val="Voetnoottekst Char1 Char,Voetnoottekst Char Char Char,Voetnoottekst Char2 Char Char Char,Voetnoottekst Char1 Char Char Char Char,Voetnoottekst Char Char Char Char Char Char,Voetnoottekst Char2 Char Char Char Char Char Char,f Char"/>
    <w:basedOn w:val="DefaultParagraphFont"/>
    <w:link w:val="FootnoteText"/>
    <w:uiPriority w:val="99"/>
    <w:rPr>
      <w:sz w:val="20"/>
      <w:szCs w:val="20"/>
    </w:rPr>
  </w:style>
  <w:style w:type="character" w:styleId="FootnoteReference">
    <w:name w:val="footnote reference"/>
    <w:aliases w:val="Footnote symbol,Odwołanie przypisu,Footnote Reference Number,Footnote Reference Superscript,SUPERS,Times 10 Point,Exposant 3 Point, Exposant 3 Point,Footnote,Ref,de nota al pie,Footnote Char,Footnote number Char,Footnote symbol Char"/>
    <w:unhideWhenUsed/>
    <w:qFormat/>
    <w:rPr>
      <w:shd w:val="clear" w:color="auto" w:fill="auto"/>
      <w:vertAlign w:val="superscript"/>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635</Words>
  <Characters>3483</Characters>
  <Application>Microsoft Office Word</Application>
  <DocSecurity>0</DocSecurity>
  <Lines>51</Lines>
  <Paragraphs>8</Paragraphs>
  <ScaleCrop>false</ScaleCrop>
  <HeadingPairs>
    <vt:vector size="2" baseType="variant">
      <vt:variant>
        <vt:lpstr>Title</vt:lpstr>
      </vt:variant>
      <vt:variant>
        <vt:i4>1</vt:i4>
      </vt:variant>
    </vt:vector>
  </HeadingPairs>
  <TitlesOfParts>
    <vt:vector size="1" baseType="lpstr">
      <vt:lpstr>SANTE/11001/2017-EN CIS</vt:lpstr>
    </vt:vector>
  </TitlesOfParts>
  <Manager/>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SANTE/11001/2017-EN CIS</dc:title>
  <dc:subject>executive summary of the evaluation</dc:subject>
  <dc:creator/>
  <cp:keywords>11001</cp:keywords>
  <dc:description>Outlook 23,6,2017</dc:description>
  <cp:lastModifiedBy>DIGIT/A3</cp:lastModifiedBy>
  <cp:revision>16</cp:revision>
  <cp:lastPrinted>2017-08-18T12:30:00Z</cp:lastPrinted>
  <dcterms:created xsi:type="dcterms:W3CDTF">2017-09-14T09:19:00Z</dcterms:created>
  <dcterms:modified xsi:type="dcterms:W3CDTF">2017-09-15T14:46:00Z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