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EFBF83EA7AC452DAFC6076E3D6B5FCB" style="width:450.5pt;height:44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jc w:val="center"/>
        <w:rPr>
          <w:rFonts w:ascii="Times New Roman" w:hAnsi="Times New Roman" w:cs="Times New Roman"/>
          <w:b/>
          <w:bCs/>
          <w:noProof/>
          <w:sz w:val="24"/>
          <w:szCs w:val="24"/>
        </w:rPr>
      </w:pPr>
      <w:r>
        <w:rPr>
          <w:rFonts w:ascii="Times New Roman" w:hAnsi="Times New Roman"/>
          <w:b/>
          <w:noProof/>
          <w:sz w:val="24"/>
        </w:rPr>
        <w:t>Междинна оценка на Регламент (ЕС) № 652/2014 на Европейския парламент и на Съвета за установяване на разпоредби за управлението на разходите, свързани с хранителната верига, здравеопазването на животните и хуманното отношение към тях, здравето на растенията и растителния репродуктивен материал</w:t>
      </w:r>
      <w:r>
        <w:rPr>
          <w:rFonts w:ascii="Times New Roman" w:hAnsi="Times New Roman"/>
          <w:noProof/>
          <w:sz w:val="24"/>
          <w:vertAlign w:val="superscript"/>
        </w:rPr>
        <w:footnoteReference w:id="1"/>
      </w:r>
      <w:r>
        <w:rPr>
          <w:rFonts w:ascii="Times New Roman" w:hAnsi="Times New Roman"/>
          <w:b/>
          <w:noProof/>
          <w:sz w:val="24"/>
        </w:rPr>
        <w:t>, за изменение на директиви 98/56/ЕО, 2000/29/ЕО и 2008/90/ЕО на Съвета, на регламенти (ЕО) № 178/2002, (ЕО) № 882/2004 и (ЕО) № 396/2005 на Европейския парламент и на Съвета, на Директива 2009/128/ЕО на Европейския парламент и на Съвета и на Регламент (ЕО) № 1107/2009 на Европейския парламент и на Съвета и за отмяна на решения 66/399/ЕИО, 76/894/ЕИО и 2009/470/ЕО на Съвета</w:t>
      </w:r>
    </w:p>
    <w:p>
      <w:pPr>
        <w:numPr>
          <w:ilvl w:val="0"/>
          <w:numId w:val="1"/>
        </w:numPr>
        <w:jc w:val="both"/>
        <w:rPr>
          <w:rFonts w:ascii="Times New Roman" w:hAnsi="Times New Roman" w:cs="Times New Roman"/>
          <w:b/>
          <w:bCs/>
          <w:noProof/>
          <w:sz w:val="24"/>
          <w:szCs w:val="24"/>
        </w:rPr>
      </w:pPr>
      <w:r>
        <w:rPr>
          <w:rFonts w:ascii="Times New Roman" w:hAnsi="Times New Roman"/>
          <w:b/>
          <w:noProof/>
          <w:sz w:val="24"/>
        </w:rPr>
        <w:t>Въведение</w:t>
      </w:r>
    </w:p>
    <w:p>
      <w:pPr>
        <w:pStyle w:val="Text"/>
        <w:rPr>
          <w:noProof/>
        </w:rPr>
      </w:pPr>
      <w:r>
        <w:rPr>
          <w:noProof/>
        </w:rPr>
        <w:t xml:space="preserve">Регламент (ЕС) № 652/2014 на Европейския съюз и на Съвета влезе в сила в края на юни 2014 г. и с него беше установена </w:t>
      </w:r>
      <w:r>
        <w:rPr>
          <w:b/>
          <w:noProof/>
        </w:rPr>
        <w:t>Обща финансова рамка (ОФР)</w:t>
      </w:r>
      <w:r>
        <w:rPr>
          <w:noProof/>
        </w:rPr>
        <w:t xml:space="preserve"> в областите на хранителната верига, здравеопазването на животните и хуманното отношение към тях, здравето на растенията и растителния репродуктивен материал (наричан по-нататък „Регламента относно ОФР“).</w:t>
      </w:r>
    </w:p>
    <w:p>
      <w:pPr>
        <w:jc w:val="both"/>
        <w:rPr>
          <w:rFonts w:ascii="Times New Roman" w:hAnsi="Times New Roman" w:cs="Times New Roman"/>
          <w:noProof/>
          <w:sz w:val="24"/>
          <w:szCs w:val="24"/>
        </w:rPr>
      </w:pPr>
      <w:r>
        <w:rPr>
          <w:rFonts w:ascii="Times New Roman" w:hAnsi="Times New Roman"/>
          <w:noProof/>
          <w:sz w:val="24"/>
        </w:rPr>
        <w:t>Настоящият доклад е изготвен съгласно член 42 („Оценка“) от Регламента относно ОФР, в който се изисква Комисията да изготви и представи на Европейския парламент и на Съвета междинен доклад за оценка, обхващащ следните разходни мерки:</w:t>
      </w:r>
    </w:p>
    <w:p>
      <w:pPr>
        <w:numPr>
          <w:ilvl w:val="0"/>
          <w:numId w:val="2"/>
        </w:numPr>
        <w:jc w:val="both"/>
        <w:rPr>
          <w:rFonts w:ascii="Times New Roman" w:hAnsi="Times New Roman" w:cs="Times New Roman"/>
          <w:noProof/>
          <w:sz w:val="24"/>
          <w:szCs w:val="24"/>
        </w:rPr>
      </w:pPr>
      <w:r>
        <w:rPr>
          <w:rFonts w:ascii="Times New Roman" w:hAnsi="Times New Roman"/>
          <w:b/>
          <w:noProof/>
          <w:sz w:val="24"/>
        </w:rPr>
        <w:t xml:space="preserve">ветеринарни програми за ликвидиране, контрол и надзор на болестите </w:t>
      </w:r>
      <w:r>
        <w:rPr>
          <w:rFonts w:ascii="Times New Roman" w:hAnsi="Times New Roman"/>
          <w:noProof/>
          <w:sz w:val="24"/>
        </w:rPr>
        <w:t>(наричани по-нататък „ветеринарни програми“), прилагани от държавите членки с цел постепенно ликвидиране на болестите по животните и зоонозите и въвеждане на мерки за контрол на болестите;</w:t>
      </w:r>
    </w:p>
    <w:p>
      <w:pPr>
        <w:numPr>
          <w:ilvl w:val="0"/>
          <w:numId w:val="2"/>
        </w:numPr>
        <w:jc w:val="both"/>
        <w:rPr>
          <w:rFonts w:ascii="Times New Roman" w:hAnsi="Times New Roman" w:cs="Times New Roman"/>
          <w:noProof/>
          <w:sz w:val="24"/>
          <w:szCs w:val="24"/>
        </w:rPr>
      </w:pPr>
      <w:r>
        <w:rPr>
          <w:rFonts w:ascii="Times New Roman" w:hAnsi="Times New Roman"/>
          <w:b/>
          <w:noProof/>
          <w:sz w:val="24"/>
        </w:rPr>
        <w:t>фитосанитарни програми за наблюдение</w:t>
      </w:r>
      <w:r>
        <w:rPr>
          <w:rFonts w:ascii="Times New Roman" w:hAnsi="Times New Roman"/>
          <w:noProof/>
          <w:sz w:val="24"/>
        </w:rPr>
        <w:t xml:space="preserve"> относно наличието на вредители на територията на Съюза;</w:t>
      </w:r>
    </w:p>
    <w:p>
      <w:pPr>
        <w:numPr>
          <w:ilvl w:val="0"/>
          <w:numId w:val="2"/>
        </w:numPr>
        <w:jc w:val="both"/>
        <w:rPr>
          <w:rFonts w:ascii="Times New Roman" w:hAnsi="Times New Roman" w:cs="Times New Roman"/>
          <w:noProof/>
          <w:sz w:val="24"/>
          <w:szCs w:val="24"/>
        </w:rPr>
      </w:pPr>
      <w:r>
        <w:rPr>
          <w:rFonts w:ascii="Times New Roman" w:hAnsi="Times New Roman"/>
          <w:b/>
          <w:noProof/>
          <w:sz w:val="24"/>
        </w:rPr>
        <w:t>ветеринарни и фитосанитарни мерки при извънредни ситуации</w:t>
      </w:r>
      <w:r>
        <w:rPr>
          <w:rFonts w:ascii="Times New Roman" w:hAnsi="Times New Roman"/>
          <w:noProof/>
          <w:sz w:val="24"/>
        </w:rPr>
        <w:t>, целящи своевременно справяне с извънредни ситуации, свързани съответно със здравеопазването на животните и здравето на растенията;</w:t>
      </w:r>
    </w:p>
    <w:p>
      <w:pPr>
        <w:numPr>
          <w:ilvl w:val="0"/>
          <w:numId w:val="2"/>
        </w:numPr>
        <w:jc w:val="both"/>
        <w:rPr>
          <w:rFonts w:ascii="Times New Roman" w:hAnsi="Times New Roman" w:cs="Times New Roman"/>
          <w:noProof/>
          <w:sz w:val="24"/>
          <w:szCs w:val="24"/>
        </w:rPr>
      </w:pPr>
      <w:r>
        <w:rPr>
          <w:rFonts w:ascii="Times New Roman" w:hAnsi="Times New Roman"/>
          <w:b/>
          <w:noProof/>
          <w:sz w:val="24"/>
        </w:rPr>
        <w:t>дейности на референтните лаборатории на Европейския съюз (РЛЕС)</w:t>
      </w:r>
      <w:r>
        <w:rPr>
          <w:rFonts w:ascii="Times New Roman" w:hAnsi="Times New Roman"/>
          <w:noProof/>
          <w:sz w:val="24"/>
        </w:rPr>
        <w:t>, чиято цел е да се гарантира висококачествено уеднаквено изследване в ЕС и да се подкрепят дейностите на Комисията за управление на риска в областта на лабораторния анализ;</w:t>
      </w:r>
    </w:p>
    <w:p>
      <w:pPr>
        <w:numPr>
          <w:ilvl w:val="0"/>
          <w:numId w:val="2"/>
        </w:numPr>
        <w:jc w:val="both"/>
        <w:rPr>
          <w:rFonts w:ascii="Times New Roman" w:hAnsi="Times New Roman" w:cs="Times New Roman"/>
          <w:noProof/>
          <w:sz w:val="24"/>
          <w:szCs w:val="24"/>
        </w:rPr>
      </w:pPr>
      <w:r>
        <w:rPr>
          <w:rFonts w:ascii="Times New Roman" w:hAnsi="Times New Roman"/>
          <w:b/>
          <w:noProof/>
          <w:sz w:val="24"/>
        </w:rPr>
        <w:t>програмата „По-добро обучение за по-безопасни храни“ (BTSF)</w:t>
      </w:r>
      <w:r>
        <w:rPr>
          <w:rFonts w:ascii="Times New Roman" w:hAnsi="Times New Roman"/>
          <w:noProof/>
          <w:sz w:val="24"/>
        </w:rPr>
        <w:t>, която представлява инициатива за обучение, насочена към персонала на националните органи, участващ в официалния контрол на законодателството в областта на храните и фуражите и правилата за здравеопазването на животните и хуманното отношение към тях и за здравето на растенията.</w:t>
      </w:r>
    </w:p>
    <w:p>
      <w:pPr>
        <w:jc w:val="both"/>
        <w:rPr>
          <w:rFonts w:ascii="Times New Roman" w:hAnsi="Times New Roman" w:cs="Times New Roman"/>
          <w:noProof/>
          <w:sz w:val="24"/>
          <w:szCs w:val="24"/>
        </w:rPr>
      </w:pPr>
      <w:r>
        <w:rPr>
          <w:rFonts w:ascii="Times New Roman" w:hAnsi="Times New Roman"/>
          <w:noProof/>
          <w:sz w:val="24"/>
        </w:rPr>
        <w:t>В настоящата многогодишна финансова рамка (МФР) сумите, определени за изброените по-горе дейности, представляват почти целият бюджет в областта на хранителната верига.</w:t>
      </w:r>
    </w:p>
    <w:p>
      <w:pPr>
        <w:jc w:val="both"/>
        <w:rPr>
          <w:rFonts w:ascii="Times New Roman" w:hAnsi="Times New Roman" w:cs="Times New Roman"/>
          <w:noProof/>
          <w:sz w:val="24"/>
          <w:szCs w:val="24"/>
        </w:rPr>
      </w:pPr>
      <w:r>
        <w:rPr>
          <w:rFonts w:ascii="Times New Roman" w:hAnsi="Times New Roman"/>
          <w:noProof/>
          <w:sz w:val="24"/>
        </w:rPr>
        <w:t>В настоящия доклад е представен резултатът от работата по междинната оценка въз основа на външното помощно проучване</w:t>
      </w:r>
      <w:r>
        <w:rPr>
          <w:rFonts w:ascii="Times New Roman" w:hAnsi="Times New Roman"/>
          <w:noProof/>
          <w:sz w:val="24"/>
          <w:vertAlign w:val="superscript"/>
        </w:rPr>
        <w:footnoteReference w:id="2"/>
      </w:r>
      <w:r>
        <w:rPr>
          <w:rFonts w:ascii="Times New Roman" w:hAnsi="Times New Roman"/>
          <w:noProof/>
          <w:sz w:val="24"/>
        </w:rPr>
        <w:t xml:space="preserve"> и на вътрешната оценка, извършена на равнището на Комисията. Докладът е придружен от работен документ на службите на Комисията (SWD), в който е представен преглед на техническото и финансовото изпълнение на дейностите по ОФР и са обобщени констатациите от външното помощно проучване.</w:t>
      </w:r>
    </w:p>
    <w:p>
      <w:pPr>
        <w:jc w:val="both"/>
        <w:rPr>
          <w:rFonts w:ascii="Times New Roman" w:hAnsi="Times New Roman" w:cs="Times New Roman"/>
          <w:noProof/>
          <w:sz w:val="24"/>
          <w:szCs w:val="24"/>
        </w:rPr>
      </w:pPr>
      <w:r>
        <w:rPr>
          <w:rFonts w:ascii="Times New Roman" w:hAnsi="Times New Roman"/>
          <w:noProof/>
          <w:sz w:val="24"/>
        </w:rPr>
        <w:t>С разходната програма на ЕС се предоставя финансова подкрепа, за да бъдат постигнати целите на законодателството на ЕС в областта на храните и фуражите. Нейният принос за постигането на целите е неизменно обвързан с участието на националните разходни програми и националните мерки, които законово изискват от държавите членки да предприемат действия.</w:t>
      </w:r>
    </w:p>
    <w:p>
      <w:pPr>
        <w:jc w:val="both"/>
        <w:rPr>
          <w:rFonts w:ascii="Times New Roman" w:hAnsi="Times New Roman" w:cs="Times New Roman"/>
          <w:noProof/>
          <w:sz w:val="24"/>
          <w:szCs w:val="24"/>
        </w:rPr>
      </w:pPr>
      <w:r>
        <w:rPr>
          <w:rFonts w:ascii="Times New Roman" w:hAnsi="Times New Roman"/>
          <w:noProof/>
          <w:sz w:val="24"/>
        </w:rPr>
        <w:t>Обхватът на междинната оценка включва изпълнението на Регламента относно ОФР през 2014 г. и 2015 г., както и през 2016 г. въз основа на наличните предварителни данни. Частичните данни, налични за 2016 г., са ограничение настоящата оценка.</w:t>
      </w:r>
    </w:p>
    <w:p>
      <w:pPr>
        <w:numPr>
          <w:ilvl w:val="0"/>
          <w:numId w:val="1"/>
        </w:numPr>
        <w:jc w:val="both"/>
        <w:rPr>
          <w:rFonts w:ascii="Times New Roman" w:hAnsi="Times New Roman" w:cs="Times New Roman"/>
          <w:b/>
          <w:bCs/>
          <w:noProof/>
          <w:sz w:val="24"/>
          <w:szCs w:val="24"/>
        </w:rPr>
      </w:pPr>
      <w:bookmarkStart w:id="2" w:name="_Toc246230956"/>
      <w:r>
        <w:rPr>
          <w:rFonts w:ascii="Times New Roman" w:hAnsi="Times New Roman"/>
          <w:b/>
          <w:noProof/>
          <w:sz w:val="24"/>
        </w:rPr>
        <w:t>Контекст и цели на Регламента относно ОФР</w:t>
      </w:r>
    </w:p>
    <w:bookmarkEnd w:id="2"/>
    <w:p>
      <w:pPr>
        <w:jc w:val="both"/>
        <w:rPr>
          <w:rFonts w:ascii="Times New Roman" w:hAnsi="Times New Roman" w:cs="Times New Roman"/>
          <w:noProof/>
          <w:sz w:val="24"/>
          <w:szCs w:val="24"/>
        </w:rPr>
      </w:pPr>
      <w:r>
        <w:rPr>
          <w:rFonts w:ascii="Times New Roman" w:hAnsi="Times New Roman"/>
          <w:noProof/>
          <w:sz w:val="24"/>
        </w:rPr>
        <w:t xml:space="preserve">Регламентът относно ОФР беше приет с цел да се подобри изпълнението на разходите за дейностите, осъществявани в областта на хранителната верига, както и вниманието да бъде насочено към приоритетите на финансирането от ЕС, които осигуряват действителна добавена стойност. Чрез него съществувалите по-рано финансови разпоредби бяха осъвременени и рационализирани в единна рамка с хармонизирани процедури, стандартизирани ставки на плащане и изяснени допустими разходи и мерки. </w:t>
      </w:r>
    </w:p>
    <w:p>
      <w:pPr>
        <w:jc w:val="both"/>
        <w:rPr>
          <w:rFonts w:ascii="Times New Roman" w:hAnsi="Times New Roman" w:cs="Times New Roman"/>
          <w:noProof/>
          <w:sz w:val="24"/>
          <w:szCs w:val="24"/>
        </w:rPr>
      </w:pPr>
      <w:r>
        <w:rPr>
          <w:rFonts w:ascii="Times New Roman" w:hAnsi="Times New Roman"/>
          <w:noProof/>
          <w:sz w:val="24"/>
        </w:rPr>
        <w:t xml:space="preserve">От оперативна гледна точка повечето от дейностите и мерките са получавали подкрепа още преди 2014 г. В областта на фитосанитарния контрол </w:t>
      </w:r>
      <w:r>
        <w:rPr>
          <w:rFonts w:ascii="Times New Roman" w:hAnsi="Times New Roman"/>
          <w:b/>
          <w:noProof/>
          <w:sz w:val="24"/>
        </w:rPr>
        <w:t>бяха въведени нови мерки</w:t>
      </w:r>
      <w:r>
        <w:rPr>
          <w:rFonts w:ascii="Times New Roman" w:hAnsi="Times New Roman"/>
          <w:noProof/>
          <w:sz w:val="24"/>
        </w:rPr>
        <w:t xml:space="preserve">, а именно възможността за съфинансиране на изпълнението на програми за наблюдение относно наличието на вредители по растенията на територията на Съюза. </w:t>
      </w:r>
    </w:p>
    <w:p>
      <w:pPr>
        <w:jc w:val="both"/>
        <w:rPr>
          <w:rFonts w:ascii="Times New Roman" w:hAnsi="Times New Roman" w:cs="Times New Roman"/>
          <w:noProof/>
          <w:sz w:val="24"/>
          <w:szCs w:val="24"/>
        </w:rPr>
      </w:pPr>
      <w:r>
        <w:rPr>
          <w:rFonts w:ascii="Times New Roman" w:hAnsi="Times New Roman"/>
          <w:noProof/>
          <w:sz w:val="24"/>
        </w:rPr>
        <w:t>Общата цел на политиката, преследвана с Регламента относно ОФР, е да се допринесе за постигането на висока степен на защита на здравето на хората, животните и растенията по цялата хранителна верига и в свързаните области посредством предотвратяване и ликвидиране на болести и вредители и посредством гарантиране на висока степен на защита на потребителите и на околната среда, като същевременно се засилва конкурентоспособността на хранителната и фуражната промишленост на Съюза и се благоприятства създаването на работни места.</w:t>
      </w:r>
    </w:p>
    <w:p>
      <w:pPr>
        <w:jc w:val="both"/>
        <w:rPr>
          <w:rFonts w:ascii="Times New Roman" w:hAnsi="Times New Roman" w:cs="Times New Roman"/>
          <w:noProof/>
          <w:sz w:val="24"/>
          <w:szCs w:val="24"/>
        </w:rPr>
      </w:pPr>
      <w:r>
        <w:rPr>
          <w:rFonts w:ascii="Times New Roman" w:hAnsi="Times New Roman"/>
          <w:noProof/>
          <w:sz w:val="24"/>
        </w:rPr>
        <w:t>Тази обща цел е разграничена в четири конкретни цели, по една за всяка от четирите разходни области, обхванати от Регламента относно ОФР, а именно: безопасност на храните, здравеопазване на животните и хуманно отношение към тях, здраве на растенията, официален контрол.</w:t>
      </w:r>
    </w:p>
    <w:p>
      <w:pPr>
        <w:jc w:val="both"/>
        <w:rPr>
          <w:rFonts w:ascii="Times New Roman" w:hAnsi="Times New Roman" w:cs="Times New Roman"/>
          <w:noProof/>
          <w:sz w:val="24"/>
          <w:szCs w:val="24"/>
        </w:rPr>
      </w:pPr>
      <w:r>
        <w:rPr>
          <w:rFonts w:ascii="Times New Roman" w:hAnsi="Times New Roman"/>
          <w:noProof/>
          <w:sz w:val="24"/>
        </w:rPr>
        <w:t>Конкретните цели са придружени от шест конкретни показателя за изпълнение, също посочени в Регламента относно ОФР, като това осигури основа за извършване на секторна оценка на мерките, изпълнявани по всяка от четирите обхванати разходни области.</w:t>
      </w:r>
    </w:p>
    <w:p>
      <w:pPr>
        <w:jc w:val="both"/>
        <w:rPr>
          <w:rFonts w:ascii="Times New Roman" w:hAnsi="Times New Roman" w:cs="Times New Roman"/>
          <w:noProof/>
          <w:sz w:val="24"/>
          <w:szCs w:val="24"/>
        </w:rPr>
      </w:pPr>
      <w:r>
        <w:rPr>
          <w:rFonts w:ascii="Times New Roman" w:hAnsi="Times New Roman"/>
          <w:noProof/>
          <w:sz w:val="24"/>
        </w:rPr>
        <w:t>За да бъде постигната целта на Регламента относно ОФР, за него беше определен максимален общ размер на разходите от 1 891 936 000 EUR за седемгодишния период от 2014 г. до 2020 г., обхванат от настоящата МФФ.</w:t>
      </w:r>
    </w:p>
    <w:p>
      <w:pPr>
        <w:jc w:val="both"/>
        <w:rPr>
          <w:rFonts w:ascii="Times New Roman" w:hAnsi="Times New Roman" w:cs="Times New Roman"/>
          <w:noProof/>
          <w:sz w:val="24"/>
          <w:szCs w:val="24"/>
        </w:rPr>
      </w:pPr>
      <w:r>
        <w:rPr>
          <w:rFonts w:ascii="Times New Roman" w:hAnsi="Times New Roman"/>
          <w:noProof/>
          <w:sz w:val="24"/>
        </w:rPr>
        <w:t>Разходите за ОФР се състоят главно от пряко съфинансиране за държавите членки, които са почти единствени бенефициери на предоставяните средства от ЕС в тази област. Държавите членки получават възстановяване на допустимите разходи, извършени за изпълнението на допустимите мерки. Финансовото участие на Съюза се осъществява главно под формата на предоставяне на безвъзмездни средства.</w:t>
      </w:r>
    </w:p>
    <w:p>
      <w:pPr>
        <w:keepNext/>
        <w:keepLines/>
        <w:numPr>
          <w:ilvl w:val="0"/>
          <w:numId w:val="1"/>
        </w:numPr>
        <w:jc w:val="both"/>
        <w:rPr>
          <w:rFonts w:ascii="Times New Roman" w:hAnsi="Times New Roman" w:cs="Times New Roman"/>
          <w:b/>
          <w:bCs/>
          <w:noProof/>
          <w:sz w:val="24"/>
          <w:szCs w:val="24"/>
        </w:rPr>
      </w:pPr>
      <w:r>
        <w:rPr>
          <w:rFonts w:ascii="Times New Roman" w:hAnsi="Times New Roman"/>
          <w:b/>
          <w:noProof/>
          <w:sz w:val="24"/>
        </w:rPr>
        <w:t>Резултати от междинната оценка на изпълнението на Регламента относно ОФР</w:t>
      </w:r>
    </w:p>
    <w:p>
      <w:pPr>
        <w:keepNext/>
        <w:keepLines/>
        <w:jc w:val="both"/>
        <w:rPr>
          <w:rFonts w:ascii="Times New Roman" w:hAnsi="Times New Roman" w:cs="Times New Roman"/>
          <w:noProof/>
          <w:sz w:val="24"/>
          <w:szCs w:val="24"/>
        </w:rPr>
      </w:pPr>
      <w:r>
        <w:rPr>
          <w:rFonts w:ascii="Times New Roman" w:hAnsi="Times New Roman"/>
          <w:noProof/>
          <w:sz w:val="24"/>
        </w:rPr>
        <w:t>В съответствие с разпоредбите на член 42 от Регламента относно ОФР междинният доклад за оценка обхваща следните аспекти:</w:t>
      </w:r>
    </w:p>
    <w:p>
      <w:pPr>
        <w:numPr>
          <w:ilvl w:val="0"/>
          <w:numId w:val="3"/>
        </w:numPr>
        <w:jc w:val="both"/>
        <w:rPr>
          <w:rFonts w:ascii="Times New Roman" w:hAnsi="Times New Roman" w:cs="Times New Roman"/>
          <w:noProof/>
          <w:sz w:val="24"/>
          <w:szCs w:val="24"/>
        </w:rPr>
      </w:pPr>
      <w:r>
        <w:rPr>
          <w:rFonts w:ascii="Times New Roman" w:hAnsi="Times New Roman"/>
          <w:noProof/>
          <w:sz w:val="24"/>
        </w:rPr>
        <w:t>постигане на целите на ОФР (член 2, параграф 1) относно ефикасността при използването на ресурсите и добавената стойност на равнището на Съюза;</w:t>
      </w:r>
    </w:p>
    <w:p>
      <w:pPr>
        <w:numPr>
          <w:ilvl w:val="0"/>
          <w:numId w:val="3"/>
        </w:numPr>
        <w:jc w:val="both"/>
        <w:rPr>
          <w:rFonts w:ascii="Times New Roman" w:hAnsi="Times New Roman" w:cs="Times New Roman"/>
          <w:noProof/>
          <w:sz w:val="24"/>
          <w:szCs w:val="24"/>
        </w:rPr>
      </w:pPr>
      <w:r>
        <w:rPr>
          <w:rFonts w:ascii="Times New Roman" w:hAnsi="Times New Roman"/>
          <w:noProof/>
          <w:sz w:val="24"/>
        </w:rPr>
        <w:t>възможностите за опростяване;</w:t>
      </w:r>
    </w:p>
    <w:p>
      <w:pPr>
        <w:numPr>
          <w:ilvl w:val="0"/>
          <w:numId w:val="3"/>
        </w:numPr>
        <w:jc w:val="both"/>
        <w:rPr>
          <w:rFonts w:ascii="Times New Roman" w:hAnsi="Times New Roman" w:cs="Times New Roman"/>
          <w:noProof/>
          <w:sz w:val="24"/>
          <w:szCs w:val="24"/>
        </w:rPr>
      </w:pPr>
      <w:r>
        <w:rPr>
          <w:rFonts w:ascii="Times New Roman" w:hAnsi="Times New Roman"/>
          <w:noProof/>
          <w:sz w:val="24"/>
        </w:rPr>
        <w:t>актуалността на всички цели;</w:t>
      </w:r>
    </w:p>
    <w:p>
      <w:pPr>
        <w:numPr>
          <w:ilvl w:val="0"/>
          <w:numId w:val="3"/>
        </w:numPr>
        <w:jc w:val="both"/>
        <w:rPr>
          <w:rFonts w:ascii="Times New Roman" w:hAnsi="Times New Roman" w:cs="Times New Roman"/>
          <w:noProof/>
          <w:sz w:val="24"/>
          <w:szCs w:val="24"/>
        </w:rPr>
      </w:pPr>
      <w:r>
        <w:rPr>
          <w:rFonts w:ascii="Times New Roman" w:hAnsi="Times New Roman"/>
          <w:noProof/>
          <w:sz w:val="24"/>
        </w:rPr>
        <w:t>приноса на мерките по отношение на приоритетите на Съюза за интелигентен, устойчив и приобщаващ растеж.</w:t>
      </w:r>
    </w:p>
    <w:p>
      <w:pPr>
        <w:jc w:val="both"/>
        <w:rPr>
          <w:rFonts w:ascii="Times New Roman" w:hAnsi="Times New Roman" w:cs="Times New Roman"/>
          <w:noProof/>
          <w:sz w:val="24"/>
          <w:szCs w:val="24"/>
        </w:rPr>
      </w:pPr>
      <w:r>
        <w:rPr>
          <w:rFonts w:ascii="Times New Roman" w:hAnsi="Times New Roman"/>
          <w:noProof/>
          <w:sz w:val="24"/>
        </w:rPr>
        <w:t>В него се вземат предвид резултатите от оценката относно дългосрочното въздействие на предишните мерки.</w:t>
      </w:r>
    </w:p>
    <w:p>
      <w:pPr>
        <w:jc w:val="both"/>
        <w:rPr>
          <w:rFonts w:ascii="Times New Roman" w:hAnsi="Times New Roman" w:cs="Times New Roman"/>
          <w:noProof/>
          <w:sz w:val="24"/>
          <w:szCs w:val="24"/>
        </w:rPr>
      </w:pPr>
      <w:r>
        <w:rPr>
          <w:rFonts w:ascii="Times New Roman" w:hAnsi="Times New Roman"/>
          <w:noProof/>
          <w:sz w:val="24"/>
        </w:rPr>
        <w:t>При оценката постигнатият напредък се отчита, като се използват шестте показатели по ОФР, посочени в член 2, параграф 2</w:t>
      </w:r>
      <w:r>
        <w:rPr>
          <w:rStyle w:val="FootnoteReference"/>
          <w:rFonts w:ascii="Times New Roman" w:hAnsi="Times New Roman"/>
          <w:noProof/>
          <w:sz w:val="24"/>
        </w:rPr>
        <w:footnoteReference w:id="3"/>
      </w:r>
      <w:r>
        <w:rPr>
          <w:rFonts w:ascii="Times New Roman" w:hAnsi="Times New Roman"/>
          <w:noProof/>
          <w:sz w:val="24"/>
        </w:rPr>
        <w:t xml:space="preserve">. </w:t>
      </w:r>
    </w:p>
    <w:p>
      <w:pPr>
        <w:jc w:val="both"/>
        <w:rPr>
          <w:rFonts w:ascii="Times New Roman" w:hAnsi="Times New Roman" w:cs="Times New Roman"/>
          <w:b/>
          <w:noProof/>
          <w:sz w:val="24"/>
          <w:szCs w:val="24"/>
        </w:rPr>
      </w:pPr>
      <w:r>
        <w:rPr>
          <w:rFonts w:ascii="Times New Roman" w:hAnsi="Times New Roman"/>
          <w:b/>
          <w:noProof/>
          <w:sz w:val="24"/>
        </w:rPr>
        <w:t>3.1</w:t>
      </w:r>
      <w:r>
        <w:rPr>
          <w:noProof/>
        </w:rPr>
        <w:tab/>
      </w:r>
      <w:r>
        <w:rPr>
          <w:rFonts w:ascii="Times New Roman" w:hAnsi="Times New Roman"/>
          <w:b/>
          <w:noProof/>
          <w:sz w:val="24"/>
        </w:rPr>
        <w:t>Постигане на целите на Регламента относно ОФР: ефективност и добавена стойност за ЕС</w:t>
      </w:r>
    </w:p>
    <w:p>
      <w:pPr>
        <w:jc w:val="both"/>
        <w:rPr>
          <w:rFonts w:ascii="Times New Roman" w:hAnsi="Times New Roman" w:cs="Times New Roman"/>
          <w:noProof/>
          <w:sz w:val="24"/>
          <w:szCs w:val="24"/>
        </w:rPr>
      </w:pPr>
      <w:r>
        <w:rPr>
          <w:rFonts w:ascii="Times New Roman" w:hAnsi="Times New Roman"/>
          <w:noProof/>
          <w:sz w:val="24"/>
        </w:rPr>
        <w:t xml:space="preserve">Общата цел на политиката, представена в контекста на настоящия доклад, се допълва от </w:t>
      </w:r>
      <w:r>
        <w:rPr>
          <w:rFonts w:ascii="Times New Roman" w:hAnsi="Times New Roman"/>
          <w:b/>
          <w:noProof/>
          <w:sz w:val="24"/>
        </w:rPr>
        <w:t>четири конкретни цели</w:t>
      </w:r>
      <w:r>
        <w:rPr>
          <w:rFonts w:ascii="Times New Roman" w:hAnsi="Times New Roman"/>
          <w:noProof/>
          <w:sz w:val="24"/>
        </w:rPr>
        <w:t>, по една за всяка от четирите обхванати разходни области.</w:t>
      </w:r>
    </w:p>
    <w:p>
      <w:pPr>
        <w:numPr>
          <w:ilvl w:val="0"/>
          <w:numId w:val="4"/>
        </w:numPr>
        <w:jc w:val="both"/>
        <w:rPr>
          <w:rFonts w:ascii="Times New Roman" w:hAnsi="Times New Roman" w:cs="Times New Roman"/>
          <w:noProof/>
          <w:sz w:val="24"/>
          <w:szCs w:val="24"/>
        </w:rPr>
      </w:pPr>
      <w:r>
        <w:rPr>
          <w:rFonts w:ascii="Times New Roman" w:hAnsi="Times New Roman"/>
          <w:b/>
          <w:noProof/>
          <w:sz w:val="24"/>
        </w:rPr>
        <w:t>Здравеопазване на животните</w:t>
      </w:r>
      <w:r>
        <w:rPr>
          <w:rFonts w:ascii="Times New Roman" w:hAnsi="Times New Roman"/>
          <w:noProof/>
          <w:sz w:val="24"/>
        </w:rPr>
        <w:t>: да се допринесе за постигане на по-висок здравен статус на животните в Съюза и да се окаже подкрепа за по-хуманното отношение към животните;</w:t>
      </w:r>
    </w:p>
    <w:p>
      <w:pPr>
        <w:numPr>
          <w:ilvl w:val="0"/>
          <w:numId w:val="4"/>
        </w:numPr>
        <w:jc w:val="both"/>
        <w:rPr>
          <w:rFonts w:ascii="Times New Roman" w:hAnsi="Times New Roman" w:cs="Times New Roman"/>
          <w:noProof/>
          <w:sz w:val="24"/>
          <w:szCs w:val="24"/>
        </w:rPr>
      </w:pPr>
      <w:r>
        <w:rPr>
          <w:rFonts w:ascii="Times New Roman" w:hAnsi="Times New Roman"/>
          <w:b/>
          <w:noProof/>
          <w:sz w:val="24"/>
        </w:rPr>
        <w:t>Здраве на растенията</w:t>
      </w:r>
      <w:r>
        <w:rPr>
          <w:rFonts w:ascii="Times New Roman" w:hAnsi="Times New Roman"/>
          <w:noProof/>
          <w:sz w:val="24"/>
        </w:rPr>
        <w:t>: да се допринесе за своевременното откриване на вредители и за тяхното ликвидиране в случаите, в които вредителите са били въведени в Съюза;</w:t>
      </w:r>
    </w:p>
    <w:p>
      <w:pPr>
        <w:numPr>
          <w:ilvl w:val="0"/>
          <w:numId w:val="4"/>
        </w:numPr>
        <w:jc w:val="both"/>
        <w:rPr>
          <w:rFonts w:ascii="Times New Roman" w:hAnsi="Times New Roman" w:cs="Times New Roman"/>
          <w:noProof/>
          <w:sz w:val="24"/>
          <w:szCs w:val="24"/>
        </w:rPr>
      </w:pPr>
      <w:r>
        <w:rPr>
          <w:rFonts w:ascii="Times New Roman" w:hAnsi="Times New Roman"/>
          <w:b/>
          <w:noProof/>
          <w:sz w:val="24"/>
        </w:rPr>
        <w:t>Официален контрол</w:t>
      </w:r>
      <w:r>
        <w:rPr>
          <w:rFonts w:ascii="Times New Roman" w:hAnsi="Times New Roman"/>
          <w:noProof/>
          <w:sz w:val="24"/>
        </w:rPr>
        <w:t>: да се допринесе за подобряване на ефективността, ефикасността и надеждността на официалния контрол и на другите дейности, провеждани с оглед на ефективното прилагане и спазването на правилата на Съюза (в областите, обхванати от Регламента относно ОФР).</w:t>
      </w:r>
    </w:p>
    <w:p>
      <w:pPr>
        <w:numPr>
          <w:ilvl w:val="0"/>
          <w:numId w:val="4"/>
        </w:numPr>
        <w:jc w:val="both"/>
        <w:rPr>
          <w:rFonts w:ascii="Times New Roman" w:hAnsi="Times New Roman" w:cs="Times New Roman"/>
          <w:noProof/>
          <w:sz w:val="24"/>
          <w:szCs w:val="24"/>
        </w:rPr>
      </w:pPr>
      <w:r>
        <w:rPr>
          <w:rFonts w:ascii="Times New Roman" w:hAnsi="Times New Roman"/>
          <w:b/>
          <w:noProof/>
          <w:sz w:val="24"/>
        </w:rPr>
        <w:t>Безопасност на храните</w:t>
      </w:r>
      <w:r>
        <w:rPr>
          <w:rFonts w:ascii="Times New Roman" w:hAnsi="Times New Roman"/>
          <w:noProof/>
          <w:sz w:val="24"/>
        </w:rPr>
        <w:t>: да се допринесе за висока степен на безопасност на храните и системите за производство на храни, както и на други продукти, които могат да повлияят на безопасността на храните, като същевременно се подобрява устойчивостта на производството на храни.</w:t>
      </w:r>
    </w:p>
    <w:p>
      <w:pPr>
        <w:jc w:val="both"/>
        <w:rPr>
          <w:rFonts w:ascii="Times New Roman" w:hAnsi="Times New Roman" w:cs="Times New Roman"/>
          <w:noProof/>
          <w:sz w:val="24"/>
          <w:szCs w:val="24"/>
        </w:rPr>
      </w:pPr>
      <w:r>
        <w:rPr>
          <w:rFonts w:ascii="Times New Roman" w:hAnsi="Times New Roman"/>
          <w:noProof/>
          <w:sz w:val="24"/>
        </w:rPr>
        <w:t>Тези специфични цели са придружени от шестте показателя от Регламента относно ОФР, които осигуряват общ подход към проследяването на напредъка във връзка с разходите в тази област. С цел конкретен мониторинг и измерване на изпълнението на дейностите по ОФР службите на Комисията доразвиха тези показатели в широкообхватен набор от 21 оперативни технически показатели, като определиха конкретни цели за всеки от тях</w:t>
      </w:r>
      <w:r>
        <w:rPr>
          <w:rFonts w:ascii="Times New Roman" w:hAnsi="Times New Roman"/>
          <w:noProof/>
          <w:sz w:val="24"/>
          <w:vertAlign w:val="superscript"/>
        </w:rPr>
        <w:footnoteReference w:id="4"/>
      </w:r>
      <w:r>
        <w:rPr>
          <w:rFonts w:ascii="Times New Roman" w:hAnsi="Times New Roman"/>
          <w:noProof/>
          <w:sz w:val="24"/>
        </w:rPr>
        <w:t>за 2017 г. и 2020 г. Този набор от показатели предоставя информация за техническото изпълнение на мерките по ОФР, но не позволява да се извърши оценка на рентабилността на програмата. И по-конкретно липсата на индикатори за рентабилност ограничава оценката на ефикасността на мерките по ОФР.</w:t>
      </w:r>
    </w:p>
    <w:p>
      <w:pPr>
        <w:jc w:val="both"/>
        <w:rPr>
          <w:rFonts w:ascii="Times New Roman" w:hAnsi="Times New Roman" w:cs="Times New Roman"/>
          <w:b/>
          <w:noProof/>
          <w:sz w:val="24"/>
          <w:szCs w:val="24"/>
        </w:rPr>
      </w:pPr>
      <w:r>
        <w:rPr>
          <w:rFonts w:ascii="Times New Roman" w:hAnsi="Times New Roman"/>
          <w:b/>
          <w:noProof/>
          <w:sz w:val="24"/>
        </w:rPr>
        <w:t>3.1.1</w:t>
      </w:r>
      <w:r>
        <w:rPr>
          <w:noProof/>
        </w:rPr>
        <w:tab/>
      </w:r>
      <w:r>
        <w:rPr>
          <w:rFonts w:ascii="Times New Roman" w:hAnsi="Times New Roman"/>
          <w:b/>
          <w:noProof/>
          <w:sz w:val="24"/>
        </w:rPr>
        <w:t>Здравеопазване на животните</w:t>
      </w:r>
    </w:p>
    <w:p>
      <w:pPr>
        <w:jc w:val="both"/>
        <w:rPr>
          <w:rFonts w:ascii="Times New Roman" w:hAnsi="Times New Roman" w:cs="Times New Roman"/>
          <w:b/>
          <w:i/>
          <w:noProof/>
          <w:sz w:val="24"/>
          <w:szCs w:val="24"/>
        </w:rPr>
      </w:pPr>
      <w:r>
        <w:rPr>
          <w:rFonts w:ascii="Times New Roman" w:hAnsi="Times New Roman"/>
          <w:b/>
          <w:i/>
          <w:noProof/>
          <w:sz w:val="24"/>
        </w:rPr>
        <w:t>Постигане на целите</w:t>
      </w:r>
    </w:p>
    <w:p>
      <w:pPr>
        <w:jc w:val="both"/>
        <w:rPr>
          <w:rFonts w:ascii="Times New Roman" w:hAnsi="Times New Roman" w:cs="Times New Roman"/>
          <w:noProof/>
          <w:sz w:val="24"/>
          <w:szCs w:val="24"/>
        </w:rPr>
      </w:pPr>
      <w:r>
        <w:rPr>
          <w:rFonts w:ascii="Times New Roman" w:hAnsi="Times New Roman"/>
          <w:noProof/>
          <w:sz w:val="24"/>
        </w:rPr>
        <w:t xml:space="preserve">Изпълнението на ветеринарните мерки представлява най-голямата част от разходите по бюджета за Регламента относно ОФР, като само разходите за ветеринарните програми са повече от 75 % от общите разходи през 2014 г. и 2015 г. Плащанията за ветеринарни програми през 2014 г. са възлизали на 136 милиона евро от общо 180 милиона евро, а през 2015 г. са възлизали на 148 милиона евро от общо 194 милиона евро. Адекватността на бюджета се отразява и във факта, че 12 от всичките 21 технически показатели, наблюдавани в този контекст, са свързани с тази разходна област. Избраните показатели са съсредоточени върху болестите по животните и зоонозите; те осигуряват възможност за мониторинг на географското развитие на районите в ЕС, които са свободни от конкретни болести по животните, и за измерване на техническите параметри, като например разпространение, заболяемост и брой на случаите. Анализът на тези показатели за периода 2014—2016 г. показва положителна епидемиологична тенденция за всички приоритетни болести, по отношение на които се осигурява финансова подкрепа от ЕС по ветеринарните програми, като се наблюдава нарастване на броя на държавите членки или районите, които вече са свободни от болести по животните, както и цялостно намаляване на стойностите на всички наблюдавани параметри. Важен пример представляват програмите на ЕС по отношение на бяса: тази болест беше почти ликвидирана в дивата природа в ЕС (пълно ликвидиране се очаква до 2020 г.), като броят на случаите е намалял от 80 през 2014 г. на едва 18 през 2016 г.; по този начин в голяма степен е занижен значим риск за здравето и е осигурена възможност за свободно движение на котки и кучета в рамките на ЕС. Друг добър пример е увеличеният брой на държавите членки, свободни от бруцелоза по говедата: към края на 2016 г. две от петте държави членки, които изпълняват съфинансирана от ЕС програма през разглеждания период, вече са свободни от тази болест; в останалите три държави членки главният показател за изпълнение — мониторинг на развитието на разпространението сред стадата, е намалял с 25 % през същия период, което представлява положителна тенденция към пълното ликвидиране на болестта. Следва обаче да се отбележи, че все още съществуват някои области, в които положението не се е подобрило според очакваното, като например случаите на </w:t>
      </w:r>
      <w:r>
        <w:rPr>
          <w:rFonts w:ascii="Times New Roman" w:hAnsi="Times New Roman"/>
          <w:i/>
          <w:noProof/>
          <w:sz w:val="24"/>
        </w:rPr>
        <w:t>туберкулоза</w:t>
      </w:r>
      <w:r>
        <w:rPr>
          <w:rFonts w:ascii="Times New Roman" w:hAnsi="Times New Roman"/>
          <w:noProof/>
          <w:sz w:val="24"/>
        </w:rPr>
        <w:t xml:space="preserve"> по говедата (в една държава членка от петте, които изпълняват съфинансирана от ЕС програма) и </w:t>
      </w:r>
      <w:r>
        <w:rPr>
          <w:rFonts w:ascii="Times New Roman" w:hAnsi="Times New Roman"/>
          <w:i/>
          <w:noProof/>
          <w:sz w:val="24"/>
        </w:rPr>
        <w:t>бруцелоза</w:t>
      </w:r>
      <w:r>
        <w:rPr>
          <w:rFonts w:ascii="Times New Roman" w:hAnsi="Times New Roman"/>
          <w:noProof/>
          <w:sz w:val="24"/>
        </w:rPr>
        <w:t xml:space="preserve"> по овцете и козите (в една държава членка и в някои райони на друга държава членка от шест, които изпълняват съфинансирани от ЕС програми). Макар показателите за салмонела и бруцелоза по животните да отчитат наличието на напредък, показателите по отношение на хората все още не са отчели очакваните резултати за понижаване на броя на случаите на болестта с 2 процента за тригодишния период на оценката.</w:t>
      </w:r>
    </w:p>
    <w:p>
      <w:pPr>
        <w:jc w:val="both"/>
        <w:rPr>
          <w:rFonts w:ascii="Times New Roman" w:hAnsi="Times New Roman" w:cs="Times New Roman"/>
          <w:noProof/>
          <w:sz w:val="24"/>
          <w:szCs w:val="24"/>
        </w:rPr>
      </w:pPr>
      <w:r>
        <w:rPr>
          <w:rFonts w:ascii="Times New Roman" w:hAnsi="Times New Roman"/>
          <w:noProof/>
          <w:sz w:val="24"/>
        </w:rPr>
        <w:t xml:space="preserve">Прилагането на спешни мерки при възникването на огнища на болести по животните също има решаваща роля за постигането на по-висок здравен статус на животните в ЕС, както и за защита на икономиката на ЕС от сериозна и мащабна ветеринарна криза. Благодарение на ранното установяване и на незабавното прилагане на съфинансирани от ЕС спешни мерки разпространението на всички неотдавнашни епидемии е успешно овладяно, а основните икономически последици — като например ограничения на търговията и спиране на износа — са избегнати. Неотдавнашен пример е борбата срещу епидемията от заразен нодуларен дерматит (ЗНД), инфекциозна вирусна болест по говедата, предавана чрез заразена слюнка или чрез насекоми, навлязла в ЕС от Турция. През 2016 г. тази болест засегна седем държави в Югоизточна Европа, включително Гърция, България и Балканския регион. Всички тези държави прибегнаха до масова ваксинация с подкрепата на запаса от ваксини на ЕС срещу ЗНД, създаден незабавно с цел справяне с извънредната ситуация. Тази кампания за ваксинация доведе до успешното ограничаване на разпространението на болестта: през 2016 г. не бяха засегнати други държави членки, а болестта не се появи отново в районите, в които беше извършена ваксинация. </w:t>
      </w:r>
    </w:p>
    <w:p>
      <w:pPr>
        <w:jc w:val="both"/>
        <w:rPr>
          <w:rFonts w:ascii="Times New Roman" w:hAnsi="Times New Roman" w:cs="Times New Roman"/>
          <w:b/>
          <w:i/>
          <w:noProof/>
          <w:sz w:val="24"/>
          <w:szCs w:val="24"/>
        </w:rPr>
      </w:pPr>
      <w:r>
        <w:rPr>
          <w:rFonts w:ascii="Times New Roman" w:hAnsi="Times New Roman"/>
          <w:b/>
          <w:i/>
          <w:noProof/>
          <w:sz w:val="24"/>
        </w:rPr>
        <w:t>Ефективност</w:t>
      </w:r>
    </w:p>
    <w:p>
      <w:pPr>
        <w:jc w:val="both"/>
        <w:rPr>
          <w:rFonts w:ascii="Times New Roman" w:hAnsi="Times New Roman" w:cs="Times New Roman"/>
          <w:noProof/>
          <w:sz w:val="24"/>
          <w:szCs w:val="24"/>
        </w:rPr>
      </w:pPr>
      <w:r>
        <w:rPr>
          <w:rFonts w:ascii="Times New Roman" w:hAnsi="Times New Roman"/>
          <w:noProof/>
          <w:sz w:val="24"/>
        </w:rPr>
        <w:t xml:space="preserve">Подобряването на здравния статус на животните e съпътствано от постепенно намаляване на необходимите финансови средства в областта, които в конкретния случаи на ветеринарните програми спаднаха с 11 милиона евро през оценявания тригодишен период. </w:t>
      </w:r>
    </w:p>
    <w:p>
      <w:pPr>
        <w:jc w:val="both"/>
        <w:rPr>
          <w:rFonts w:ascii="Times New Roman" w:hAnsi="Times New Roman" w:cs="Times New Roman"/>
          <w:noProof/>
          <w:sz w:val="24"/>
          <w:szCs w:val="24"/>
        </w:rPr>
      </w:pPr>
      <w:r>
        <w:rPr>
          <w:rFonts w:ascii="Times New Roman" w:hAnsi="Times New Roman"/>
          <w:noProof/>
          <w:sz w:val="24"/>
        </w:rPr>
        <w:t xml:space="preserve">С по-ниска степен на предвидимост се отличават разходите за спешни мерки, варираща през отделните години в резултат на фактори, които е трудно да бъдат предвидени и контролирани, включително изменението на климата и глобализацията на векторите, както и цикличната повторна поява на някои епидемични болести. </w:t>
      </w:r>
    </w:p>
    <w:p>
      <w:pPr>
        <w:jc w:val="both"/>
        <w:rPr>
          <w:rFonts w:ascii="Times New Roman" w:hAnsi="Times New Roman" w:cs="Times New Roman"/>
          <w:noProof/>
          <w:color w:val="000000"/>
        </w:rPr>
      </w:pPr>
      <w:r>
        <w:rPr>
          <w:rFonts w:ascii="Times New Roman" w:hAnsi="Times New Roman"/>
          <w:noProof/>
          <w:sz w:val="24"/>
        </w:rPr>
        <w:t>Следва да бъде подчертано, че според неотдавнашен специален доклад на Сметната палата</w:t>
      </w:r>
      <w:r>
        <w:rPr>
          <w:rFonts w:ascii="Times New Roman" w:hAnsi="Times New Roman"/>
          <w:noProof/>
          <w:sz w:val="24"/>
          <w:vertAlign w:val="superscript"/>
        </w:rPr>
        <w:footnoteReference w:id="5"/>
      </w:r>
      <w:r>
        <w:rPr>
          <w:rFonts w:ascii="Times New Roman" w:hAnsi="Times New Roman"/>
          <w:noProof/>
          <w:sz w:val="24"/>
        </w:rPr>
        <w:t>, публикуван през април 2016 г., стратегията на Комисията относно болестите по животните е добре обоснована и добре разработена, включително добра рамка за приоритети за разпределяне на бюджетните ресурси по приоритетните програми. Според констатациите в него програмите на държавите членки отговарят на необходимите критерии, обикновено са добре разработени и изпълнени. Освен това се оказва, че държавите членки разполагат с адекватни системи за идентифициране на появата на огнища на болести по животните и за улесняване на тяхното ликвидиране. Следва обаче да се отбележи, че в доклада на Сметната палата също се потвърждава липсата на международни стандартни модели и икономически показатели, което ограничава възможността на Комисията да покаже по-добре икономическата ефективност на ветеринарните разходи.</w:t>
      </w:r>
    </w:p>
    <w:p>
      <w:pPr>
        <w:jc w:val="both"/>
        <w:rPr>
          <w:rFonts w:ascii="Times New Roman" w:hAnsi="Times New Roman" w:cs="Times New Roman"/>
          <w:b/>
          <w:i/>
          <w:noProof/>
          <w:sz w:val="24"/>
          <w:szCs w:val="24"/>
        </w:rPr>
      </w:pPr>
      <w:r>
        <w:rPr>
          <w:rFonts w:ascii="Times New Roman" w:hAnsi="Times New Roman"/>
          <w:b/>
          <w:i/>
          <w:noProof/>
          <w:sz w:val="24"/>
        </w:rPr>
        <w:t>Добавена стойност от ЕС</w:t>
      </w:r>
    </w:p>
    <w:p>
      <w:pPr>
        <w:jc w:val="both"/>
        <w:rPr>
          <w:rFonts w:ascii="Times New Roman" w:hAnsi="Times New Roman" w:cs="Times New Roman"/>
          <w:noProof/>
          <w:sz w:val="24"/>
          <w:szCs w:val="24"/>
        </w:rPr>
      </w:pPr>
      <w:r>
        <w:rPr>
          <w:rFonts w:ascii="Times New Roman" w:hAnsi="Times New Roman"/>
          <w:noProof/>
          <w:sz w:val="24"/>
        </w:rPr>
        <w:t>Постигането на по-висок здравен статус на животните е резултат от правни мерки, предприети на равнището на ЕС, благодарение на техническата и на финансовата подкрепа, предоставена от ЕС на държавите членки. Когато е налице съмнение или потвърждение за дадена болест, в рамките на системата за спешни мерки незабавно се предприемат редица действия за предотвратяване и контрол, включително временното затваряне на граници за движението на възприемчиви пратки и регионализацията</w:t>
      </w:r>
      <w:r>
        <w:rPr>
          <w:rFonts w:ascii="Times New Roman" w:hAnsi="Times New Roman"/>
          <w:noProof/>
          <w:sz w:val="24"/>
          <w:vertAlign w:val="superscript"/>
        </w:rPr>
        <w:footnoteReference w:id="6"/>
      </w:r>
      <w:r>
        <w:rPr>
          <w:rFonts w:ascii="Times New Roman" w:hAnsi="Times New Roman"/>
          <w:noProof/>
          <w:sz w:val="24"/>
        </w:rPr>
        <w:t xml:space="preserve"> на болестта. Разнообразието от мерки, които могат да бъдат въведени за справяне с болестите по животните, и фактът, че много от тези болести не се ограничават в рамките на границите, налагат наличието на централизирана система за управление с цел правилно координиране и организиране на изпълнението на конкретни действия в държавите членки. </w:t>
      </w:r>
    </w:p>
    <w:p>
      <w:pPr>
        <w:jc w:val="both"/>
        <w:rPr>
          <w:rFonts w:ascii="Times New Roman" w:hAnsi="Times New Roman" w:cs="Times New Roman"/>
          <w:noProof/>
          <w:sz w:val="24"/>
          <w:szCs w:val="24"/>
        </w:rPr>
      </w:pPr>
      <w:r>
        <w:rPr>
          <w:rFonts w:ascii="Times New Roman" w:hAnsi="Times New Roman"/>
          <w:noProof/>
          <w:sz w:val="24"/>
        </w:rPr>
        <w:t>Бюджетните ограничения в някои държави членки, особено в държавите, които изпитват затруднения поради икономическата криза или други ограничения, могат да възпрепятстват или да забавят изпълнението на мерките, необходими за овладяването на огнището на дадена болест. Поради това чрез финансовото участие на ЕС се подпомага системата на ЕС за управление на кризи в случай на възникване на огнище</w:t>
      </w:r>
      <w:r>
        <w:rPr>
          <w:rStyle w:val="CommentReference"/>
          <w:noProof/>
        </w:rPr>
        <w:t xml:space="preserve">. </w:t>
      </w:r>
      <w:r>
        <w:rPr>
          <w:rFonts w:ascii="Times New Roman" w:hAnsi="Times New Roman"/>
          <w:noProof/>
          <w:sz w:val="24"/>
        </w:rPr>
        <w:t>Добър пример за координация в ЕС е осъщественото неотдавна управление на равнището на ЕС на огнището на африканска чума по свинете, което достигна ЕС от Русия през 2014 г. Още в най-ранните етапи на епидемията — за която не съществува ваксина — Комисията активно популяризира обща стратегия сред засегнатите държави членки, съседните трети държави и граничните държави членки в риск въз основа на законодателството на ЕС и най-добрите научни познания. Комисията предостави техническо и финансово подпомагане за конкретни целенасочени мерки в подкрепа на политиката. Това координирано действие доведе до ограничаване на разпространението на болестта през периода, обхванат от настоящата оценка, като разходите както за бюджета на ЕС, така и за националните бюджети бяха ограничени. Чрез него беше избегнато и сериозно нарушаване на търговията както в рамките на ЕС, така и в държавите извън ЕС.</w:t>
      </w:r>
    </w:p>
    <w:p>
      <w:pPr>
        <w:jc w:val="both"/>
        <w:rPr>
          <w:rFonts w:ascii="Times New Roman" w:hAnsi="Times New Roman" w:cs="Times New Roman"/>
          <w:b/>
          <w:noProof/>
          <w:sz w:val="24"/>
          <w:szCs w:val="24"/>
        </w:rPr>
      </w:pPr>
      <w:r>
        <w:rPr>
          <w:rFonts w:ascii="Times New Roman" w:hAnsi="Times New Roman"/>
          <w:b/>
          <w:noProof/>
          <w:sz w:val="24"/>
        </w:rPr>
        <w:t>3.1.2</w:t>
      </w:r>
      <w:r>
        <w:rPr>
          <w:noProof/>
        </w:rPr>
        <w:tab/>
      </w:r>
      <w:r>
        <w:rPr>
          <w:rFonts w:ascii="Times New Roman" w:hAnsi="Times New Roman"/>
          <w:b/>
          <w:noProof/>
          <w:sz w:val="24"/>
        </w:rPr>
        <w:t>Здраве на растенията</w:t>
      </w:r>
    </w:p>
    <w:p>
      <w:pPr>
        <w:jc w:val="both"/>
        <w:rPr>
          <w:rFonts w:ascii="Times New Roman" w:hAnsi="Times New Roman" w:cs="Times New Roman"/>
          <w:b/>
          <w:i/>
          <w:noProof/>
          <w:sz w:val="24"/>
          <w:szCs w:val="24"/>
        </w:rPr>
      </w:pPr>
      <w:r>
        <w:rPr>
          <w:rFonts w:ascii="Times New Roman" w:hAnsi="Times New Roman"/>
          <w:b/>
          <w:i/>
          <w:noProof/>
          <w:sz w:val="24"/>
        </w:rPr>
        <w:t>Постигане на целите</w:t>
      </w:r>
    </w:p>
    <w:p>
      <w:pPr>
        <w:jc w:val="both"/>
        <w:rPr>
          <w:rFonts w:ascii="Times New Roman" w:hAnsi="Times New Roman" w:cs="Times New Roman"/>
          <w:noProof/>
          <w:sz w:val="24"/>
          <w:szCs w:val="24"/>
        </w:rPr>
      </w:pPr>
      <w:r>
        <w:rPr>
          <w:rFonts w:ascii="Times New Roman" w:hAnsi="Times New Roman"/>
          <w:noProof/>
          <w:sz w:val="24"/>
        </w:rPr>
        <w:t>Въпреки че финансова подкрепа от ЕС за прилагането на спешни мерки по отношение на здравето на растенията се предоставя от много години, финансирането на програми за наблюдение на здравето на растенията все още е в първоначален етап.</w:t>
      </w:r>
    </w:p>
    <w:p>
      <w:pPr>
        <w:jc w:val="both"/>
        <w:rPr>
          <w:rFonts w:ascii="Times New Roman" w:hAnsi="Times New Roman" w:cs="Times New Roman"/>
          <w:noProof/>
          <w:sz w:val="24"/>
          <w:szCs w:val="24"/>
        </w:rPr>
      </w:pPr>
      <w:r>
        <w:rPr>
          <w:rFonts w:ascii="Times New Roman" w:hAnsi="Times New Roman"/>
          <w:noProof/>
          <w:sz w:val="24"/>
        </w:rPr>
        <w:t xml:space="preserve">Програми за наблюдение бяха създадени за първи път през 2015 г.; ето защо оценката на техните резултати е ограничена поради краткия период и липсата на предишни мерки. Въпреки това държавите — членки на ЕС, приветстваха тяхното въвеждане още през първата година, като 17 държави от ЕС представиха програма през 2015 г., а 22 — през 2016 г. През 2015 г. изпълнението на програмите за наблюдение позволи установяването на редица нововъзникващи рискове на територията на Съюза, като например бактерията по растенията </w:t>
      </w:r>
      <w:r>
        <w:rPr>
          <w:rFonts w:ascii="Times New Roman" w:hAnsi="Times New Roman"/>
          <w:i/>
          <w:noProof/>
          <w:sz w:val="24"/>
        </w:rPr>
        <w:t>Xylella fastidiosa.</w:t>
      </w:r>
    </w:p>
    <w:p>
      <w:pPr>
        <w:jc w:val="both"/>
        <w:rPr>
          <w:rFonts w:ascii="Times New Roman" w:hAnsi="Times New Roman" w:cs="Times New Roman"/>
          <w:noProof/>
          <w:sz w:val="24"/>
          <w:szCs w:val="24"/>
        </w:rPr>
      </w:pPr>
      <w:r>
        <w:rPr>
          <w:rFonts w:ascii="Times New Roman" w:hAnsi="Times New Roman"/>
          <w:noProof/>
          <w:sz w:val="24"/>
        </w:rPr>
        <w:t>Наличният бюджет за подкрепа на изпълнението на спешните мерки и програмите за наблюдение по отношение на присъствието на вредители представлява ограничена част от общите разходи от бюджета по Регламента относно ОФР. През 2014 г. разходите за изпълнение на спешни мерки са възлизали на 7,7 милиона евро, а през 2015 г. — на 12,2 милиона евро, а разходите за програми за наблюдение през 2015 г. са възлизали на 4,2 милиона евро.</w:t>
      </w:r>
    </w:p>
    <w:p>
      <w:pPr>
        <w:jc w:val="both"/>
        <w:rPr>
          <w:rFonts w:ascii="Times New Roman" w:hAnsi="Times New Roman" w:cs="Times New Roman"/>
          <w:noProof/>
          <w:sz w:val="24"/>
          <w:szCs w:val="24"/>
        </w:rPr>
      </w:pPr>
      <w:r>
        <w:rPr>
          <w:rFonts w:ascii="Times New Roman" w:hAnsi="Times New Roman"/>
          <w:noProof/>
          <w:sz w:val="24"/>
        </w:rPr>
        <w:t xml:space="preserve">За проследяване на резултатите от изпълнението на фитосанитарни спешни мерки Комисията наблюдава броя на случаите във връзка с подбрани приоритетни вредители, включително някои опустошителни патогени като </w:t>
      </w:r>
      <w:r>
        <w:rPr>
          <w:rFonts w:ascii="Times New Roman" w:hAnsi="Times New Roman"/>
          <w:i/>
          <w:noProof/>
          <w:sz w:val="24"/>
        </w:rPr>
        <w:t>Xylella fastidiosa</w:t>
      </w:r>
      <w:r>
        <w:rPr>
          <w:rFonts w:ascii="Times New Roman" w:hAnsi="Times New Roman"/>
          <w:noProof/>
          <w:sz w:val="24"/>
        </w:rPr>
        <w:t>. В областта на здравето на растенията целта за ликвидиране при огнище е възможно да бъде постигната само ако незабавно се предприемат решителни действия, а не когато даден вредител вече е ендемичен за дадена област. Трудностите за постигане на ликвидиране може да се дължат на липсата на ефективни решения за третиране, по-високия брой възприемчиви растителни видове, демографската динамика, както и жизнения цикъл на вредителите и техните вектори, присъстващи в гори, паркове и насаждения с висока икономическа, социална и екологична стойност. В случаите, при които ликвидирането не е възможно, единствената алтернатива при настоящото равнище на науката е ограничаването на разпространението. Това подчертава важността на ранното откриване с помощта на програми за наблюдение.</w:t>
      </w:r>
    </w:p>
    <w:p>
      <w:pPr>
        <w:keepNext/>
        <w:keepLines/>
        <w:jc w:val="both"/>
        <w:rPr>
          <w:rFonts w:ascii="Times New Roman" w:hAnsi="Times New Roman" w:cs="Times New Roman"/>
          <w:b/>
          <w:i/>
          <w:noProof/>
          <w:sz w:val="24"/>
          <w:szCs w:val="24"/>
        </w:rPr>
      </w:pPr>
      <w:r>
        <w:rPr>
          <w:rFonts w:ascii="Times New Roman" w:hAnsi="Times New Roman"/>
          <w:b/>
          <w:i/>
          <w:noProof/>
          <w:sz w:val="24"/>
        </w:rPr>
        <w:t>Ефективност</w:t>
      </w:r>
    </w:p>
    <w:p>
      <w:pPr>
        <w:keepNext/>
        <w:keepLines/>
        <w:jc w:val="both"/>
        <w:rPr>
          <w:rFonts w:ascii="Times New Roman" w:hAnsi="Times New Roman" w:cs="Times New Roman"/>
          <w:noProof/>
          <w:sz w:val="24"/>
          <w:szCs w:val="24"/>
        </w:rPr>
      </w:pPr>
      <w:r>
        <w:rPr>
          <w:rFonts w:ascii="Times New Roman" w:hAnsi="Times New Roman"/>
          <w:noProof/>
          <w:sz w:val="24"/>
        </w:rPr>
        <w:t>Целта на изпълнението на програмите за наблюдение е да се установи наличието на приоритетни вредители на територията на ЕС. Във връзка с това в настоящата МФР се предвижда постепенно увеличаване на финансовите ресурси в подкрепа на целта тези наблюдения да покрият по-голяма територия на Съюза до 2020 г.</w:t>
      </w:r>
    </w:p>
    <w:p>
      <w:pPr>
        <w:jc w:val="both"/>
        <w:rPr>
          <w:rFonts w:ascii="Times New Roman" w:hAnsi="Times New Roman" w:cs="Times New Roman"/>
          <w:noProof/>
          <w:sz w:val="24"/>
          <w:szCs w:val="24"/>
        </w:rPr>
      </w:pPr>
      <w:r>
        <w:rPr>
          <w:rFonts w:ascii="Times New Roman" w:hAnsi="Times New Roman"/>
          <w:noProof/>
          <w:sz w:val="24"/>
        </w:rPr>
        <w:t xml:space="preserve">Както при ветеринарните спешни мерки, разходите за фитосанитарни спешни мерки са променливи и предвидими в по-малка степен поради възникващите рискове, като например въздействието на изменението на климата, световната търговия и движението на пътници по целия свят. През периода 2014—2016 г. разходите бяха свързани предимно с четири основни вредителя: спешните мерки бяха насочени към нематода по боровата дървесина и </w:t>
      </w:r>
      <w:r>
        <w:rPr>
          <w:rFonts w:ascii="Times New Roman" w:hAnsi="Times New Roman"/>
          <w:i/>
          <w:noProof/>
          <w:sz w:val="24"/>
        </w:rPr>
        <w:t>Xylella fastidiosa</w:t>
      </w:r>
      <w:r>
        <w:rPr>
          <w:rFonts w:ascii="Times New Roman" w:hAnsi="Times New Roman"/>
          <w:noProof/>
          <w:sz w:val="24"/>
        </w:rPr>
        <w:t xml:space="preserve">, както и </w:t>
      </w:r>
      <w:r>
        <w:rPr>
          <w:rFonts w:ascii="Times New Roman" w:hAnsi="Times New Roman"/>
          <w:i/>
          <w:noProof/>
          <w:sz w:val="24"/>
        </w:rPr>
        <w:t>Anoplophora glabripennis</w:t>
      </w:r>
      <w:r>
        <w:rPr>
          <w:rFonts w:ascii="Times New Roman" w:hAnsi="Times New Roman"/>
          <w:noProof/>
          <w:sz w:val="24"/>
        </w:rPr>
        <w:t xml:space="preserve"> и </w:t>
      </w:r>
      <w:r>
        <w:rPr>
          <w:rFonts w:ascii="Times New Roman" w:hAnsi="Times New Roman"/>
          <w:i/>
          <w:noProof/>
          <w:sz w:val="24"/>
        </w:rPr>
        <w:t>Pomacea insularum</w:t>
      </w:r>
      <w:r>
        <w:rPr>
          <w:rFonts w:ascii="Times New Roman" w:hAnsi="Times New Roman"/>
          <w:noProof/>
          <w:sz w:val="24"/>
        </w:rPr>
        <w:t xml:space="preserve">, във връзка с които бяха извършени почти всички плащания (91 %). По време на разглеждания период финансовата подкрепа от ЕС за изпълнението на спешни мерки допринесе за предотвратяване на по-нататъшното внасяне и разпространение на горепосочените вредители на останалата територия на Съюза. </w:t>
      </w:r>
    </w:p>
    <w:p>
      <w:pPr>
        <w:jc w:val="both"/>
        <w:rPr>
          <w:rFonts w:ascii="Times New Roman" w:hAnsi="Times New Roman" w:cs="Times New Roman"/>
          <w:b/>
          <w:i/>
          <w:noProof/>
          <w:sz w:val="24"/>
          <w:szCs w:val="24"/>
        </w:rPr>
      </w:pPr>
      <w:r>
        <w:rPr>
          <w:rFonts w:ascii="Times New Roman" w:hAnsi="Times New Roman"/>
          <w:b/>
          <w:i/>
          <w:noProof/>
          <w:sz w:val="24"/>
        </w:rPr>
        <w:t>Добавена стойност от ЕС</w:t>
      </w:r>
    </w:p>
    <w:p>
      <w:pPr>
        <w:jc w:val="both"/>
        <w:rPr>
          <w:rFonts w:ascii="Times New Roman" w:hAnsi="Times New Roman" w:cs="Times New Roman"/>
          <w:noProof/>
          <w:sz w:val="24"/>
          <w:szCs w:val="24"/>
        </w:rPr>
      </w:pPr>
      <w:r>
        <w:rPr>
          <w:rFonts w:ascii="Times New Roman" w:hAnsi="Times New Roman"/>
          <w:noProof/>
          <w:sz w:val="24"/>
        </w:rPr>
        <w:t>Намесата на ЕС подпомага управлението на огнища, касаещи здравето на растенията, като ЕС предоставя необходимите финансови средства на равнището на държавите членки за прилагане на спешни мерки с цел предотвратяване на по-нататъшното разпространение на съответните вредители на останалата територия на Съюза.</w:t>
      </w:r>
    </w:p>
    <w:p>
      <w:pPr>
        <w:jc w:val="both"/>
        <w:rPr>
          <w:rFonts w:ascii="Times New Roman" w:hAnsi="Times New Roman" w:cs="Times New Roman"/>
          <w:noProof/>
          <w:sz w:val="24"/>
          <w:szCs w:val="24"/>
        </w:rPr>
      </w:pPr>
      <w:r>
        <w:rPr>
          <w:rFonts w:ascii="Times New Roman" w:hAnsi="Times New Roman"/>
          <w:noProof/>
          <w:sz w:val="24"/>
        </w:rPr>
        <w:t xml:space="preserve">Освен това чрез подкрепа от Съюза се улеснява координацията между държавите членки с цел наблюдение на вредителите по растенията, които заслужават по-голямо внимание поради тяхното икономическо, екологично и социално въздействие. </w:t>
      </w:r>
    </w:p>
    <w:p>
      <w:pPr>
        <w:jc w:val="both"/>
        <w:rPr>
          <w:rFonts w:ascii="Times New Roman" w:hAnsi="Times New Roman" w:cs="Times New Roman"/>
          <w:noProof/>
          <w:sz w:val="24"/>
          <w:szCs w:val="24"/>
        </w:rPr>
      </w:pPr>
      <w:r>
        <w:rPr>
          <w:rFonts w:ascii="Times New Roman" w:hAnsi="Times New Roman"/>
          <w:noProof/>
          <w:sz w:val="24"/>
        </w:rPr>
        <w:t>Като цяло изпълнението на съфинансирани от ЕС програми за наблюдение и спешни мерки на територията на ЕС допринася за опазване на селскостопанското производство чрез защита на здравето на растенията, както и защита на биологичното разнообразие и горите в допълнение към конкурентоспособността в областта на селското стопанство.</w:t>
      </w:r>
    </w:p>
    <w:p>
      <w:pPr>
        <w:jc w:val="both"/>
        <w:rPr>
          <w:rFonts w:ascii="Times New Roman" w:hAnsi="Times New Roman" w:cs="Times New Roman"/>
          <w:b/>
          <w:noProof/>
          <w:sz w:val="24"/>
          <w:szCs w:val="24"/>
        </w:rPr>
      </w:pPr>
      <w:r>
        <w:rPr>
          <w:rFonts w:ascii="Times New Roman" w:hAnsi="Times New Roman"/>
          <w:b/>
          <w:noProof/>
          <w:sz w:val="24"/>
        </w:rPr>
        <w:t>3.1.3</w:t>
      </w:r>
      <w:r>
        <w:rPr>
          <w:noProof/>
        </w:rPr>
        <w:tab/>
      </w:r>
      <w:r>
        <w:rPr>
          <w:rFonts w:ascii="Times New Roman" w:hAnsi="Times New Roman"/>
          <w:b/>
          <w:noProof/>
          <w:sz w:val="24"/>
        </w:rPr>
        <w:t>Официален контрол</w:t>
      </w:r>
    </w:p>
    <w:p>
      <w:pPr>
        <w:jc w:val="both"/>
        <w:rPr>
          <w:rFonts w:ascii="Times New Roman" w:hAnsi="Times New Roman" w:cs="Times New Roman"/>
          <w:b/>
          <w:i/>
          <w:noProof/>
          <w:sz w:val="24"/>
          <w:szCs w:val="24"/>
        </w:rPr>
      </w:pPr>
      <w:r>
        <w:rPr>
          <w:rFonts w:ascii="Times New Roman" w:hAnsi="Times New Roman"/>
          <w:b/>
          <w:i/>
          <w:noProof/>
          <w:sz w:val="24"/>
        </w:rPr>
        <w:t>Постигане на целите</w:t>
      </w:r>
    </w:p>
    <w:p>
      <w:pPr>
        <w:jc w:val="both"/>
        <w:rPr>
          <w:rFonts w:ascii="Times New Roman" w:hAnsi="Times New Roman" w:cs="Times New Roman"/>
          <w:noProof/>
          <w:sz w:val="24"/>
          <w:szCs w:val="24"/>
        </w:rPr>
      </w:pPr>
      <w:r>
        <w:rPr>
          <w:rFonts w:ascii="Times New Roman" w:hAnsi="Times New Roman"/>
          <w:noProof/>
          <w:sz w:val="24"/>
        </w:rPr>
        <w:t>Финансовата подкрепа от ЕС за системата за официален контрол е насочена към два основни инструмента, като покрива почти 100 % от извършените допустими разходи: дейностите по изследване, извършвани от мрежата от 43 РЛЕС, и обученията, предоставяни в редица приоритетни области на безопасността на храните както от РЛЕС, така и в контекста на инициативата BTSF. Бяха разработени четири оперативни показатели</w:t>
      </w:r>
      <w:r>
        <w:rPr>
          <w:rStyle w:val="FootnoteReference"/>
          <w:rFonts w:ascii="Times New Roman" w:hAnsi="Times New Roman"/>
          <w:noProof/>
          <w:sz w:val="24"/>
        </w:rPr>
        <w:footnoteReference w:id="7"/>
      </w:r>
      <w:r>
        <w:rPr>
          <w:rFonts w:ascii="Times New Roman" w:hAnsi="Times New Roman"/>
          <w:noProof/>
          <w:sz w:val="24"/>
        </w:rPr>
        <w:t xml:space="preserve"> за мониторинг на изпълнението на основните съфинансирани мерки в областта на официалния контрол.</w:t>
      </w:r>
    </w:p>
    <w:p>
      <w:pPr>
        <w:jc w:val="both"/>
        <w:rPr>
          <w:rFonts w:ascii="Times New Roman" w:hAnsi="Times New Roman" w:cs="Times New Roman"/>
          <w:noProof/>
          <w:sz w:val="24"/>
          <w:szCs w:val="24"/>
        </w:rPr>
      </w:pPr>
      <w:r>
        <w:rPr>
          <w:rFonts w:ascii="Times New Roman" w:hAnsi="Times New Roman"/>
          <w:noProof/>
          <w:sz w:val="24"/>
        </w:rPr>
        <w:t>РЛЕС допринесоха, наред с другото, за непрекъснатото модернизиране на диагностичните инструменти за своевременно идентифициране на патогени. Това е от решаващо значение за уеднаквеното извършване на контрол в целия ЕС, тъй като така се гарантира увереност в надеждността на резултатите от изследванията и еднакви условия на конкуренция. Средната стойност на успеваемост от 85 % от участващите лаборатории в изпитванията за пригодност</w:t>
      </w:r>
      <w:r>
        <w:rPr>
          <w:rFonts w:ascii="Times New Roman" w:hAnsi="Times New Roman"/>
          <w:noProof/>
          <w:sz w:val="24"/>
          <w:vertAlign w:val="superscript"/>
        </w:rPr>
        <w:footnoteReference w:id="8"/>
      </w:r>
      <w:r>
        <w:rPr>
          <w:rFonts w:ascii="Times New Roman" w:hAnsi="Times New Roman"/>
          <w:noProof/>
          <w:sz w:val="24"/>
        </w:rPr>
        <w:t>, извършени от мрежата на РЛЕС показва успешното прилагане на методите за изпитване на референтните лаборатории в целия ЕС. Националните референтни лаборатории, участващи в системата за официален контрол, могат да усъвършенстват експертните си познания посредством текущо обучение с годишен семинар, организиран от всяка РЛЕС. Средната степен на удовлетвореност на участниците по отношение на съдържанието на обучението е над 87 %.</w:t>
      </w:r>
    </w:p>
    <w:p>
      <w:pPr>
        <w:jc w:val="both"/>
        <w:rPr>
          <w:rFonts w:ascii="Times New Roman" w:hAnsi="Times New Roman" w:cs="Times New Roman"/>
          <w:noProof/>
          <w:sz w:val="24"/>
          <w:szCs w:val="24"/>
        </w:rPr>
      </w:pPr>
      <w:r>
        <w:rPr>
          <w:rFonts w:ascii="Times New Roman" w:hAnsi="Times New Roman"/>
          <w:noProof/>
          <w:sz w:val="24"/>
        </w:rPr>
        <w:t>През разглеждания тригодишен период инициативата BTSF обхвана 52 теми от основно значение за областите на ОФР. Участниците както от държавите — членки на ЕС, така и от трети държави определиха програмата като полезна, като степента на удовлетвореност е над 90 % през всички разглеждани години. Освен това равнището на успех при изследванията, извършени от участниците след обучението, е много високо, като възлиза на около 88 %. Обученията спомогнаха за постигането на общо разбиране във всички държави членки по отношение на техните задължения и най-добрите начини за прилагане на съответното законодателство на ЕС. Програмата BTSF също се оказа полезна за удовлетворяването на нововъзникващи нужди, по-специално по време на кризисни събития, когато допринесе както за предотвратяването на кризи, така и за готовността за действие при кризи. Конкретен пример е обучението по BTSF за разследвания при огнища на токсични инфекции от хранителен произход, което беше организирано и през трите години от разглеждания период, като бяха засегнати теми като готовността за действие при възникване на огнища, справянето с огнища и комуникацията при кризи и беше поставен акцент върху националните екипи в областта на общественото здраве, ветеринарните органи и органите по безопасност на храните.</w:t>
      </w:r>
    </w:p>
    <w:p>
      <w:pPr>
        <w:jc w:val="both"/>
        <w:rPr>
          <w:rFonts w:ascii="Times New Roman" w:hAnsi="Times New Roman" w:cs="Times New Roman"/>
          <w:noProof/>
          <w:sz w:val="24"/>
          <w:szCs w:val="24"/>
        </w:rPr>
      </w:pPr>
      <w:r>
        <w:rPr>
          <w:rFonts w:ascii="Times New Roman" w:hAnsi="Times New Roman"/>
          <w:b/>
          <w:i/>
          <w:noProof/>
          <w:sz w:val="24"/>
        </w:rPr>
        <w:t>Ефективност</w:t>
      </w:r>
    </w:p>
    <w:p>
      <w:pPr>
        <w:jc w:val="both"/>
        <w:rPr>
          <w:rFonts w:ascii="Times New Roman" w:hAnsi="Times New Roman" w:cs="Times New Roman"/>
          <w:noProof/>
          <w:sz w:val="24"/>
          <w:szCs w:val="24"/>
        </w:rPr>
      </w:pPr>
      <w:r>
        <w:rPr>
          <w:rFonts w:ascii="Times New Roman" w:hAnsi="Times New Roman"/>
          <w:noProof/>
          <w:sz w:val="24"/>
        </w:rPr>
        <w:t xml:space="preserve">Тези две дейности се финансират изцяло от ЕС, като за всяка от тях годишните разходи възлизат на около 15 милиона евро, предоставяни от бюджета на ЕС. Тези ограничени разходи все пак позволиха на РЛЕС да извършват висококачествени дейности по изследване и да обучават стотици НРЛ годишно, а за година по линия на BTSF бяха обучени около 6000 длъжностни лица от националните компетентни органи, участващи в официалния контрол.  </w:t>
      </w:r>
    </w:p>
    <w:p>
      <w:pPr>
        <w:jc w:val="both"/>
        <w:rPr>
          <w:rFonts w:ascii="Times New Roman" w:hAnsi="Times New Roman" w:cs="Times New Roman"/>
          <w:b/>
          <w:i/>
          <w:noProof/>
          <w:sz w:val="24"/>
          <w:szCs w:val="24"/>
        </w:rPr>
      </w:pPr>
      <w:r>
        <w:rPr>
          <w:rFonts w:ascii="Times New Roman" w:hAnsi="Times New Roman"/>
          <w:b/>
          <w:i/>
          <w:noProof/>
          <w:sz w:val="24"/>
        </w:rPr>
        <w:t>Добавена стойност от ЕС</w:t>
      </w:r>
    </w:p>
    <w:p>
      <w:pPr>
        <w:jc w:val="both"/>
        <w:rPr>
          <w:rFonts w:ascii="Times New Roman" w:hAnsi="Times New Roman" w:cs="Times New Roman"/>
          <w:noProof/>
          <w:sz w:val="24"/>
          <w:szCs w:val="24"/>
        </w:rPr>
      </w:pPr>
      <w:r>
        <w:rPr>
          <w:rFonts w:ascii="Times New Roman" w:hAnsi="Times New Roman"/>
          <w:noProof/>
          <w:sz w:val="24"/>
        </w:rPr>
        <w:t>Добавената стойност от ЕС, създадена чрез дейностите на РЛЕС и програмите BTSF, е свързана с естеството на тези дейности: чрез мрежата от лаборатории се гарантира, че всички държави — членки на ЕС, работят в обхвата на съгласувана и уеднаквена нормативна уредба, а програмата за обучение на ЕС насърчава общ подход по отношение на прилагането на законодателството на ЕС. Този принос за хармонизирането на правилата на равнището на ЕС и обмена на знания и експертен опит в областта на безопасността на храните и свързаните области е важен пример за положително взаимодействие в рамките на ЕС, което не би могло да бъде постигнато чрез изолирани усилия на национално равнище и без финансовата подкрепа от ЕС.</w:t>
      </w:r>
    </w:p>
    <w:p>
      <w:pPr>
        <w:keepNext/>
        <w:keepLines/>
        <w:jc w:val="both"/>
        <w:rPr>
          <w:rFonts w:ascii="Times New Roman" w:hAnsi="Times New Roman" w:cs="Times New Roman"/>
          <w:b/>
          <w:noProof/>
          <w:sz w:val="24"/>
          <w:szCs w:val="24"/>
        </w:rPr>
      </w:pPr>
      <w:r>
        <w:rPr>
          <w:rFonts w:ascii="Times New Roman" w:hAnsi="Times New Roman"/>
          <w:b/>
          <w:noProof/>
          <w:sz w:val="24"/>
        </w:rPr>
        <w:t>3.1.4</w:t>
      </w:r>
      <w:r>
        <w:rPr>
          <w:noProof/>
        </w:rPr>
        <w:tab/>
      </w:r>
      <w:r>
        <w:rPr>
          <w:rFonts w:ascii="Times New Roman" w:hAnsi="Times New Roman"/>
          <w:b/>
          <w:noProof/>
          <w:sz w:val="24"/>
        </w:rPr>
        <w:t>Безопасност на храните</w:t>
      </w:r>
    </w:p>
    <w:p>
      <w:pPr>
        <w:keepNext/>
        <w:keepLines/>
        <w:jc w:val="both"/>
        <w:rPr>
          <w:rFonts w:ascii="Times New Roman" w:hAnsi="Times New Roman" w:cs="Times New Roman"/>
          <w:noProof/>
          <w:sz w:val="24"/>
          <w:szCs w:val="24"/>
        </w:rPr>
      </w:pPr>
      <w:r>
        <w:rPr>
          <w:rFonts w:ascii="Times New Roman" w:hAnsi="Times New Roman"/>
          <w:noProof/>
          <w:sz w:val="24"/>
        </w:rPr>
        <w:t>Постигането на целта за безопасност на храните трябва да бъде разглеждано в цялостен контекст, като се има предвид, че е хоризонтална цел, резултат от прилагането и изпълнението на регулаторната уредба в съчетание с участието на ЕС и националните разходни програми. Здравеопазването на животните, здравето на растенията и дейностите за официален контрол допринасят за наличието на висока степен на безопасност на храните и системите за производство на храни в интерес на всички граждани на ЕС. За безопасността на храните е необходимо наличие на безопасни и здрави животни и растения, както и на система за контрол с висок стандарт. Следователно е налице пряка и задължителна връзка с постигането на висока степен на здравеопазване на животните, здраве на растенията и официален контрол, за да бъде изпълнено това изискване.</w:t>
      </w:r>
    </w:p>
    <w:p>
      <w:pPr>
        <w:jc w:val="both"/>
        <w:rPr>
          <w:rFonts w:ascii="Times New Roman" w:hAnsi="Times New Roman" w:cs="Times New Roman"/>
          <w:noProof/>
          <w:sz w:val="24"/>
          <w:szCs w:val="24"/>
        </w:rPr>
      </w:pPr>
      <w:r>
        <w:rPr>
          <w:rFonts w:ascii="Times New Roman" w:hAnsi="Times New Roman"/>
          <w:noProof/>
          <w:sz w:val="24"/>
        </w:rPr>
        <w:t>Ефективното прилагане на изискванията на ЕС в горепосочените области в рамките на ЕС и в държавите извън ЕС, които изнасят животни, растения и продукти в ЕС, е от основно значение за поддържането на висока степен на безопасност на храните.</w:t>
      </w:r>
    </w:p>
    <w:p>
      <w:pPr>
        <w:jc w:val="both"/>
        <w:rPr>
          <w:rFonts w:ascii="Times New Roman" w:hAnsi="Times New Roman" w:cs="Times New Roman"/>
          <w:noProof/>
          <w:sz w:val="24"/>
          <w:szCs w:val="24"/>
        </w:rPr>
      </w:pPr>
      <w:r>
        <w:rPr>
          <w:rFonts w:ascii="Times New Roman" w:hAnsi="Times New Roman"/>
          <w:noProof/>
          <w:sz w:val="24"/>
        </w:rPr>
        <w:t xml:space="preserve">Високите стандарти на ЕС едновременно улесняват търговията в рамките на ЕС и разкриват пред европейските предприятия възможности да се конкурират на световния пазар. Високите равнища на безопасност са от основно значение за стабилността на пазарите и за доверието на потребителите и същевременно спестяват на Европа икономическите разходи и разходите за човешки ресурси, свързани с появата на огнища на болести. </w:t>
      </w:r>
    </w:p>
    <w:p>
      <w:pPr>
        <w:jc w:val="both"/>
        <w:rPr>
          <w:rFonts w:ascii="Times New Roman" w:hAnsi="Times New Roman" w:cs="Times New Roman"/>
          <w:noProof/>
          <w:sz w:val="24"/>
          <w:szCs w:val="24"/>
        </w:rPr>
      </w:pPr>
      <w:r>
        <w:rPr>
          <w:rFonts w:ascii="Times New Roman" w:hAnsi="Times New Roman"/>
          <w:noProof/>
          <w:sz w:val="24"/>
        </w:rPr>
        <w:t>През обхванатия от оценката период службите на Комисията извършваха около 200 годишни одита и инспекции. Те допринесоха за определянето на няколко основни приоритета на Комисията, а именно: нормативна среда, която осигурява работни места, растеж и инвестиции чрез гарантиране на високи равнища на безопасност с подкрепата на стабилни системи за контрол и прилагане; по-развит и по-справедлив вътрешен пазар чрез осигуряване на еднакви условия на конкуренция, при което гражданите и предприятията могат да са сигурни в еднаквите и високи равнища на безопасност и прозрачна информация относно състоянието на прилагането на контрола в държавите членки и в държавите извън ЕС, което от своя страна осигурява информация за създателите на политики относно ефективността на регулирането в съответните сектори.</w:t>
      </w:r>
    </w:p>
    <w:p>
      <w:pPr>
        <w:jc w:val="both"/>
        <w:rPr>
          <w:rFonts w:ascii="Times New Roman" w:hAnsi="Times New Roman" w:cs="Times New Roman"/>
          <w:noProof/>
          <w:sz w:val="24"/>
          <w:szCs w:val="24"/>
        </w:rPr>
      </w:pPr>
      <w:r>
        <w:rPr>
          <w:rFonts w:ascii="Times New Roman" w:hAnsi="Times New Roman"/>
          <w:noProof/>
          <w:sz w:val="24"/>
        </w:rPr>
        <w:t xml:space="preserve">Чрез своя одиторски опит Комисията предоставя важна обратна информация относно ефективността, въздействието и добавената стойност на законодателството и дейностите на ЕС. </w:t>
      </w:r>
    </w:p>
    <w:p>
      <w:pPr>
        <w:jc w:val="both"/>
        <w:rPr>
          <w:rFonts w:ascii="Times New Roman" w:hAnsi="Times New Roman" w:cs="Times New Roman"/>
          <w:noProof/>
          <w:sz w:val="24"/>
          <w:szCs w:val="24"/>
        </w:rPr>
      </w:pPr>
      <w:r>
        <w:rPr>
          <w:rFonts w:ascii="Times New Roman" w:hAnsi="Times New Roman"/>
          <w:noProof/>
          <w:sz w:val="24"/>
        </w:rPr>
        <w:t>Ако постигането на секторните цели, анализирани в предходните раздели, допринася за наличието на положителна оценка на общото положение относно безопасността на храните на равнището на ЕС, не е необходимо изтъкване на репутацията на хранителните продукти на ЕС. Продукцията на хранително-вкусовата промишленост на ЕС се оценява високо в целия свят заради нейното качество, както и високите стандарти на безопасност, като тази промишленост представлява най-големият производствен сектор в Европа и заема лидерски позиции в световен мащаб. В този контекст бюджетът на ЕС за безопасност на храните оказва решаващ принос за нейната конкурентоспособност.</w:t>
      </w:r>
    </w:p>
    <w:p>
      <w:pPr>
        <w:keepNext/>
        <w:keepLines/>
        <w:jc w:val="both"/>
        <w:rPr>
          <w:rFonts w:ascii="Times New Roman" w:hAnsi="Times New Roman" w:cs="Times New Roman"/>
          <w:b/>
          <w:noProof/>
          <w:sz w:val="24"/>
          <w:szCs w:val="24"/>
        </w:rPr>
      </w:pPr>
      <w:r>
        <w:rPr>
          <w:rFonts w:ascii="Times New Roman" w:hAnsi="Times New Roman"/>
          <w:b/>
          <w:noProof/>
          <w:sz w:val="24"/>
        </w:rPr>
        <w:t>3.2</w:t>
      </w:r>
      <w:r>
        <w:rPr>
          <w:noProof/>
        </w:rPr>
        <w:tab/>
      </w:r>
      <w:r>
        <w:rPr>
          <w:rFonts w:ascii="Times New Roman" w:hAnsi="Times New Roman"/>
          <w:b/>
          <w:noProof/>
          <w:sz w:val="24"/>
        </w:rPr>
        <w:t>Опростяване</w:t>
      </w:r>
    </w:p>
    <w:p>
      <w:pPr>
        <w:keepNext/>
        <w:keepLines/>
        <w:jc w:val="both"/>
        <w:rPr>
          <w:rFonts w:ascii="Times New Roman" w:hAnsi="Times New Roman" w:cs="Times New Roman"/>
          <w:noProof/>
          <w:sz w:val="24"/>
          <w:szCs w:val="24"/>
        </w:rPr>
      </w:pPr>
      <w:r>
        <w:rPr>
          <w:rFonts w:ascii="Times New Roman" w:hAnsi="Times New Roman"/>
          <w:noProof/>
          <w:sz w:val="24"/>
        </w:rPr>
        <w:t>В съответствие със съобщението Бюджет за стратегията „Европа 2020“</w:t>
      </w:r>
      <w:r>
        <w:rPr>
          <w:rStyle w:val="FootnoteReference"/>
          <w:rFonts w:ascii="Times New Roman" w:hAnsi="Times New Roman"/>
          <w:noProof/>
          <w:sz w:val="24"/>
        </w:rPr>
        <w:footnoteReference w:id="9"/>
      </w:r>
      <w:r>
        <w:rPr>
          <w:rFonts w:ascii="Times New Roman" w:hAnsi="Times New Roman"/>
          <w:noProof/>
          <w:sz w:val="24"/>
        </w:rPr>
        <w:t xml:space="preserve"> Регламентът относно ОФР имаше за цел да осъвремени и опрости предишните финансови разпоредби. По опростяването и оптимизирането се работеше по следния начин::</w:t>
      </w:r>
    </w:p>
    <w:p>
      <w:pPr>
        <w:numPr>
          <w:ilvl w:val="0"/>
          <w:numId w:val="5"/>
        </w:numPr>
        <w:jc w:val="both"/>
        <w:rPr>
          <w:rFonts w:ascii="Times New Roman" w:hAnsi="Times New Roman" w:cs="Times New Roman"/>
          <w:noProof/>
          <w:sz w:val="24"/>
          <w:szCs w:val="24"/>
        </w:rPr>
      </w:pPr>
      <w:r>
        <w:rPr>
          <w:rFonts w:ascii="Times New Roman" w:hAnsi="Times New Roman"/>
          <w:noProof/>
          <w:sz w:val="24"/>
        </w:rPr>
        <w:t>замяна на предходната нормативна уредба, която беше твърде сложна и в някои отношения остаряла, с единствен законодателен акт, обхващащ цялата област на хранителната верига;</w:t>
      </w:r>
    </w:p>
    <w:p>
      <w:pPr>
        <w:numPr>
          <w:ilvl w:val="0"/>
          <w:numId w:val="5"/>
        </w:numPr>
        <w:jc w:val="both"/>
        <w:rPr>
          <w:rFonts w:ascii="Times New Roman" w:hAnsi="Times New Roman" w:cs="Times New Roman"/>
          <w:noProof/>
          <w:sz w:val="24"/>
          <w:szCs w:val="24"/>
        </w:rPr>
      </w:pPr>
      <w:r>
        <w:rPr>
          <w:rFonts w:ascii="Times New Roman" w:hAnsi="Times New Roman"/>
          <w:noProof/>
          <w:sz w:val="24"/>
        </w:rPr>
        <w:t>рационализация на нивата за финансиране, като се определят само три стандартни нива, а именно: 50 %, 75 % и 100 %;</w:t>
      </w:r>
    </w:p>
    <w:p>
      <w:pPr>
        <w:numPr>
          <w:ilvl w:val="0"/>
          <w:numId w:val="5"/>
        </w:numPr>
        <w:jc w:val="both"/>
        <w:rPr>
          <w:rFonts w:ascii="Times New Roman" w:hAnsi="Times New Roman" w:cs="Times New Roman"/>
          <w:noProof/>
          <w:sz w:val="24"/>
          <w:szCs w:val="24"/>
        </w:rPr>
      </w:pPr>
      <w:r>
        <w:rPr>
          <w:rFonts w:ascii="Times New Roman" w:hAnsi="Times New Roman"/>
          <w:noProof/>
          <w:sz w:val="24"/>
        </w:rPr>
        <w:t xml:space="preserve">съгласуване на процедурите в областта на фитосанитарния и ветеринарния контрол чрез хармонизирана рамка с цел гарантиране на яснота, прозрачност и стабилна нормативна среда; </w:t>
      </w:r>
    </w:p>
    <w:p>
      <w:pPr>
        <w:numPr>
          <w:ilvl w:val="0"/>
          <w:numId w:val="5"/>
        </w:numPr>
        <w:jc w:val="both"/>
        <w:rPr>
          <w:rFonts w:ascii="Times New Roman" w:hAnsi="Times New Roman" w:cs="Times New Roman"/>
          <w:noProof/>
          <w:sz w:val="24"/>
          <w:szCs w:val="24"/>
        </w:rPr>
      </w:pPr>
      <w:r>
        <w:rPr>
          <w:rFonts w:ascii="Times New Roman" w:hAnsi="Times New Roman"/>
          <w:noProof/>
          <w:sz w:val="24"/>
        </w:rPr>
        <w:t>намаляване на използването на процедурата на комитет и решения на Комисията с цел съкращаване на времето за сключване на договори и плащане.</w:t>
      </w:r>
    </w:p>
    <w:p>
      <w:pPr>
        <w:jc w:val="both"/>
        <w:rPr>
          <w:rFonts w:ascii="Times New Roman" w:hAnsi="Times New Roman" w:cs="Times New Roman"/>
          <w:noProof/>
          <w:sz w:val="24"/>
          <w:szCs w:val="24"/>
        </w:rPr>
      </w:pPr>
      <w:r>
        <w:rPr>
          <w:rFonts w:ascii="Times New Roman" w:hAnsi="Times New Roman"/>
          <w:noProof/>
          <w:sz w:val="24"/>
        </w:rPr>
        <w:t xml:space="preserve">Допълнителна стъпка към цялостното опростяване на системата беше въвеждането на система за разходи на единица, използвана за възстановяване на разходите за дейности, извършени за изпълнението на ветеринарни програми. Тя покрива около 50 % от допустимите разходи и понастоящем се преразглежда с цел да бъде разширена допълнително, така че да обхване и други области. Новата система Комисията и държавите членки прецениха като улесняваща исканията за финансиране и възстановяванията на разходи. </w:t>
      </w:r>
    </w:p>
    <w:p>
      <w:pPr>
        <w:jc w:val="both"/>
        <w:rPr>
          <w:rFonts w:ascii="Times New Roman" w:hAnsi="Times New Roman" w:cs="Times New Roman"/>
          <w:noProof/>
          <w:sz w:val="24"/>
          <w:szCs w:val="24"/>
        </w:rPr>
      </w:pPr>
      <w:r>
        <w:rPr>
          <w:rFonts w:ascii="Times New Roman" w:hAnsi="Times New Roman"/>
          <w:noProof/>
          <w:sz w:val="24"/>
        </w:rPr>
        <w:t>По отношение на изискванията за отчетите някои държави членки ги счетоха като непропорционални само за най-малките ветеринарни програми и за спешните мерки.</w:t>
      </w:r>
    </w:p>
    <w:p>
      <w:pPr>
        <w:jc w:val="both"/>
        <w:rPr>
          <w:rFonts w:ascii="Times New Roman" w:hAnsi="Times New Roman" w:cs="Times New Roman"/>
          <w:b/>
          <w:noProof/>
          <w:sz w:val="24"/>
          <w:szCs w:val="24"/>
        </w:rPr>
      </w:pPr>
      <w:r>
        <w:rPr>
          <w:rFonts w:ascii="Times New Roman" w:hAnsi="Times New Roman"/>
          <w:b/>
          <w:noProof/>
          <w:sz w:val="24"/>
        </w:rPr>
        <w:t>3.3</w:t>
      </w:r>
      <w:r>
        <w:rPr>
          <w:noProof/>
        </w:rPr>
        <w:tab/>
      </w:r>
      <w:r>
        <w:rPr>
          <w:rFonts w:ascii="Times New Roman" w:hAnsi="Times New Roman"/>
          <w:b/>
          <w:noProof/>
          <w:sz w:val="24"/>
        </w:rPr>
        <w:t>Принос за интелигентен, устойчив и приобщаващ растеж</w:t>
      </w:r>
    </w:p>
    <w:p>
      <w:pPr>
        <w:jc w:val="both"/>
        <w:rPr>
          <w:rFonts w:ascii="Times New Roman" w:hAnsi="Times New Roman" w:cs="Times New Roman"/>
          <w:noProof/>
          <w:sz w:val="24"/>
          <w:szCs w:val="24"/>
        </w:rPr>
      </w:pPr>
      <w:r>
        <w:rPr>
          <w:rFonts w:ascii="Times New Roman" w:hAnsi="Times New Roman"/>
          <w:noProof/>
          <w:sz w:val="24"/>
        </w:rPr>
        <w:t>Според най-актуалните данни на Евростат през 2015 г. продукцията на цялата хранително-вкусова промишленост на ЕС се оценява на над 410 милиарда евро, като тази промишленост представлява най-големият производствен сектор в Европа и заема лидерски позиции в световен мащаб, като е налице постоянно нарастващ износ на произвежданите от нея селскостопански продукти. Общо този сектор осигурява около 44 милиона работни места в ЕС, от които 22 милиона се предлагат в земеделски стопанства.</w:t>
      </w:r>
    </w:p>
    <w:p>
      <w:pPr>
        <w:jc w:val="both"/>
        <w:rPr>
          <w:rFonts w:ascii="Times New Roman" w:hAnsi="Times New Roman" w:cs="Times New Roman"/>
          <w:noProof/>
          <w:sz w:val="24"/>
          <w:szCs w:val="24"/>
        </w:rPr>
      </w:pPr>
      <w:r>
        <w:rPr>
          <w:rFonts w:ascii="Times New Roman" w:hAnsi="Times New Roman"/>
          <w:noProof/>
          <w:sz w:val="24"/>
        </w:rPr>
        <w:t>Конкурентоспособността на европейското производството на храни зависи от неговата репутация, като бюджетът на ЕС за безопасност на храните оказва решаващ принос за безопасността и качеството на европейските хранителни продукти.</w:t>
      </w:r>
    </w:p>
    <w:p>
      <w:pPr>
        <w:jc w:val="both"/>
        <w:rPr>
          <w:rFonts w:ascii="Times New Roman" w:hAnsi="Times New Roman" w:cs="Times New Roman"/>
          <w:noProof/>
          <w:sz w:val="24"/>
          <w:szCs w:val="24"/>
        </w:rPr>
      </w:pPr>
      <w:r>
        <w:rPr>
          <w:rFonts w:ascii="Times New Roman" w:hAnsi="Times New Roman"/>
          <w:noProof/>
          <w:sz w:val="24"/>
        </w:rPr>
        <w:t>Но аспекти като глобализацията на търговията, изменението на климата и изискванията на търговските партньори, както и поведението на потребителите в случай на продоволствени кризи представляват предизвикателства пред системата за производство на ЕС. В условията на променящия се свят в стратегията за растеж „Европа 2020“</w:t>
      </w:r>
      <w:r>
        <w:rPr>
          <w:rStyle w:val="FootnoteReference"/>
          <w:rFonts w:ascii="Times New Roman" w:hAnsi="Times New Roman"/>
          <w:noProof/>
          <w:sz w:val="24"/>
        </w:rPr>
        <w:footnoteReference w:id="10"/>
      </w:r>
      <w:r>
        <w:rPr>
          <w:rFonts w:ascii="Times New Roman" w:hAnsi="Times New Roman"/>
          <w:noProof/>
          <w:sz w:val="24"/>
        </w:rPr>
        <w:t xml:space="preserve"> е заложен стремежът ЕС да постигне интелигентна, устойчива и приобщаваща икономика. Тези три взаимно утвърждаващи се приоритета следва да помогнат на ЕС и на държавите членки да осигурят високи нива на заетост, производителност и социално сближаване.</w:t>
      </w:r>
    </w:p>
    <w:p>
      <w:pPr>
        <w:jc w:val="both"/>
        <w:rPr>
          <w:rFonts w:ascii="Times New Roman" w:hAnsi="Times New Roman" w:cs="Times New Roman"/>
          <w:noProof/>
          <w:sz w:val="24"/>
          <w:szCs w:val="24"/>
        </w:rPr>
      </w:pPr>
      <w:r>
        <w:rPr>
          <w:rFonts w:ascii="Times New Roman" w:hAnsi="Times New Roman"/>
          <w:noProof/>
          <w:sz w:val="24"/>
        </w:rPr>
        <w:t xml:space="preserve">В областта на хранително-вкусовата промишленост тези цели могат да бъдат постигнати единствено ако се гарантира високо равнище на здравето на хората, животните и растенията по цялата хранителна верига и свързаните области и ако се изпълняват действия за активно предотвратяване и ликвидиране на болести и вредители. </w:t>
      </w:r>
    </w:p>
    <w:p>
      <w:pPr>
        <w:keepNext/>
        <w:keepLines/>
        <w:jc w:val="both"/>
        <w:rPr>
          <w:rFonts w:ascii="Times New Roman" w:hAnsi="Times New Roman" w:cs="Times New Roman"/>
          <w:b/>
          <w:noProof/>
          <w:sz w:val="24"/>
          <w:szCs w:val="24"/>
        </w:rPr>
      </w:pPr>
      <w:r>
        <w:rPr>
          <w:rFonts w:ascii="Times New Roman" w:hAnsi="Times New Roman"/>
          <w:b/>
          <w:noProof/>
          <w:sz w:val="24"/>
        </w:rPr>
        <w:t>3.4</w:t>
      </w:r>
      <w:r>
        <w:rPr>
          <w:noProof/>
        </w:rPr>
        <w:tab/>
      </w:r>
      <w:r>
        <w:rPr>
          <w:rFonts w:ascii="Times New Roman" w:hAnsi="Times New Roman"/>
          <w:b/>
          <w:noProof/>
          <w:sz w:val="24"/>
        </w:rPr>
        <w:t>Значение</w:t>
      </w:r>
    </w:p>
    <w:p>
      <w:pPr>
        <w:keepNext/>
        <w:keepLines/>
        <w:jc w:val="both"/>
        <w:rPr>
          <w:rFonts w:ascii="Times New Roman" w:hAnsi="Times New Roman" w:cs="Times New Roman"/>
          <w:noProof/>
          <w:sz w:val="24"/>
          <w:szCs w:val="24"/>
        </w:rPr>
      </w:pPr>
      <w:r>
        <w:rPr>
          <w:rFonts w:ascii="Times New Roman" w:hAnsi="Times New Roman"/>
          <w:noProof/>
          <w:sz w:val="24"/>
        </w:rPr>
        <w:t>В съответствие с водещия принцип на Римската декларация</w:t>
      </w:r>
      <w:r>
        <w:rPr>
          <w:rStyle w:val="FootnoteReference"/>
          <w:rFonts w:ascii="Times New Roman" w:hAnsi="Times New Roman"/>
          <w:noProof/>
          <w:sz w:val="24"/>
        </w:rPr>
        <w:footnoteReference w:id="11"/>
      </w:r>
      <w:r>
        <w:rPr>
          <w:rFonts w:ascii="Times New Roman" w:hAnsi="Times New Roman"/>
          <w:noProof/>
          <w:sz w:val="24"/>
        </w:rPr>
        <w:t xml:space="preserve"> мерките на ОФР допринасят за безопасна и сигурна Европа, в която гражданите имат достъп до висококачествени храни, съобразени с най-строгите международни стандарти; рисковете, свързани с индивидуалното и общественото здраве, са овладени благодарение на дългосрочната намеса на ЕС в тази област, както и на неговата своевременна реакция при извънредни ситуации. При предотвратяването на възникването или разпространението на епидемии на територията на Съюза мерките по отношение на хранителната верига изпълняват важна роля за защита на икономиката на ЕС, като ветеринарните, фитосанитарните и продоволствените кризи могат да имат пагубно въздействие, евентуално пораждащо огромни разходи както за публичните бюджети, така и за цялата хранително-вкусова промишленост. Това оказва въздействие върху социалното измерение на Европа, като влияе положително на защитата на интересите на всички граждани на ЕС, от първичните производители до крайните потребители. В крайна сметка тази система допринася за постигането на по-стабилна хранително-вкусова промишленост на ЕС в световен мащаб, като осигурява икономии от мащаба на вътрешния пазар на ЕС, което от своя страна подпомага износа на селскостопански продукти на ЕС.</w:t>
      </w:r>
    </w:p>
    <w:p>
      <w:pPr>
        <w:jc w:val="both"/>
        <w:rPr>
          <w:rFonts w:ascii="Times New Roman" w:hAnsi="Times New Roman" w:cs="Times New Roman"/>
          <w:b/>
          <w:noProof/>
          <w:sz w:val="24"/>
          <w:szCs w:val="24"/>
        </w:rPr>
      </w:pPr>
      <w:r>
        <w:rPr>
          <w:rFonts w:ascii="Times New Roman" w:hAnsi="Times New Roman"/>
          <w:b/>
          <w:noProof/>
          <w:sz w:val="24"/>
        </w:rPr>
        <w:t>3.5</w:t>
      </w:r>
      <w:r>
        <w:rPr>
          <w:noProof/>
        </w:rPr>
        <w:tab/>
      </w:r>
      <w:r>
        <w:rPr>
          <w:rFonts w:ascii="Times New Roman" w:hAnsi="Times New Roman"/>
          <w:b/>
          <w:noProof/>
          <w:sz w:val="24"/>
        </w:rPr>
        <w:t>Дългосрочно въздействие на предишните мерки</w:t>
      </w:r>
    </w:p>
    <w:p>
      <w:pPr>
        <w:jc w:val="both"/>
        <w:rPr>
          <w:rFonts w:ascii="Times New Roman" w:hAnsi="Times New Roman" w:cs="Times New Roman"/>
          <w:noProof/>
          <w:sz w:val="24"/>
          <w:szCs w:val="24"/>
        </w:rPr>
      </w:pPr>
      <w:r>
        <w:rPr>
          <w:rFonts w:ascii="Times New Roman" w:hAnsi="Times New Roman"/>
          <w:noProof/>
          <w:sz w:val="24"/>
        </w:rPr>
        <w:t>Повечето от дейностите, обхванати понастоящем от Регламента относно ОФР, вече бяха съфинансирани съгласно предходния законодателен акт. Поради естеството си много от тях, особено мерките във връзка със здравето на животните, налагат дългосрочни инвестиции, за да бъде постигнат успех.</w:t>
      </w:r>
    </w:p>
    <w:p>
      <w:pPr>
        <w:jc w:val="both"/>
        <w:rPr>
          <w:rFonts w:ascii="Times New Roman" w:hAnsi="Times New Roman" w:cs="Times New Roman"/>
          <w:b/>
          <w:noProof/>
          <w:sz w:val="24"/>
          <w:szCs w:val="24"/>
        </w:rPr>
      </w:pPr>
      <w:r>
        <w:rPr>
          <w:rFonts w:ascii="Times New Roman" w:hAnsi="Times New Roman"/>
          <w:noProof/>
          <w:sz w:val="24"/>
        </w:rPr>
        <w:t>Сред основните постижения, дължащи се на дългосрочното въздействие на приложените мерки преди 2014 г., добър пример е ликвидирането на спонгиформната енцефалопатия по говедата, смъртоносна болест, която се предава на човека чрез консумацията на заразени говежди продукти. Дългосрочното съфинансиране от ЕС за борба с тази болест изигра основна роля, довела до намаляването на броя на случаите на заразяване от над 2000 през 2001 г. до едва 5 случая през 2016 г.: равнище, доближаващо се до ликвидирането. Това от своя страна позволи преустановяването на някои скъпи защитни мерки и създаването на нови търговски възможности.</w:t>
      </w:r>
    </w:p>
    <w:p>
      <w:pPr>
        <w:jc w:val="both"/>
        <w:rPr>
          <w:rFonts w:ascii="Times New Roman" w:hAnsi="Times New Roman" w:cs="Times New Roman"/>
          <w:noProof/>
          <w:sz w:val="24"/>
          <w:szCs w:val="24"/>
        </w:rPr>
      </w:pPr>
      <w:r>
        <w:rPr>
          <w:rFonts w:ascii="Times New Roman" w:hAnsi="Times New Roman"/>
          <w:noProof/>
          <w:sz w:val="24"/>
        </w:rPr>
        <w:t xml:space="preserve">Друг добър пример е свързан с важна зооноза като бяса, който беше почти ликвидиран в дивата природа в ЕС (пълно ликвидиране се очаква до 2020 г.), като броят на случаите намаля от 726 през 2010 г. на едва 18 през 2016 г., което осигурява възможност за свободно движение на котки и кучета в рамките на ЕС. </w:t>
      </w:r>
    </w:p>
    <w:p>
      <w:pPr>
        <w:jc w:val="both"/>
        <w:rPr>
          <w:rFonts w:ascii="Times New Roman" w:hAnsi="Times New Roman" w:cs="Times New Roman"/>
          <w:noProof/>
          <w:sz w:val="24"/>
          <w:szCs w:val="24"/>
        </w:rPr>
      </w:pPr>
      <w:r>
        <w:rPr>
          <w:rFonts w:ascii="Times New Roman" w:hAnsi="Times New Roman"/>
          <w:noProof/>
          <w:sz w:val="24"/>
        </w:rPr>
        <w:t xml:space="preserve">Беше отчетено намаляване на инфекциите от </w:t>
      </w:r>
      <w:r>
        <w:rPr>
          <w:rFonts w:ascii="Times New Roman" w:hAnsi="Times New Roman"/>
          <w:i/>
          <w:noProof/>
          <w:sz w:val="24"/>
        </w:rPr>
        <w:t>салмонела</w:t>
      </w:r>
      <w:r>
        <w:rPr>
          <w:rFonts w:ascii="Times New Roman" w:hAnsi="Times New Roman"/>
          <w:noProof/>
          <w:sz w:val="24"/>
        </w:rPr>
        <w:t xml:space="preserve"> при домашните птици (като например кокошки носачки) след изпълнението на финансираните от ЕС програми за контрол на </w:t>
      </w:r>
      <w:r>
        <w:rPr>
          <w:rFonts w:ascii="Times New Roman" w:hAnsi="Times New Roman"/>
          <w:i/>
          <w:noProof/>
          <w:sz w:val="24"/>
        </w:rPr>
        <w:t>салмонелата</w:t>
      </w:r>
      <w:r>
        <w:rPr>
          <w:rFonts w:ascii="Times New Roman" w:hAnsi="Times New Roman"/>
          <w:noProof/>
          <w:sz w:val="24"/>
        </w:rPr>
        <w:t xml:space="preserve">. Това доведе и да ползи за здравето на човека, тъй като </w:t>
      </w:r>
      <w:r>
        <w:rPr>
          <w:rFonts w:ascii="Times New Roman" w:hAnsi="Times New Roman"/>
          <w:i/>
          <w:noProof/>
          <w:sz w:val="24"/>
        </w:rPr>
        <w:t>салмонелозата</w:t>
      </w:r>
      <w:r>
        <w:rPr>
          <w:rFonts w:ascii="Times New Roman" w:hAnsi="Times New Roman"/>
          <w:noProof/>
          <w:sz w:val="24"/>
        </w:rPr>
        <w:t xml:space="preserve"> е важна зооноза, като една от основните причини за заразяване на човека е консумацията на яйца. Броят на потвърдените случаи при човека, анализирани за период, по-дълъг от периода, подлежащ на оценка, е намалял от 105 450 през 2010 г. на 94 600 през 2015 г. Въпреки това през годината се наблюдават периоди на рязко увеличаване на случаите при хората поради няколко фактора, като например прекъсването на веригата на охлаждане на яйцата. </w:t>
      </w:r>
    </w:p>
    <w:p>
      <w:pPr>
        <w:keepNext/>
        <w:keepLines/>
        <w:jc w:val="both"/>
        <w:rPr>
          <w:rFonts w:ascii="Times New Roman" w:hAnsi="Times New Roman" w:cs="Times New Roman"/>
          <w:b/>
          <w:noProof/>
          <w:sz w:val="24"/>
          <w:szCs w:val="24"/>
        </w:rPr>
      </w:pPr>
      <w:r>
        <w:rPr>
          <w:rFonts w:ascii="Times New Roman" w:hAnsi="Times New Roman"/>
          <w:b/>
          <w:noProof/>
          <w:sz w:val="24"/>
        </w:rPr>
        <w:t>3.6</w:t>
      </w:r>
      <w:r>
        <w:rPr>
          <w:noProof/>
        </w:rPr>
        <w:tab/>
      </w:r>
      <w:r>
        <w:rPr>
          <w:rFonts w:ascii="Times New Roman" w:hAnsi="Times New Roman"/>
          <w:b/>
          <w:noProof/>
          <w:sz w:val="24"/>
        </w:rPr>
        <w:t>Области, на които да бъде обърнато допълнително внимание</w:t>
      </w:r>
    </w:p>
    <w:p>
      <w:pPr>
        <w:keepNext/>
        <w:keepLines/>
        <w:jc w:val="both"/>
        <w:rPr>
          <w:rFonts w:ascii="Times New Roman" w:hAnsi="Times New Roman" w:cs="Times New Roman"/>
          <w:noProof/>
          <w:sz w:val="24"/>
          <w:szCs w:val="24"/>
        </w:rPr>
      </w:pPr>
      <w:r>
        <w:rPr>
          <w:rFonts w:ascii="Times New Roman" w:hAnsi="Times New Roman"/>
          <w:noProof/>
          <w:sz w:val="24"/>
        </w:rPr>
        <w:t>По бюджета на ЕС за периода 2014—2020 средствата, отделени за кризисни ситуации, не е на разположение за програмата за храни и фуражи. В случай на поява на огнища на широкомащабни ветеринарни и фитосанитарни епидемии, като например скорошния случай на птичи грип</w:t>
      </w:r>
      <w:r>
        <w:rPr>
          <w:rStyle w:val="FootnoteReference"/>
          <w:rFonts w:ascii="Times New Roman" w:hAnsi="Times New Roman"/>
          <w:noProof/>
          <w:sz w:val="24"/>
        </w:rPr>
        <w:footnoteReference w:id="12"/>
      </w:r>
      <w:r>
        <w:rPr>
          <w:rFonts w:ascii="Times New Roman" w:hAnsi="Times New Roman"/>
          <w:noProof/>
          <w:sz w:val="24"/>
        </w:rPr>
        <w:t>, чието отражение върху бюджета може и да не бъде покрито в рамките настоящата програма, предоставянето на финансова подкрепа за изпълнение на дейности за ликвидиране и за своевременно ограничаване на разпространението на тези епидемии може да бъде трудно.</w:t>
      </w:r>
    </w:p>
    <w:p>
      <w:pPr>
        <w:jc w:val="both"/>
        <w:rPr>
          <w:rFonts w:ascii="Times New Roman" w:hAnsi="Times New Roman" w:cs="Times New Roman"/>
          <w:noProof/>
          <w:sz w:val="24"/>
          <w:szCs w:val="24"/>
        </w:rPr>
      </w:pPr>
      <w:r>
        <w:rPr>
          <w:rFonts w:ascii="Times New Roman" w:hAnsi="Times New Roman"/>
          <w:noProof/>
          <w:sz w:val="24"/>
        </w:rPr>
        <w:t>Финансирането на дейности по отношение на здравето на растенията все още е в първоначален етап, като е необходимо да се обърне допълнително внимание на правилното реагиране на потребностите в тази област, например по отношение на интегрирането на програмите за наблюдение и спешните мерки. Междувременно следва да се отбележи, че е необходимо да се обърне внимание на ефективността на спешните мерки по отношение на здравето на растенията. Във връзка с това е важно да се има предвид, че постигането на ликвидиране на някои вредители често е по-сложно в сравнение с това в областта на здравето на животните поради големия брой на видовете гостоприемници, латентността на симптомите и тяхното наличие при вектори. В случаите, когато вече не е възможно ликвидиране, подходът за ограничаване все още представлява ефективен начин за предотвратяване на по-нататъшното разпространение на вредителя в останалата част на територията на Съюза.</w:t>
      </w:r>
    </w:p>
    <w:p>
      <w:pPr>
        <w:jc w:val="both"/>
        <w:rPr>
          <w:rFonts w:ascii="Times New Roman" w:hAnsi="Times New Roman" w:cs="Times New Roman"/>
          <w:noProof/>
          <w:sz w:val="24"/>
          <w:szCs w:val="24"/>
        </w:rPr>
      </w:pPr>
      <w:r>
        <w:rPr>
          <w:rFonts w:ascii="Times New Roman" w:hAnsi="Times New Roman"/>
          <w:noProof/>
          <w:sz w:val="24"/>
        </w:rPr>
        <w:t>Бяха въведени някои корекции с цел адаптиране на финансовите инструменти, използвани в тези разходни области, спрямо разпоредбите на настоящия финансов регламент</w:t>
      </w:r>
      <w:r>
        <w:rPr>
          <w:rStyle w:val="FootnoteReference"/>
          <w:rFonts w:ascii="Times New Roman" w:hAnsi="Times New Roman"/>
          <w:noProof/>
          <w:sz w:val="24"/>
        </w:rPr>
        <w:footnoteReference w:id="13"/>
      </w:r>
      <w:r>
        <w:rPr>
          <w:rFonts w:ascii="Times New Roman" w:hAnsi="Times New Roman"/>
          <w:noProof/>
          <w:sz w:val="24"/>
        </w:rPr>
        <w:t>, по-специално безвъзмездните средства. Опитът обаче показва, че предвид особеностите на разходите за безопасност на храните (неконкурентно финансиране, състоящо се от възстановяване на разходи на държавите членки), безвъзмездните средства невинаги са най-добрият инструмент в специфичната област на ветеринарните и фиросанитарните мерки.</w:t>
      </w:r>
    </w:p>
    <w:p>
      <w:pPr>
        <w:jc w:val="both"/>
        <w:rPr>
          <w:rFonts w:ascii="Times New Roman" w:hAnsi="Times New Roman" w:cs="Times New Roman"/>
          <w:noProof/>
          <w:sz w:val="24"/>
          <w:szCs w:val="24"/>
        </w:rPr>
      </w:pPr>
      <w:r>
        <w:rPr>
          <w:rFonts w:ascii="Times New Roman" w:hAnsi="Times New Roman"/>
          <w:noProof/>
          <w:sz w:val="24"/>
        </w:rPr>
        <w:t>Що се отнася до финансовата подкрепа за други дейности, следва да се помисли как безвъзмездните средства, предназначени за подкрепа на по-устойчиво поведение на някои участници в хранителната верига, допринасят за Програмата до 2030 г. за устойчиво развитие, както се посочва в съобщението „Следващи стъпки към устойчиво европейско бъдеще“. Следва да се проучат допълнително наличните варианти за това как възможността за даряване на храни, които са безопасни за консумация, може да бъде подпомогната чрез разширяване на предоставянето на безвъзмездни средства и на организации, които се занимават с преразпределянето на безопасни храни, както се предлага в специалния доклад на Европейската сметна палата „Борбата срещу разхищаването на храни“.</w:t>
      </w:r>
    </w:p>
    <w:p>
      <w:pPr>
        <w:jc w:val="both"/>
        <w:rPr>
          <w:rFonts w:ascii="Times New Roman" w:hAnsi="Times New Roman" w:cs="Times New Roman"/>
          <w:b/>
          <w:noProof/>
          <w:sz w:val="24"/>
          <w:szCs w:val="24"/>
        </w:rPr>
      </w:pPr>
      <w:r>
        <w:rPr>
          <w:rFonts w:ascii="Times New Roman" w:hAnsi="Times New Roman"/>
          <w:b/>
          <w:noProof/>
          <w:sz w:val="24"/>
        </w:rPr>
        <w:t>4.</w:t>
      </w:r>
      <w:r>
        <w:rPr>
          <w:noProof/>
        </w:rPr>
        <w:tab/>
      </w:r>
      <w:r>
        <w:rPr>
          <w:rFonts w:ascii="Times New Roman" w:hAnsi="Times New Roman"/>
          <w:b/>
          <w:noProof/>
          <w:sz w:val="24"/>
        </w:rPr>
        <w:t>ЗАКЛЮЧЕНИЯ</w:t>
      </w:r>
    </w:p>
    <w:p>
      <w:pPr>
        <w:jc w:val="both"/>
        <w:rPr>
          <w:rFonts w:ascii="Times New Roman" w:hAnsi="Times New Roman" w:cs="Times New Roman"/>
          <w:noProof/>
          <w:sz w:val="24"/>
          <w:szCs w:val="24"/>
        </w:rPr>
      </w:pPr>
      <w:r>
        <w:rPr>
          <w:rFonts w:ascii="Times New Roman" w:hAnsi="Times New Roman"/>
          <w:noProof/>
          <w:sz w:val="24"/>
        </w:rPr>
        <w:t>Рамката на ЕС за безопасността на храните, здравеопазването на животните и здравето на растенията като цяло се признава за уеднаквена и в голяма степен съгласувана при нейното прилагане и изпълнение във всички държави членки. Това от своя страна гарантира, че както гражданите, така и предприятията могат да бъдат сигурни, че тази рамка е справедлива и ефективна в насърчаването на високи стандарти за безопасност в ключов сектор от икономиката на ЕС. Инвестициите на ЕС в наблюдение, контрол и ликвидиране на болести и вредители допринасят за безопасността и търговията в цялата хранителна верига. Междинната оценка на Регламента относно ОФР показва, че настоящата финансова рамка функционира добре в обхвата на своя политически контекст: всички дейности, които получават финансова подкрепа от ЕС в тази област, допринасят за постигането на общите и конкретните цели на Регламента относно ОФР, а именно подобряване на здравето на човека, животните и растенията, както и на цялостните приоритети на Комисията, включително функционирането на ефективен вътрешен пазар и подкрепата за търговията с държави извън ЕС.</w:t>
      </w:r>
    </w:p>
    <w:p>
      <w:pPr>
        <w:jc w:val="both"/>
        <w:rPr>
          <w:rFonts w:ascii="Times New Roman" w:hAnsi="Times New Roman" w:cs="Times New Roman"/>
          <w:noProof/>
          <w:sz w:val="24"/>
          <w:szCs w:val="24"/>
        </w:rPr>
      </w:pPr>
      <w:r>
        <w:rPr>
          <w:rFonts w:ascii="Times New Roman" w:hAnsi="Times New Roman"/>
          <w:noProof/>
          <w:sz w:val="24"/>
        </w:rPr>
        <w:t>Освен това финансовият инструмент на Регламента относно ОФР се оказа гъвкав при удовлетворяването на възникващи нужди от съфинансиране, особено при появата на огнища. Дейностите, финансирани съгласно Регламента относно ОФР, осигуряват подкрепа за рамката на ЕС относно храните и фуражите, което допринася за изграждането на Европейски съюз, който е безопасен и сигурен, проспериращ и устойчив, социален и по-силен на световната сцена.</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5473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OВ L 189, 27.6.2014 г., стр. 1.</w:t>
      </w:r>
    </w:p>
  </w:footnote>
  <w:footnote w:id="2">
    <w:p>
      <w:pPr>
        <w:pStyle w:val="FootnoteText"/>
        <w:ind w:left="709" w:hanging="709"/>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Междинна оценка на Регламент (ЕС) № 652/2014, изготвена от IBF International Consulting (вж. приложения работен документ на службите на Комисията).</w:t>
      </w:r>
    </w:p>
  </w:footnote>
  <w:footnote w:id="3">
    <w:p>
      <w:pPr>
        <w:pStyle w:val="FootnoteText"/>
      </w:pPr>
      <w:r>
        <w:rPr>
          <w:rStyle w:val="FootnoteReference"/>
        </w:rPr>
        <w:footnoteRef/>
      </w:r>
      <w:r>
        <w:t xml:space="preserve"> Таблица 1 от работния документ на службите на Комисията, придружаващ настоящия доклад</w:t>
      </w:r>
    </w:p>
  </w:footnote>
  <w:footnote w:id="4">
    <w:p>
      <w:pPr>
        <w:pStyle w:val="FootnoteText"/>
        <w:ind w:left="709" w:hanging="709"/>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Подробни данни за оперативните технически показатели могат да бъдат намерени в приложение 4 към работния документ на службите на Комисията.</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http://www.eca.europa.eu/Lists/ECADocuments/SR16_06/SR_ANIMAL_DISEASES_BG.pdf.</w:t>
      </w:r>
    </w:p>
  </w:footnote>
  <w:footnote w:id="6">
    <w:p>
      <w:pPr>
        <w:pStyle w:val="FootnoteText"/>
        <w:ind w:left="709" w:hanging="709"/>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Регионализацията е нова методология за контрол на болестите чрез разделяне на районите, които са свободни от болести, и засегнатите райони въз основа на епидемиологични критерии.</w:t>
      </w:r>
    </w:p>
  </w:footnote>
  <w:footnote w:id="7">
    <w:p>
      <w:pPr>
        <w:pStyle w:val="FootnoteText"/>
      </w:pPr>
      <w:r>
        <w:rPr>
          <w:rStyle w:val="FootnoteReference"/>
        </w:rPr>
        <w:footnoteRef/>
      </w:r>
      <w:r>
        <w:t xml:space="preserve"> </w:t>
      </w:r>
      <w:r>
        <w:rPr>
          <w:rFonts w:ascii="Times New Roman" w:hAnsi="Times New Roman"/>
        </w:rPr>
        <w:t>Приложение 4 към работния документ на службите на Комисията.</w:t>
      </w:r>
    </w:p>
  </w:footnote>
  <w:footnote w:id="8">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Чрез изпитването за пригодност се определя качеството на изпълнение на отделните лаборатории за конкретни изследвания или измервания, като то се използва за проследяване на качеството на изпълнение на лабораториите в дългосрочен план. То се нарича още междулабораторно сравняване. Както проличава от термина, при изпитването за пригодност се сравняват резултатите от измерването, получени от различни лаборатории.</w:t>
      </w:r>
    </w:p>
  </w:footnote>
  <w:footnote w:id="9">
    <w:p>
      <w:pPr>
        <w:pStyle w:val="Default"/>
        <w:jc w:val="both"/>
        <w:rPr>
          <w:sz w:val="20"/>
          <w:szCs w:val="20"/>
        </w:rPr>
      </w:pPr>
      <w:r>
        <w:rPr>
          <w:rStyle w:val="FootnoteReference"/>
          <w:sz w:val="20"/>
        </w:rPr>
        <w:footnoteRef/>
      </w:r>
      <w:r>
        <w:tab/>
      </w:r>
      <w:r>
        <w:rPr>
          <w:sz w:val="20"/>
        </w:rPr>
        <w:t>COM(2011) 500 окончателен от 22.6.2011 г.</w:t>
      </w:r>
    </w:p>
  </w:footnote>
  <w:footnote w:id="10">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sz w:val="20"/>
        </w:rPr>
        <w:t>COM(2014) 130 final, 19.3.2014 г.</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https://ec.europa.eu/commission/sites/beta-political/files/05_the_rome_agenda_bg_web.pdf</w:t>
      </w:r>
    </w:p>
  </w:footnote>
  <w:footnote w:id="12">
    <w:p>
      <w:pPr>
        <w:pStyle w:val="FootnoteText"/>
      </w:pPr>
      <w:r>
        <w:rPr>
          <w:rStyle w:val="FootnoteReference"/>
        </w:rPr>
        <w:footnoteRef/>
      </w:r>
      <w:r>
        <w:t xml:space="preserve"> Епидемията започна през 2015 г. и все още не е приключила. Към днешна дата предварителните разходи надхвърлят 110 милиона евро.</w:t>
      </w:r>
    </w:p>
  </w:footnote>
  <w:footnote w:id="13">
    <w:p>
      <w:pPr>
        <w:autoSpaceDE w:val="0"/>
        <w:autoSpaceDN w:val="0"/>
        <w:adjustRightInd w:val="0"/>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color w:val="646463"/>
          <w:sz w:val="20"/>
        </w:rPr>
        <w:t>Регламент (ЕС) № 966/2012 (</w:t>
      </w:r>
      <w:r>
        <w:rPr>
          <w:rFonts w:ascii="Times New Roman" w:hAnsi="Times New Roman"/>
          <w:color w:val="000000"/>
          <w:sz w:val="20"/>
        </w:rPr>
        <w:t>ОВ L 298, 26.10.2012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44772"/>
    <w:multiLevelType w:val="hybridMultilevel"/>
    <w:tmpl w:val="08C0E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783513C"/>
    <w:multiLevelType w:val="hybridMultilevel"/>
    <w:tmpl w:val="437A0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8A60E94"/>
    <w:multiLevelType w:val="hybridMultilevel"/>
    <w:tmpl w:val="F8965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4A12FA4"/>
    <w:multiLevelType w:val="multilevel"/>
    <w:tmpl w:val="27DC915A"/>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5F92C79"/>
    <w:multiLevelType w:val="hybridMultilevel"/>
    <w:tmpl w:val="9CB2F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EFBF83EA7AC452DAFC6076E3D6B5FCB"/>
    <w:docVar w:name="LW_CROSSREFERENCE" w:val="{SWD(2017) 314 final}_x000b_{SWD(2017) 315 final}_x000b_{SWD(2017) 316 final}"/>
    <w:docVar w:name="LW_DocType" w:val="NORMAL"/>
    <w:docVar w:name="LW_EMISSION" w:val="26.9.2017"/>
    <w:docVar w:name="LW_EMISSION_ISODATE" w:val="2017-09-26"/>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46"/>
    <w:docVar w:name="LW_REF.INTERNE" w:val="&lt;UNUSED&gt;"/>
    <w:docVar w:name="LW_SOUS.TITRE.OBJ.CP" w:val="&lt;UNUSED&gt;"/>
    <w:docVar w:name="LW_SUPERTITRE" w:val="&lt;UNUSED&gt;"/>
    <w:docVar w:name="LW_TITRE.OBJ.CP" w:val="\u1052?\u1077?\u1078?\u1076?\u1080?\u1085?\u1085?\u1072? \u1086?\u1094?\u1077?\u1085?\u1082?\u1072? \u1085?\u1072? \u1056?\u1077?\u1075?\u1083?\u1072?\u1084?\u1077?\u1085?\u1090? (\u1045?\u1057?) \u8470? 652/2014 \u1085?\u1072? \u1045?\u1074?\u1088?\u1086?\u1087?\u1077?\u1081?\u1089?\u1082?\u1080?\u1103? \u1087?\u1072?\u1088?\u1083?\u1072?\u1084?\u1077?\u1085?\u1090? \u1080? \u1085?\u1072? \u1057?\u1098?\u1074?\u1077?\u1090?\u1072? \u1079?\u1072? \u1091?\u1089?\u1090?\u1072?\u1085?\u1086?\u1074?\u1103?\u1074?\u1072?\u1085?\u1077? \u1085?\u1072? \u1088?\u1072?\u1079?\u1087?\u1086?\u1088?\u1077?\u1076?\u1073?\u1080? \u1079?\u1072? \u1091?\u1087?\u1088?\u1072?\u1074?\u1083?\u1077?\u1085?\u1080?\u1077?\u1090?\u1086? \u1085?\u1072? \u1088?\u1072?\u1079?\u1093?\u1086?\u1076?\u1080?\u1090?\u1077?, \u1089?\u1074?\u1098?\u1088?\u1079?\u1072?\u1085?\u1080? \u1089? \u1093?\u1088?\u1072?\u1085?\u1080?\u1090?\u1077?\u1083?\u1085?\u1072?\u1090?\u1072? \u1074?\u1077?\u1088?\u1080?\u1075?\u1072?, \u1079?\u1076?\u1088?\u1072?\u1074?\u1077?\u1086?\u1087?\u1072?\u1079?\u1074?\u1072?\u1085?\u1077?\u1090?\u1086? \u1085?\u1072? \u1078?\u1080?\u1074?\u1086?\u1090?\u1085?\u1080?\u1090?\u1077? \u1080? \u1093?\u1091?\u1084?\u1072?\u1085?\u1085?\u1086?\u1090?\u1086? \u1086?\u1090?\u1085?\u1086?\u1096?\u1077?\u1085?\u1080?\u1077? \u1082?\u1098?\u1084? \u1090?\u1103?\u1093?, \u1079?\u1076?\u1088?\u1072?\u1074?\u1077?\u1090?\u1086? \u1085?\u1072? \u1088?\u1072?\u1089?\u1090?\u1077?\u1085?\u1080?\u1103?\u1090?\u1072? \u1080? \u1088?\u1072?\u1089?\u1090?\u1080?\u1090?\u1077?\u1083?\u1085?\u1080?\u1103? \u1088?\u1077?\u1087?\u1088?\u1086?\u1076?\u1091?\u1082?\u1090?\u1080?\u1074?\u1077?\u1085? \u1084?\u1072?\u1090?\u1077?\u1088?\u1080?\u1072?\u1083? , \u1079?\u1072? \u1080?\u1079?\u1084?\u1077?\u1085?\u1077?\u1085?\u1080?\u1077? \u1085?\u1072? \u1076?\u1080?\u1088?\u1077?\u1082?\u1090?\u1080?\u1074?\u1080? 98/56/\u1045?\u1054?, 2000/29/\u1045?\u1054? \u1080? 2008/90/\u1045?\u1054? \u1085?\u1072? \u1057?\u1098?\u1074?\u1077?\u1090?\u1072?, \u1085?\u1072? \u1088?\u1077?\u1075?\u1083?\u1072?\u1084?\u1077?\u1085?\u1090?\u1080? (\u1045?\u1054?) \u8470? 178/2002, (\u1045?\u1054?) \u8470? 882/2004 \u1080? (\u1045?\u1054?) \u8470? 396/2005 \u1085?\u1072? \u1045?\u1074?\u1088?\u1086?\u1087?\u1077?\u1081?\u1089?\u1082?\u1080?\u1103? \u1087?\u1072?\u1088?\u1083?\u1072?\u1084?\u1077?\u1085?\u1090? \u1080? \u1085?\u1072? \u1057?\u1098?\u1074?\u1077?\u1090?\u1072?, \u1085?\u1072? \u1044?\u1080?\u1088?\u1077?\u1082?\u1090?\u1080?\u1074?\u1072? 2009/128/\u1045?\u1054? \u1085?\u1072? \u1045?\u1074?\u1088?\u1086?\u1087?\u1077?\u1081?\u1089?\u1082?\u1080?\u1103? \u1087?\u1072?\u1088?\u1083?\u1072?\u1084?\u1077?\u1085?\u1090? \u1080? \u1085?\u1072? \u1057?\u1098?\u1074?\u1077?\u1090?\u1072? \u1080? \u1085?\u1072? \u1056?\u1077?\u1075?\u1083?\u1072?\u1084?\u1077?\u1085?\u1090? (\u1045?\u1054?) \u8470? 1107/2009 \u1085?\u1072? \u1045?\u1074?\u1088?\u1086?\u1087?\u1077?\u1081?\u1089?\u1082?\u1080?\u1103? \u1087?\u1072?\u1088?\u1083?\u1072?\u1084?\u1077?\u1085?\u1090? \u1080? \u1085?\u1072? \u1057?\u1098?\u1074?\u1077?\u1090?\u1072? \u1080? \u1079?\u1072? \u1086?\u1090?\u1084?\u1103?\u1085?\u1072? \u1085?\u1072? \u1088?\u1077?\u1096?\u1077?\u1085?\u1080?\u1103? 66/399/\u1045?\u1048?\u1054?, 76/894/\u1045?\u1048?\u1054? \u1080? 2009/470/\u1045?\u1054? \u1085?\u1072? \u1057?\u1098?\u1074?\u1077?\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bg-BG"/>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unhideWhenUsed/>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rPr>
      <w:sz w:val="20"/>
      <w:szCs w:val="20"/>
    </w:rPr>
  </w:style>
  <w:style w:type="character" w:styleId="FootnoteReference">
    <w:name w:val="footnote reference"/>
    <w:aliases w:val="Footnote symbol,Odwołanie przypisu,Footnote Reference Number,Footnote Reference Superscript,SUPERS,Times 10 Point,Exposant 3 Point, Exposant 3 Point,Footnote,Ref,de nota al pie,Footnote Char,Footnote number Char,Footnote symbol Char"/>
    <w:uiPriority w:val="99"/>
    <w:unhideWhenUsed/>
    <w:qFormat/>
    <w:rPr>
      <w:shd w:val="clear" w:color="auto" w:fill="auto"/>
      <w:vertAlign w:val="superscript"/>
    </w:rPr>
  </w:style>
  <w:style w:type="paragraph" w:customStyle="1" w:styleId="Text">
    <w:name w:val="Text"/>
    <w:basedOn w:val="Normal"/>
    <w:pPr>
      <w:jc w:val="both"/>
    </w:pPr>
    <w:rPr>
      <w:rFonts w:ascii="Times New Roman" w:hAnsi="Times New Roman" w:cs="Times New Roman"/>
      <w:sz w:val="24"/>
      <w:szCs w:val="24"/>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bg-BG"/>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unhideWhenUsed/>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rPr>
      <w:sz w:val="20"/>
      <w:szCs w:val="20"/>
    </w:rPr>
  </w:style>
  <w:style w:type="character" w:styleId="FootnoteReference">
    <w:name w:val="footnote reference"/>
    <w:aliases w:val="Footnote symbol,Odwołanie przypisu,Footnote Reference Number,Footnote Reference Superscript,SUPERS,Times 10 Point,Exposant 3 Point, Exposant 3 Point,Footnote,Ref,de nota al pie,Footnote Char,Footnote number Char,Footnote symbol Char"/>
    <w:uiPriority w:val="99"/>
    <w:unhideWhenUsed/>
    <w:qFormat/>
    <w:rPr>
      <w:shd w:val="clear" w:color="auto" w:fill="auto"/>
      <w:vertAlign w:val="superscript"/>
    </w:rPr>
  </w:style>
  <w:style w:type="paragraph" w:customStyle="1" w:styleId="Text">
    <w:name w:val="Text"/>
    <w:basedOn w:val="Normal"/>
    <w:pPr>
      <w:jc w:val="both"/>
    </w:pPr>
    <w:rPr>
      <w:rFonts w:ascii="Times New Roman" w:hAnsi="Times New Roman" w:cs="Times New Roman"/>
      <w:sz w:val="24"/>
      <w:szCs w:val="24"/>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0B98-EA05-42BE-A86F-CA8E65E1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16</Pages>
  <Words>5579</Words>
  <Characters>32750</Characters>
  <Application>Microsoft Office Word</Application>
  <DocSecurity>0</DocSecurity>
  <Lines>545</Lines>
  <Paragraphs>122</Paragraphs>
  <ScaleCrop>false</ScaleCrop>
  <HeadingPairs>
    <vt:vector size="2" baseType="variant">
      <vt:variant>
        <vt:lpstr>Title</vt:lpstr>
      </vt:variant>
      <vt:variant>
        <vt:i4>1</vt:i4>
      </vt:variant>
    </vt:vector>
  </HeadingPairs>
  <TitlesOfParts>
    <vt:vector size="1" baseType="lpstr">
      <vt:lpstr>SANTE/11001/2017-EN Rev, 2</vt:lpstr>
    </vt:vector>
  </TitlesOfParts>
  <Manager/>
  <Company/>
  <LinksUpToDate>false</LinksUpToDate>
  <CharactersWithSpaces>38207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SANTE/11001/2017-EN Rev, 2</dc:title>
  <dc:subject>REPORT FROM THE COMMISSION TO THE EUROPEAN PARLIAMENT AND TO THE COUNCIL</dc:subject>
  <dc:creator/>
  <cp:keywords>11001</cp:keywords>
  <dc:description>Outlook 23,8,2017</dc:description>
  <cp:lastModifiedBy>DIGIT/A3</cp:lastModifiedBy>
  <cp:revision>21</cp:revision>
  <cp:lastPrinted>2017-08-22T14:49:00Z</cp:lastPrinted>
  <dcterms:created xsi:type="dcterms:W3CDTF">2017-09-08T12:22:00Z</dcterms:created>
  <dcterms:modified xsi:type="dcterms:W3CDTF">2017-09-15T14:46:00Z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