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484F92523FA44079DAB511C9B40BC5D" style="width:450.35pt;height:352.55pt">
            <v:imagedata r:id="rId9" o:title=""/>
          </v:shape>
        </w:pict>
      </w:r>
    </w:p>
    <w:p>
      <w:pPr>
        <w:rPr>
          <w:noProof/>
        </w:rPr>
        <w:sectPr>
          <w:footerReference w:type="default" r:id="rId10"/>
          <w:pgSz w:w="11906" w:h="16838"/>
          <w:pgMar w:top="1134" w:right="1418" w:bottom="1134" w:left="1418" w:header="709" w:footer="709" w:gutter="0"/>
          <w:pgNumType w:start="1"/>
          <w:cols w:space="720"/>
          <w:docGrid w:linePitch="326"/>
        </w:sectPr>
      </w:pPr>
    </w:p>
    <w:p>
      <w:pPr>
        <w:pStyle w:val="Exposdesmotifstitre"/>
        <w:rPr>
          <w:noProof/>
          <w:lang w:val="fr-BE"/>
        </w:rPr>
      </w:pPr>
      <w:bookmarkStart w:id="0" w:name="_GoBack"/>
      <w:bookmarkEnd w:id="0"/>
      <w:r>
        <w:rPr>
          <w:noProof/>
          <w:lang w:val="fr-BE"/>
        </w:rPr>
        <w:lastRenderedPageBreak/>
        <w:t>EXPOSÉ DES MOTIFS</w:t>
      </w:r>
    </w:p>
    <w:p>
      <w:pPr>
        <w:pStyle w:val="Point0"/>
        <w:rPr>
          <w:noProof/>
        </w:rPr>
      </w:pPr>
      <w:r>
        <w:rPr>
          <w:noProof/>
        </w:rPr>
        <w:t>1.</w:t>
      </w:r>
      <w:r>
        <w:rPr>
          <w:noProof/>
        </w:rPr>
        <w:tab/>
        <w:t>Dans le contexte de l'Europe des citoyens, la Commission attache une grande importance à la simplification et à la clarté du droit de l'Union afin de le rendre plus lisible et plus accessible au citoyen en lui offrant ainsi des possibilités accrues de faire usage des droits spécifiques qui lui sont conférés.</w:t>
      </w:r>
    </w:p>
    <w:p>
      <w:pPr>
        <w:pStyle w:val="Text1"/>
        <w:rPr>
          <w:noProof/>
        </w:rPr>
      </w:pPr>
      <w:r>
        <w:rPr>
          <w:noProof/>
        </w:rPr>
        <w:t>Mais cet objectif ne pourra être atteint tant que subsistera un trop grand nombre de dispositions qui, ayant été modifiées à plusieurs reprises et souvent de façon substantielle, se trouvent éparpillées en partie dans l’acte originaire et en partie dans les actes modificatifs ultérieurs. Un travail de recherche et de comparaison d'un grand nombre d'actes est ainsi nécessaire pour identifier les dispositions en vigueur.</w:t>
      </w:r>
    </w:p>
    <w:p>
      <w:pPr>
        <w:pStyle w:val="Text1"/>
        <w:rPr>
          <w:noProof/>
        </w:rPr>
      </w:pPr>
      <w:r>
        <w:rPr>
          <w:noProof/>
        </w:rPr>
        <w:t>De ce fait, la clarté et la transparence du droit dépendent aussi de la codification de la réglementation souvent modifiée.</w:t>
      </w:r>
    </w:p>
    <w:p>
      <w:pPr>
        <w:pStyle w:val="Point0"/>
        <w:rPr>
          <w:noProof/>
        </w:rPr>
      </w:pPr>
      <w:r>
        <w:rPr>
          <w:noProof/>
        </w:rPr>
        <w:t>2.</w:t>
      </w:r>
      <w:r>
        <w:rPr>
          <w:noProof/>
        </w:rPr>
        <w:tab/>
        <w:t>Le 1er avril 1987, la Commission a décidé</w:t>
      </w:r>
      <w:r>
        <w:rPr>
          <w:rStyle w:val="FootnoteReference"/>
          <w:noProof/>
        </w:rPr>
        <w:footnoteReference w:id="1"/>
      </w:r>
      <w:r>
        <w:rPr>
          <w:noProof/>
        </w:rPr>
        <w:t xml:space="preserve"> de donner à ses services l'instruction de procéder à la codification de tous les actes au plus tard après leur dixième modification, tout en soulignant qu'il s'agissait là d'une règle minimale et que les services devaient s'efforcer de codifier les textes dont ils ont la responsabilité à des intervalles encore plus brefs dans l'intérêt de la clarté et de la bonne compréhension de leurs dispositions.</w:t>
      </w:r>
    </w:p>
    <w:p>
      <w:pPr>
        <w:pStyle w:val="Point0"/>
        <w:rPr>
          <w:noProof/>
        </w:rPr>
      </w:pPr>
      <w:r>
        <w:rPr>
          <w:noProof/>
        </w:rPr>
        <w:t>3.</w:t>
      </w:r>
      <w:r>
        <w:rPr>
          <w:noProof/>
        </w:rPr>
        <w:tab/>
        <w:t>Les conclusions de la présidence du Conseil européen d'Édimbourg, en décembre 1992, ont confirmé ces impératifs</w:t>
      </w:r>
      <w:r>
        <w:rPr>
          <w:rStyle w:val="FootnoteReference"/>
          <w:noProof/>
        </w:rPr>
        <w:footnoteReference w:id="2"/>
      </w:r>
      <w:r>
        <w:rPr>
          <w:noProof/>
        </w:rPr>
        <w:t xml:space="preserve"> en soulignant l'importance de la codification qui offre une sécurité juridique quant au droit applicable à un moment donné à propos d’une question donnée.</w:t>
      </w:r>
    </w:p>
    <w:p>
      <w:pPr>
        <w:pStyle w:val="Text1"/>
        <w:rPr>
          <w:noProof/>
        </w:rPr>
      </w:pPr>
      <w:r>
        <w:rPr>
          <w:noProof/>
        </w:rPr>
        <w:t>La codification doit être effectuée dans le strict respect de la procédure normale d'adoption des actes de l'Union.</w:t>
      </w:r>
    </w:p>
    <w:p>
      <w:pPr>
        <w:pStyle w:val="Text1"/>
        <w:rPr>
          <w:noProof/>
        </w:rPr>
      </w:pPr>
      <w:r>
        <w:rPr>
          <w:noProof/>
        </w:rPr>
        <w:t>Comme aucune modification de substance ne peut être introduite dans les actes qui font l'objet de la codification, le Parlement européen, le Conseil et la Commission ont convenu, par un accord interinstitutionnel du 20 décembre 1994, qu'une procédure accélérée pourrait être utilisée en vue de l'adoption rapide des actes codifiés.</w:t>
      </w:r>
    </w:p>
    <w:p>
      <w:pPr>
        <w:pStyle w:val="Point0"/>
        <w:rPr>
          <w:noProof/>
        </w:rPr>
      </w:pPr>
      <w:r>
        <w:rPr>
          <w:noProof/>
        </w:rPr>
        <w:t>4.</w:t>
      </w:r>
      <w:r>
        <w:rPr>
          <w:noProof/>
        </w:rPr>
        <w:tab/>
        <w:t>L'objet de la présente proposition est de procéder à la codification du règlement (CE) n° 1365/2006 du Parlement européen et du Conseil du 6 septembre 2006 relatif aux statistiques des transports de marchandises par voies navigables intérieures et abrogeant la directive 80/1119/CEE du Conseil</w:t>
      </w:r>
      <w:r>
        <w:rPr>
          <w:rStyle w:val="FootnoteReference"/>
          <w:noProof/>
        </w:rPr>
        <w:footnoteReference w:id="3"/>
      </w:r>
      <w:r>
        <w:rPr>
          <w:noProof/>
        </w:rPr>
        <w:t>. Le nouveau règlement se substituera aux divers actes qui y sont incorporés</w:t>
      </w:r>
      <w:r>
        <w:rPr>
          <w:rStyle w:val="FootnoteReference"/>
          <w:noProof/>
        </w:rPr>
        <w:footnoteReference w:id="4"/>
      </w:r>
      <w:r>
        <w:rPr>
          <w:noProof/>
        </w:rPr>
        <w:t>; il en préserve totalement la substance et se borne donc à les regrouper en y apportant les seules modifications formelles requises par l'opération même de codification.</w:t>
      </w:r>
    </w:p>
    <w:p>
      <w:pPr>
        <w:pStyle w:val="Point0"/>
        <w:rPr>
          <w:noProof/>
        </w:rPr>
      </w:pPr>
      <w:r>
        <w:rPr>
          <w:noProof/>
        </w:rPr>
        <w:t>5.</w:t>
      </w:r>
      <w:r>
        <w:rPr>
          <w:noProof/>
        </w:rPr>
        <w:tab/>
        <w:t>La présente proposition de codification a été élaborée sur la base d'une consolidation préalable du texte, dans 24 langues officielles, du règlement (CE) n° 1365/2006 et des actes qui l'ont modifié, effectuée, au moyen d'un système informatique, par l'Office des publications de l'Union européenne. Lorsque les articles ont été renumérotés, la corrélation entre l'ancienne et la nouvelle numérotation est exposée dans un tableau de correspondance qui figure à l'annexe VIII du règlement codifié.</w:t>
      </w:r>
    </w:p>
    <w:p>
      <w:pPr>
        <w:rPr>
          <w:noProof/>
        </w:rPr>
        <w:sectPr>
          <w:footerReference w:type="default" r:id="rId11"/>
          <w:footerReference w:type="first" r:id="rId12"/>
          <w:pgSz w:w="11906" w:h="16838"/>
          <w:pgMar w:top="1134" w:right="1418" w:bottom="1134" w:left="1418" w:header="709" w:footer="709" w:gutter="0"/>
          <w:cols w:space="720"/>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 (adapté)</w:t>
      </w:r>
    </w:p>
    <w:p>
      <w:pPr>
        <w:pStyle w:val="Rfrenceinterinstitutionnelle"/>
        <w:rPr>
          <w:noProof/>
        </w:rPr>
      </w:pPr>
      <w:r>
        <w:rPr>
          <w:noProof/>
        </w:rPr>
        <w:t>2013/0226 (COD)</w:t>
      </w:r>
    </w:p>
    <w:p>
      <w:pPr>
        <w:pStyle w:val="Statut"/>
        <w:rPr>
          <w:noProof/>
          <w:lang w:val="fr-BE"/>
        </w:rPr>
      </w:pPr>
      <w:r>
        <w:rPr>
          <w:noProof/>
        </w:rPr>
        <w:t>Proposition de</w:t>
      </w:r>
    </w:p>
    <w:p>
      <w:pPr>
        <w:pStyle w:val="Typedudocument"/>
        <w:rPr>
          <w:noProof/>
          <w:lang w:val="fr-BE"/>
        </w:rPr>
      </w:pPr>
      <w:r>
        <w:rPr>
          <w:noProof/>
        </w:rPr>
        <w:t>RÈGLEMENT DU PARLEMENT EUROPÉEN ET DU CONSEIL</w:t>
      </w:r>
    </w:p>
    <w:p>
      <w:pPr>
        <w:pStyle w:val="Titreobjet"/>
        <w:rPr>
          <w:noProof/>
          <w:lang w:val="fr-BE"/>
        </w:rPr>
      </w:pPr>
      <w:r>
        <w:rPr>
          <w:noProof/>
        </w:rPr>
        <w:t>relatif aux statistiques des transports de marchandises par voies navigables intérieures (codification)</w:t>
      </w:r>
    </w:p>
    <w:p>
      <w:pPr>
        <w:pStyle w:val="Institutionquiagit"/>
        <w:rPr>
          <w:noProof/>
          <w:lang w:val="fr-BE"/>
        </w:rPr>
      </w:pPr>
      <w:r>
        <w:rPr>
          <w:noProof/>
          <w:lang w:val="fr-BE"/>
        </w:rPr>
        <w:t>LE PARLEMENT EUROPÉEN ET LE CONSEIL DE L'UNION EUROPÉENNE,</w:t>
      </w:r>
    </w:p>
    <w:p>
      <w:pPr>
        <w:rPr>
          <w:noProof/>
          <w:lang w:val="fr-BE"/>
        </w:rPr>
      </w:pPr>
      <w:r>
        <w:rPr>
          <w:noProof/>
          <w:lang w:val="fr-BE"/>
        </w:rPr>
        <w:t xml:space="preserve">vu le traité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lang w:val="fr-BE"/>
        </w:rPr>
        <w:t> sur le fonctionnement de l'Union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européenne, et notamment son 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338</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paragraphe 1,</w:t>
      </w:r>
    </w:p>
    <w:p>
      <w:pPr>
        <w:rPr>
          <w:noProof/>
          <w:lang w:val="fr-BE"/>
        </w:rPr>
      </w:pPr>
      <w:r>
        <w:rPr>
          <w:noProof/>
          <w:lang w:val="fr-BE"/>
        </w:rPr>
        <w:t>vu la proposition de la Commission,</w:t>
      </w:r>
    </w:p>
    <w:p>
      <w:pPr>
        <w:rPr>
          <w:noProof/>
          <w:lang w:val="fr-BE"/>
        </w:rPr>
      </w:pPr>
      <w:r>
        <w:rPr>
          <w:noProof/>
          <w:lang w:val="fr-BE"/>
        </w:rPr>
        <w:t>après transmission du projet d’acte législatif aux parlements nationaux,</w:t>
      </w:r>
    </w:p>
    <w:p>
      <w:pPr>
        <w:rPr>
          <w:noProof/>
          <w:lang w:val="fr-BE"/>
        </w:rPr>
      </w:pPr>
      <w:r>
        <w:rPr>
          <w:noProof/>
          <w:lang w:val="fr-BE"/>
        </w:rPr>
        <w:t>vu l’avis du Comité économique et social européen</w:t>
      </w:r>
      <w:r>
        <w:rPr>
          <w:rStyle w:val="FootnoteReference"/>
          <w:noProof/>
          <w:lang w:val="fr-BE"/>
        </w:rPr>
        <w:footnoteReference w:id="5"/>
      </w:r>
      <w:r>
        <w:rPr>
          <w:noProof/>
          <w:lang w:val="fr-BE"/>
        </w:rPr>
        <w:t>,</w:t>
      </w:r>
    </w:p>
    <w:p>
      <w:pPr>
        <w:rPr>
          <w:noProof/>
          <w:lang w:val="fr-BE"/>
        </w:rPr>
      </w:pPr>
      <w:r>
        <w:rPr>
          <w:noProof/>
          <w:lang w:val="fr-BE"/>
        </w:rPr>
        <w:t>statuant conformément à la procédure législative ordinaire,</w:t>
      </w:r>
    </w:p>
    <w:p>
      <w:pPr>
        <w:rPr>
          <w:noProof/>
          <w:lang w:val="fr-BE"/>
        </w:rPr>
      </w:pPr>
      <w:r>
        <w:rPr>
          <w:noProof/>
          <w:lang w:val="fr-BE"/>
        </w:rPr>
        <w:t>considérant ce qui suit: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p>
    <w:p>
      <w:pPr>
        <w:pStyle w:val="ManualConsidrant"/>
        <w:rPr>
          <w:noProof/>
          <w:lang w:val="fr-BE"/>
        </w:rPr>
      </w:pPr>
      <w:r>
        <w:t>(1)</w:t>
      </w:r>
      <w:r>
        <w:tab/>
      </w:r>
      <w:r>
        <w:rPr>
          <w:noProof/>
          <w:lang w:val="fr-BE"/>
        </w:rPr>
        <w:t>Le règlement (CE) n° 1365/2006 du Parlement européen et du Conseil</w:t>
      </w:r>
      <w:r>
        <w:rPr>
          <w:rStyle w:val="FootnoteReference"/>
          <w:noProof/>
          <w:lang w:val="fr-BE"/>
        </w:rPr>
        <w:footnoteReference w:id="6"/>
      </w:r>
      <w:r>
        <w:rPr>
          <w:noProof/>
          <w:lang w:val="fr-BE"/>
        </w:rPr>
        <w:t xml:space="preserve"> a été modifié à plusieurs reprises et de façon substantielle</w:t>
      </w:r>
      <w:r>
        <w:rPr>
          <w:rStyle w:val="FootnoteReference"/>
          <w:noProof/>
          <w:lang w:val="fr-BE"/>
        </w:rPr>
        <w:footnoteReference w:id="7"/>
      </w:r>
      <w:r>
        <w:rPr>
          <w:noProof/>
          <w:lang w:val="fr-BE"/>
        </w:rPr>
        <w:t>. Il convient, dans un souci de clarté et de rationalité, de procéder à la codification dudit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 considérant 1 (adapté)</w:t>
      </w:r>
    </w:p>
    <w:p>
      <w:pPr>
        <w:pStyle w:val="ManualConsidrant"/>
        <w:rPr>
          <w:noProof/>
          <w:lang w:val="fr-BE"/>
        </w:rPr>
      </w:pPr>
      <w:r>
        <w:t>(2)</w:t>
      </w:r>
      <w:r>
        <w:tab/>
      </w:r>
      <w:r>
        <w:rPr>
          <w:noProof/>
          <w:lang w:val="fr-BE"/>
        </w:rPr>
        <w:t xml:space="preserve">Les voies navigables intérieures constituent un élément important des réseaux de transport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et la promotion des transports par voies navigables intérieures est l'un des objectifs de la politique commune des transports, à la fois pour des raisons d'efficacité économique et afin d'économiser l'énergie et de réduire l'impact environnemental du transport.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 considérant 2</w:t>
      </w:r>
    </w:p>
    <w:p>
      <w:pPr>
        <w:pStyle w:val="ManualConsidrant"/>
        <w:rPr>
          <w:noProof/>
          <w:lang w:val="fr-BE"/>
        </w:rPr>
      </w:pPr>
      <w:r>
        <w:t>(3)</w:t>
      </w:r>
      <w:r>
        <w:tab/>
      </w:r>
      <w:r>
        <w:rPr>
          <w:noProof/>
          <w:lang w:val="fr-BE"/>
        </w:rPr>
        <w:t>La Commission doit disposer de statistiques concernant les transports de marchandises par voies navigables intérieures en vue d'assurer le suivi et le développement de la politique commune des transports ainsi que de la composante des politiques régionale et des réseaux transeuropéens relative au transport.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 considérant 5 (adapté)</w:t>
      </w:r>
    </w:p>
    <w:p>
      <w:pPr>
        <w:pStyle w:val="ManualConsidrant"/>
        <w:rPr>
          <w:noProof/>
          <w:lang w:val="fr-BE"/>
        </w:rPr>
      </w:pPr>
      <w:r>
        <w:t>(4)</w:t>
      </w:r>
      <w:r>
        <w:tab/>
      </w:r>
      <w:r>
        <w:rPr>
          <w:noProof/>
          <w:lang w:val="fr-BE"/>
        </w:rPr>
        <w:t xml:space="preserve">Les statistiques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européennes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sur tous les modes de transport devraient être collectées selon des normes et concepts communs afin d'atteindre la comparabilité la plus grande possible entre les modes de transport.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 considérant 6</w:t>
      </w:r>
    </w:p>
    <w:p>
      <w:pPr>
        <w:pStyle w:val="ManualConsidrant"/>
        <w:rPr>
          <w:noProof/>
          <w:lang w:val="fr-BE"/>
        </w:rPr>
      </w:pPr>
      <w:r>
        <w:t>(5)</w:t>
      </w:r>
      <w:r>
        <w:tab/>
      </w:r>
      <w:r>
        <w:rPr>
          <w:noProof/>
          <w:lang w:val="fr-BE"/>
        </w:rPr>
        <w:t>Il n'y a pas de transports par voies navigables intérieures dans tous les États membres et, par conséquent, le présent règlement n'a d'effet qu'à l'égard des États membres où existe ce mode de transport.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 considérant 7 (adapté)</w:t>
      </w:r>
    </w:p>
    <w:p>
      <w:pPr>
        <w:pStyle w:val="ManualConsidrant"/>
        <w:rPr>
          <w:noProof/>
          <w:lang w:val="fr-BE"/>
        </w:rPr>
      </w:pPr>
      <w:r>
        <w:t>(6)</w:t>
      </w:r>
      <w:r>
        <w:tab/>
      </w:r>
      <w:r>
        <w:rPr>
          <w:noProof/>
          <w:lang w:val="fr-BE"/>
        </w:rPr>
        <w:t xml:space="preserve">Étant donné que l'objectif poursuivi par le présent règlement, à savoir la création de normes statistiques communes permettant de produire des données harmonisées, ne peut pas être réalisé de manière suffisante par les États membres et peut donc être mieux réalisé au niveau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de 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l'Union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peut prendre des mesures, conformément au principe de subsidiarité consacré à l'article 5 du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sur l'Union européenne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fr-BE"/>
        </w:rPr>
        <w:t>. Conformément au principe de proportionnalité tel qu'énoncé audit article, le présent règlement n'excède pas ce qui est nécessaire pour atteindre cet objectif.</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 considérant 8</w:t>
      </w:r>
    </w:p>
    <w:p>
      <w:pPr>
        <w:pStyle w:val="ManualConsidrant"/>
        <w:rPr>
          <w:noProof/>
          <w:lang w:val="fr-BE"/>
        </w:rPr>
      </w:pPr>
      <w:r>
        <w:t>(7)</w:t>
      </w:r>
      <w:r>
        <w:tab/>
      </w:r>
      <w:r>
        <w:rPr>
          <w:noProof/>
          <w:lang w:val="fr-BE"/>
        </w:rPr>
        <w:t>Le</w:t>
      </w:r>
      <w:r>
        <w:rPr>
          <w:noProof/>
        </w:rPr>
        <w:t xml:space="preserve"> </w:t>
      </w:r>
      <w:r>
        <w:rPr>
          <w:noProof/>
          <w:lang w:val="fr-BE"/>
        </w:rPr>
        <w:t>règlement</w:t>
      </w:r>
      <w:r>
        <w:rPr>
          <w:noProof/>
        </w:rPr>
        <w:t xml:space="preserve"> </w:t>
      </w:r>
      <w:r>
        <w:rPr>
          <w:noProof/>
          <w:lang w:val="fr-BE"/>
        </w:rPr>
        <w:t>(CE)</w:t>
      </w:r>
      <w:r>
        <w:rPr>
          <w:noProof/>
        </w:rPr>
        <w:t xml:space="preserve"> </w:t>
      </w:r>
      <w:r>
        <w:rPr>
          <w:noProof/>
          <w:lang w:val="fr-BE"/>
        </w:rPr>
        <w:t>n°</w:t>
      </w:r>
      <w:r>
        <w:rPr>
          <w:noProof/>
        </w:rPr>
        <w:t xml:space="preserve"> </w:t>
      </w:r>
      <w:r>
        <w:rPr>
          <w:noProof/>
          <w:lang w:val="fr-BE"/>
        </w:rPr>
        <w:t>223/2009</w:t>
      </w:r>
      <w:r>
        <w:rPr>
          <w:noProof/>
        </w:rPr>
        <w:t xml:space="preserve"> </w:t>
      </w:r>
      <w:r>
        <w:rPr>
          <w:noProof/>
          <w:lang w:val="fr-BE"/>
        </w:rPr>
        <w:t>du</w:t>
      </w:r>
      <w:r>
        <w:rPr>
          <w:noProof/>
        </w:rPr>
        <w:t xml:space="preserve"> </w:t>
      </w:r>
      <w:r>
        <w:rPr>
          <w:noProof/>
          <w:lang w:val="fr-BE"/>
        </w:rPr>
        <w:t>Parlement</w:t>
      </w:r>
      <w:r>
        <w:rPr>
          <w:noProof/>
        </w:rPr>
        <w:t xml:space="preserve"> </w:t>
      </w:r>
      <w:r>
        <w:rPr>
          <w:noProof/>
          <w:lang w:val="fr-BE"/>
        </w:rPr>
        <w:t>européen</w:t>
      </w:r>
      <w:r>
        <w:rPr>
          <w:noProof/>
        </w:rPr>
        <w:t xml:space="preserve"> </w:t>
      </w:r>
      <w:r>
        <w:rPr>
          <w:noProof/>
          <w:lang w:val="fr-BE"/>
        </w:rPr>
        <w:t>et</w:t>
      </w:r>
      <w:r>
        <w:rPr>
          <w:noProof/>
        </w:rPr>
        <w:t xml:space="preserve"> </w:t>
      </w:r>
      <w:r>
        <w:rPr>
          <w:noProof/>
          <w:lang w:val="fr-BE"/>
        </w:rPr>
        <w:t>du</w:t>
      </w:r>
      <w:r>
        <w:rPr>
          <w:noProof/>
        </w:rPr>
        <w:t xml:space="preserve"> </w:t>
      </w:r>
      <w:r>
        <w:rPr>
          <w:noProof/>
          <w:lang w:val="fr-BE"/>
        </w:rPr>
        <w:t>Conseil</w:t>
      </w:r>
      <w:r>
        <w:rPr>
          <w:rStyle w:val="FootnoteReference"/>
          <w:noProof/>
          <w:lang w:val="fr-BE"/>
        </w:rPr>
        <w:footnoteReference w:id="8"/>
      </w:r>
      <w:r>
        <w:rPr>
          <w:noProof/>
          <w:lang w:val="fr-BE"/>
        </w:rPr>
        <w:t xml:space="preserve"> constitue un cadre de référence pour les dispositions du présent règlement.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considérant 5 (adapté)</w:t>
      </w:r>
    </w:p>
    <w:p>
      <w:pPr>
        <w:pStyle w:val="ManualConsidrant"/>
        <w:rPr>
          <w:noProof/>
          <w:lang w:val="fr-BE"/>
        </w:rPr>
      </w:pPr>
      <w:r>
        <w:t>(8)</w:t>
      </w:r>
      <w:r>
        <w:tab/>
      </w:r>
      <w:r>
        <w:rPr>
          <w:noProof/>
          <w:lang w:val="fr-BE"/>
        </w:rPr>
        <w:t xml:space="preserve">Il convient, afin de prendre en compte les évolutions et les modifications économiques et techniques qui touchent les définitions adoptées au niveau international, de déléguer à la Commission le pouvoir d’adopter des actes conformément à l’article 290 du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sur le fonctionnement de l'Union européenne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fr-BE"/>
        </w:rPr>
        <w:t xml:space="preserve">, en vue de la modification dudit règlement quant à l’augmentation du seuil de 1 000 000 de tonnes de couverture statistique des transports par voies navigables intérieures, à l’adaptation des définitions et à l’adoption de nouvelles définitions, et quant à l’adaptation des annexes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dudit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règlement, afin de prendre en compte les modifications intervenues dans la codification et la nomenclature au niveau international ou dans les actes législatifs pertinents de l’Union.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Pr>
          <w:rStyle w:val="FootnoteReference"/>
          <w:noProof/>
          <w:lang w:val="fr-BE"/>
        </w:rPr>
        <w:footnoteReference w:id="9"/>
      </w:r>
      <w:r>
        <w:rPr>
          <w:noProof/>
          <w:lang w:val="fr-BE"/>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considérant 6</w:t>
      </w:r>
    </w:p>
    <w:p>
      <w:pPr>
        <w:pStyle w:val="ManualConsidrant"/>
        <w:rPr>
          <w:noProof/>
          <w:lang w:val="fr-BE"/>
        </w:rPr>
      </w:pPr>
      <w:r>
        <w:t>(9)</w:t>
      </w:r>
      <w:r>
        <w:tab/>
      </w:r>
      <w:r>
        <w:rPr>
          <w:noProof/>
          <w:lang w:val="fr-BE"/>
        </w:rPr>
        <w:t>La Commission devrait veiller à ce que ces actes délégués n’imposent pas une charge supplémentaire significative aux États membres ou aux répondants.</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considérant 7 (adapté)</w:t>
      </w:r>
    </w:p>
    <w:p>
      <w:pPr>
        <w:pStyle w:val="ManualConsidrant"/>
        <w:rPr>
          <w:noProof/>
          <w:lang w:val="fr-BE"/>
        </w:rPr>
      </w:pPr>
      <w:r>
        <w:t>(10)</w:t>
      </w:r>
      <w:r>
        <w:tab/>
      </w:r>
      <w:r>
        <w:rPr>
          <w:noProof/>
          <w:lang w:val="fr-BE"/>
        </w:rPr>
        <w:t xml:space="preserve">Afin de garantir des conditions uniformes d’exécution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de ce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règlement, il convient de conférer des compétences d’exécution à la Commission pour adopter les modalités de transmission des données, y compris les normes en matière d’échange de données, et les modalités de diffusion des résultats par la Commission (Eurostat), ainsi que pour développer et publier les critères et les exigences méthodologiques destinés à assurer la qualité des données produites. Ces compétences devraient être exercées en conformité avec le règlement (UE) n° 182/2011 du</w:t>
      </w:r>
      <w:r>
        <w:rPr>
          <w:noProof/>
        </w:rPr>
        <w:t xml:space="preserve"> </w:t>
      </w:r>
      <w:r>
        <w:rPr>
          <w:noProof/>
          <w:lang w:val="fr-BE"/>
        </w:rPr>
        <w:t>Parlement</w:t>
      </w:r>
      <w:r>
        <w:rPr>
          <w:noProof/>
        </w:rPr>
        <w:t xml:space="preserve"> </w:t>
      </w:r>
      <w:r>
        <w:rPr>
          <w:noProof/>
          <w:lang w:val="fr-BE"/>
        </w:rPr>
        <w:t>européen</w:t>
      </w:r>
      <w:r>
        <w:rPr>
          <w:noProof/>
        </w:rPr>
        <w:t xml:space="preserve"> </w:t>
      </w:r>
      <w:r>
        <w:rPr>
          <w:noProof/>
          <w:lang w:val="fr-BE"/>
        </w:rPr>
        <w:t>et</w:t>
      </w:r>
      <w:r>
        <w:rPr>
          <w:noProof/>
        </w:rPr>
        <w:t xml:space="preserve"> </w:t>
      </w:r>
      <w:r>
        <w:rPr>
          <w:noProof/>
          <w:lang w:val="fr-BE"/>
        </w:rPr>
        <w:t>du</w:t>
      </w:r>
      <w:r>
        <w:rPr>
          <w:noProof/>
        </w:rPr>
        <w:t xml:space="preserve"> </w:t>
      </w:r>
      <w:r>
        <w:rPr>
          <w:noProof/>
          <w:lang w:val="fr-BE"/>
        </w:rPr>
        <w:t>Conseil</w:t>
      </w:r>
      <w:r>
        <w:rPr>
          <w:rStyle w:val="FootnoteReference"/>
          <w:noProof/>
          <w:lang w:val="fr-BE"/>
        </w:rPr>
        <w:footnoteReference w:id="10"/>
      </w:r>
      <w:r>
        <w:rPr>
          <w:noProof/>
          <w:lang w:val="fr-BE"/>
        </w:rPr>
        <w: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considérant 9 (adapté)</w:t>
      </w:r>
    </w:p>
    <w:p>
      <w:pPr>
        <w:pStyle w:val="ManualConsidrant"/>
        <w:rPr>
          <w:noProof/>
          <w:lang w:val="fr-BE"/>
        </w:rPr>
      </w:pPr>
      <w:r>
        <w:t>(11)</w:t>
      </w:r>
      <w:r>
        <w:tab/>
      </w:r>
      <w:r>
        <w:rPr>
          <w:noProof/>
          <w:lang w:val="fr-BE"/>
        </w:rPr>
        <w:t>Il est nécessaire que la Commission veille à ce que des études pilotes soient menées sur la disponibilité de données statistiques liées au transport de voyageurs par voies navigables intérieures, y compris les services de transport transfrontaliers. | L’Union devrait contribuer au coût lié à l’exécution de ces études pilotes. Ces contributions devraient prendre la forme de subventions accordées aux instituts nationaux de statistique et aux autres autorités nationales visés à l’article 5 du règlement (CE) n° 223/2009, conformément au règlement (UE, Euratom) n° 966/2012 du Parlement européen et du Conseil</w:t>
      </w:r>
      <w:r>
        <w:rPr>
          <w:rStyle w:val="FootnoteReference"/>
          <w:noProof/>
          <w:lang w:val="fr-BE"/>
        </w:rPr>
        <w:footnoteReference w:id="11"/>
      </w:r>
      <w:r>
        <w:rPr>
          <w:noProof/>
          <w:lang w:val="fr-BE"/>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w:t>
      </w:r>
    </w:p>
    <w:p>
      <w:pPr>
        <w:pStyle w:val="Formuledadoption"/>
        <w:rPr>
          <w:noProof/>
          <w:lang w:val="fr-BE"/>
        </w:rPr>
      </w:pPr>
      <w:r>
        <w:rPr>
          <w:noProof/>
          <w:lang w:val="fr-BE"/>
        </w:rPr>
        <w:t>ONT ADOPTÉ LE PRÉSENT RÈGLEMENT:</w:t>
      </w:r>
    </w:p>
    <w:p>
      <w:pPr>
        <w:pStyle w:val="Titrearticle"/>
        <w:rPr>
          <w:noProof/>
          <w:lang w:val="fr-BE"/>
        </w:rPr>
      </w:pPr>
      <w:r>
        <w:rPr>
          <w:noProof/>
          <w:lang w:val="fr-BE"/>
        </w:rPr>
        <w:t>Article premier</w:t>
      </w:r>
    </w:p>
    <w:p>
      <w:pPr>
        <w:pStyle w:val="NormalCentered"/>
        <w:keepNext/>
        <w:rPr>
          <w:b/>
          <w:bCs/>
          <w:noProof/>
          <w:lang w:val="fr-BE"/>
        </w:rPr>
      </w:pPr>
      <w:r>
        <w:rPr>
          <w:b/>
          <w:bCs/>
          <w:noProof/>
          <w:lang w:val="fr-BE"/>
        </w:rPr>
        <w:t>Objet</w:t>
      </w:r>
    </w:p>
    <w:p>
      <w:pPr>
        <w:rPr>
          <w:noProof/>
          <w:lang w:val="fr-BE"/>
        </w:rPr>
      </w:pPr>
      <w:r>
        <w:rPr>
          <w:noProof/>
          <w:lang w:val="fr-BE"/>
        </w:rPr>
        <w:t>Le présent règlement établit des règles communes pour la production de statistiques communautaires sur les transports par voies navigables intérieures.</w:t>
      </w:r>
    </w:p>
    <w:p>
      <w:pPr>
        <w:pStyle w:val="Titrearticle"/>
        <w:rPr>
          <w:noProof/>
        </w:rPr>
      </w:pPr>
      <w:r>
        <w:rPr>
          <w:noProof/>
        </w:rPr>
        <w:t>Article 2</w:t>
      </w:r>
    </w:p>
    <w:p>
      <w:pPr>
        <w:pStyle w:val="NormalCentered"/>
        <w:rPr>
          <w:b/>
          <w:bCs/>
          <w:noProof/>
        </w:rPr>
      </w:pPr>
      <w:r>
        <w:rPr>
          <w:b/>
          <w:bCs/>
          <w:noProof/>
        </w:rPr>
        <w:t>Champ d'application</w:t>
      </w:r>
    </w:p>
    <w:p>
      <w:pPr>
        <w:rPr>
          <w:noProof/>
        </w:rPr>
      </w:pPr>
      <w:r>
        <w:rPr>
          <w:noProof/>
        </w:rPr>
        <w:t>1. Les États membres transmettent à la Commission (Eurostat) les données relatives aux transports par voies navigables intérieures sur leur territoire national.</w:t>
      </w:r>
    </w:p>
    <w:p>
      <w:pPr>
        <w:rPr>
          <w:noProof/>
        </w:rPr>
      </w:pPr>
      <w:r>
        <w:rPr>
          <w:noProof/>
        </w:rPr>
        <w:t>2. Les États membres dans lesquels le volume total de marchandises transportées annuellement par voies navigables intérieures — qu'il s'agisse de transport national, international ou de transit — dépasse 1 000 000 de tonnes fournissent les données visées à l'article 4, paragraphe 1.</w:t>
      </w:r>
    </w:p>
    <w:p>
      <w:pPr>
        <w:rPr>
          <w:noProof/>
        </w:rPr>
      </w:pPr>
      <w:r>
        <w:rPr>
          <w:noProof/>
        </w:rPr>
        <w:t>3. Par dérogation au paragraphe 2, les États membres dans lesquels il n'y a pas de transport international ou de transit par voies navigables intérieures, mais dont le volume total annuel du transport national de marchandises par voies navigables intérieures dépasse 1 000 000 de tonnes, fournissent uniquement les données requises au titre de l'article 4, paragraphe 2.</w:t>
      </w:r>
    </w:p>
    <w:p>
      <w:pPr>
        <w:rPr>
          <w:noProof/>
        </w:rPr>
      </w:pPr>
      <w:r>
        <w:rPr>
          <w:noProof/>
        </w:rPr>
        <w:t>4. Le présent règlement ne s'applique pas:</w:t>
      </w:r>
    </w:p>
    <w:p>
      <w:pPr>
        <w:pStyle w:val="Point0"/>
        <w:rPr>
          <w:noProof/>
        </w:rPr>
      </w:pPr>
      <w:r>
        <w:rPr>
          <w:noProof/>
        </w:rPr>
        <w:t>a)</w:t>
      </w:r>
      <w:r>
        <w:rPr>
          <w:noProof/>
        </w:rPr>
        <w:tab/>
        <w:t>aux transports de marchandises effectués par des bateaux de moins de 50 tonnes de port en lourd;</w:t>
      </w:r>
    </w:p>
    <w:p>
      <w:pPr>
        <w:pStyle w:val="Point0"/>
        <w:rPr>
          <w:noProof/>
        </w:rPr>
      </w:pPr>
      <w:r>
        <w:rPr>
          <w:noProof/>
        </w:rPr>
        <w:t>b)</w:t>
      </w:r>
      <w:r>
        <w:rPr>
          <w:noProof/>
        </w:rPr>
        <w:tab/>
        <w:t>aux bateaux assurant principalement le transport de passagers;</w:t>
      </w:r>
    </w:p>
    <w:p>
      <w:pPr>
        <w:pStyle w:val="Point0"/>
        <w:rPr>
          <w:noProof/>
        </w:rPr>
      </w:pPr>
      <w:r>
        <w:rPr>
          <w:noProof/>
        </w:rPr>
        <w:t>c)</w:t>
      </w:r>
      <w:r>
        <w:rPr>
          <w:noProof/>
        </w:rPr>
        <w:tab/>
        <w:t>aux bateaux utilisés comme bacs;</w:t>
      </w:r>
    </w:p>
    <w:p>
      <w:pPr>
        <w:pStyle w:val="Point0"/>
        <w:rPr>
          <w:noProof/>
        </w:rPr>
      </w:pPr>
      <w:r>
        <w:rPr>
          <w:noProof/>
        </w:rPr>
        <w:t>d)</w:t>
      </w:r>
      <w:r>
        <w:rPr>
          <w:noProof/>
        </w:rPr>
        <w:tab/>
        <w:t>aux bateaux utilisés uniquement à des fins non commerciales par les administrations portuaires et les pouvoirs publics;</w:t>
      </w:r>
    </w:p>
    <w:p>
      <w:pPr>
        <w:pStyle w:val="Point0"/>
        <w:rPr>
          <w:noProof/>
        </w:rPr>
      </w:pPr>
      <w:r>
        <w:rPr>
          <w:noProof/>
        </w:rPr>
        <w:t>e)</w:t>
      </w:r>
      <w:r>
        <w:rPr>
          <w:noProof/>
        </w:rPr>
        <w:tab/>
        <w:t>aux bateaux utilisés uniquement pour l'avitaillement en combustibles ou l'entreposage;</w:t>
      </w:r>
    </w:p>
    <w:p>
      <w:pPr>
        <w:pStyle w:val="Point0"/>
        <w:rPr>
          <w:noProof/>
        </w:rPr>
      </w:pPr>
      <w:r>
        <w:rPr>
          <w:noProof/>
        </w:rPr>
        <w:t>f)</w:t>
      </w:r>
      <w:r>
        <w:rPr>
          <w:noProof/>
        </w:rPr>
        <w:tab/>
        <w:t>aux bateaux non affectés aux transports de marchandises tels que les bateaux de pêche, bateaux dragueurs, ateliers flottants, bateaux d'habitation et bateaux de plaisance.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Art. 1, pt. 1 (adapté)</w:t>
      </w:r>
    </w:p>
    <w:p>
      <w:pPr>
        <w:rPr>
          <w:noProof/>
        </w:rPr>
      </w:pPr>
      <w:r>
        <w:rPr>
          <w:noProof/>
        </w:rPr>
        <w:t>5. La Commission est habilitée à adopter des actes délégués conformément à l’article 10 en ce qui concerne la modification du paragraphe 2 du présent article afin d’augmenter le seuil de couverture statistique des transports par voies navigables intérieures visé au présent article, afin de prendre en compte les évolutions économiques et techniques. Lorsqu’elle exerce cette compétence, la Commission veille à ce que les actes délégués n’imposent pas une charge supplémentaire significative aux États membres ou aux répondants. En outre, la Commission motive dûment les mesures statistiques prévues dans ces actes délégués, en recourant, le cas échéant, à une analyse du rapport coût-efficacité, y compris par une évaluation de la charge pesant sur les répondants et des coûts de production, comme prévu à l’article 14, paragraphe 3, point c), du règlement (CE) n</w:t>
      </w:r>
      <w:r>
        <w:rPr>
          <w:noProof/>
          <w:vertAlign w:val="superscript"/>
        </w:rPr>
        <w:t>o</w:t>
      </w:r>
      <w:r>
        <w:rPr>
          <w:noProof/>
        </w:rPr>
        <w:t xml:space="preserve"> 223/2009.</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425/2007 Art. 1, pt. 1 </w:t>
      </w:r>
      <w:r>
        <w:rPr>
          <w:noProof/>
          <w:lang w:val="fr-BE"/>
        </w:rPr>
        <w:t>(adapté)</w:t>
      </w:r>
    </w:p>
    <w:p>
      <w:pPr>
        <w:pStyle w:val="Titrearticle"/>
        <w:rPr>
          <w:noProof/>
        </w:rPr>
      </w:pPr>
      <w:r>
        <w:rPr>
          <w:noProof/>
        </w:rPr>
        <w:t>Article 3</w:t>
      </w:r>
    </w:p>
    <w:p>
      <w:pPr>
        <w:pStyle w:val="NormalCentered"/>
        <w:rPr>
          <w:b/>
          <w:bCs/>
          <w:noProof/>
        </w:rPr>
      </w:pPr>
      <w:r>
        <w:rPr>
          <w:b/>
          <w:bCs/>
          <w:noProof/>
        </w:rPr>
        <w:t>Définitions</w:t>
      </w:r>
    </w:p>
    <w:p>
      <w:pPr>
        <w:rPr>
          <w:noProof/>
        </w:rPr>
      </w:pPr>
      <w:r>
        <w:rPr>
          <w:noProof/>
        </w:rPr>
        <w:t>Aux fins du présent règlement, on entend par:</w:t>
      </w:r>
    </w:p>
    <w:p>
      <w:pPr>
        <w:pStyle w:val="Point0"/>
        <w:rPr>
          <w:noProof/>
        </w:rPr>
      </w:pPr>
      <w:r>
        <w:rPr>
          <w:noProof/>
        </w:rPr>
        <w:t>a)</w:t>
      </w:r>
      <w:r>
        <w:rPr>
          <w:noProof/>
        </w:rPr>
        <w:tab/>
        <w:t>«voie navigable intérieure»: toute étendue d'eau, n'appartenant pas à la mer, dont les caractéristiques naturelles ou artificielles la rendent propre à la navigation, principalement de bateaux de navigation intérieure;</w:t>
      </w:r>
    </w:p>
    <w:p>
      <w:pPr>
        <w:pStyle w:val="Point0"/>
        <w:rPr>
          <w:noProof/>
        </w:rPr>
      </w:pPr>
      <w:r>
        <w:rPr>
          <w:noProof/>
        </w:rPr>
        <w:t>b)</w:t>
      </w:r>
      <w:r>
        <w:rPr>
          <w:noProof/>
        </w:rPr>
        <w:tab/>
        <w:t>«bateau de navigation intérieure»: tout engin flottant conçu pour le transport de marchandises ou le transport public de passagers qui navigue principalement sur des voies navigables intérieures ou dans les eaux situées à l'intérieur ou au proche voisinage d'eaux abritées ou de zones où s'appliquent les règlements portuaires;</w:t>
      </w:r>
    </w:p>
    <w:p>
      <w:pPr>
        <w:pStyle w:val="Point0"/>
        <w:rPr>
          <w:noProof/>
        </w:rPr>
      </w:pPr>
      <w:r>
        <w:rPr>
          <w:noProof/>
        </w:rPr>
        <w:t>c)</w:t>
      </w:r>
      <w:r>
        <w:rPr>
          <w:noProof/>
        </w:rPr>
        <w:tab/>
        <w:t xml:space="preserve">«nationalité du bateau»: le pays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où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le bateau est enregistré;</w:t>
      </w:r>
    </w:p>
    <w:p>
      <w:pPr>
        <w:pStyle w:val="Point0"/>
        <w:rPr>
          <w:noProof/>
        </w:rPr>
      </w:pPr>
      <w:r>
        <w:rPr>
          <w:noProof/>
        </w:rPr>
        <w:t>d)</w:t>
      </w:r>
      <w:r>
        <w:rPr>
          <w:noProof/>
        </w:rPr>
        <w:tab/>
        <w:t>«transport par voies navigables intérieures»: tout mouvement de marchandises et/ou de personnes par bateau de navigation intérieure pour des parcours effectués partiellement ou en totalité sur des voies navigables intérieures;</w:t>
      </w:r>
    </w:p>
    <w:p>
      <w:pPr>
        <w:pStyle w:val="Point0"/>
        <w:rPr>
          <w:noProof/>
        </w:rPr>
      </w:pPr>
      <w:r>
        <w:rPr>
          <w:noProof/>
        </w:rPr>
        <w:t>e)</w:t>
      </w:r>
      <w:r>
        <w:rPr>
          <w:noProof/>
        </w:rPr>
        <w:tab/>
        <w:t>«transport national par voies navigables intérieures»: le transport par voies navigables intérieures entre deux ports d'un territoire national, quelle que soit la nationalité du bateau;</w:t>
      </w:r>
    </w:p>
    <w:p>
      <w:pPr>
        <w:pStyle w:val="Point0"/>
        <w:rPr>
          <w:noProof/>
        </w:rPr>
      </w:pPr>
      <w:r>
        <w:rPr>
          <w:noProof/>
        </w:rPr>
        <w:t>f)</w:t>
      </w:r>
      <w:r>
        <w:rPr>
          <w:noProof/>
        </w:rPr>
        <w:tab/>
        <w:t>«transport international par voies navigables intérieures»: le transport par voies navigables intérieures entre deux ports situés dans des territoires nationaux différents;</w:t>
      </w:r>
    </w:p>
    <w:p>
      <w:pPr>
        <w:pStyle w:val="Point0"/>
        <w:rPr>
          <w:noProof/>
        </w:rPr>
      </w:pPr>
      <w:r>
        <w:rPr>
          <w:noProof/>
        </w:rPr>
        <w:t>g)</w:t>
      </w:r>
      <w:r>
        <w:rPr>
          <w:noProof/>
        </w:rPr>
        <w:tab/>
        <w:t>«transport de transit par voies navigables intérieures»: le transport par voies navigables intérieures dans un territoire national entre deux ports situés tous deux dans un autre territoire national ou des territoires nationaux, pour autant qu'aucun transbordement ne soit effectué durant le voyage complet dans le territoire national;</w:t>
      </w:r>
    </w:p>
    <w:p>
      <w:pPr>
        <w:pStyle w:val="Point0"/>
        <w:rPr>
          <w:noProof/>
        </w:rPr>
      </w:pPr>
      <w:r>
        <w:rPr>
          <w:noProof/>
        </w:rPr>
        <w:t>h)</w:t>
      </w:r>
      <w:r>
        <w:rPr>
          <w:noProof/>
        </w:rPr>
        <w:tab/>
        <w:t>«circulation de navigation intérieure»: tout mouvement de bateaux sur une voie navigable intérieure donnée.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Art. 1, pt. 2 (adapté)</w:t>
      </w:r>
    </w:p>
    <w:p>
      <w:pPr>
        <w:rPr>
          <w:noProof/>
        </w:rPr>
      </w:pPr>
      <w:r>
        <w:rPr>
          <w:noProof/>
        </w:rPr>
        <w:t xml:space="preserve">La Commission est habilitée à adopter des actes délégués conformément à l’article 10, en ce qui concerne la modification du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paragraphe 1 du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présent article qui vise à adapter les définitions qu’il contient et à prévoir de nouvelles définitions, afin de prendre en compte les définitions pertinentes modifiées ou adoptées au niveau international. Lorsqu’elle exerce cette compétence, la Commission veille à ce que les actes délégués n’imposent pas une charge supplémentaire significative aux États membres et aux répondants. En outre, la Commission motive dûment les mesures statistiques prévues dans ces actes délégués, en recourant, le cas échéant, à une analyse de leur rapport coût-efficacité, y compris par une évaluation de la charge pesant sur les répondants et des coûts de production, comme prévu à l’article 14, paragraphe 3, point c), du règlement (CE) n</w:t>
      </w:r>
      <w:r>
        <w:rPr>
          <w:noProof/>
          <w:vertAlign w:val="superscript"/>
        </w:rPr>
        <w:t>o</w:t>
      </w:r>
      <w:r>
        <w:rPr>
          <w:noProof/>
        </w:rPr>
        <w:t> 223/2009.</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w:t>
      </w:r>
    </w:p>
    <w:p>
      <w:pPr>
        <w:pStyle w:val="Titrearticle"/>
        <w:rPr>
          <w:noProof/>
        </w:rPr>
      </w:pPr>
      <w:r>
        <w:rPr>
          <w:noProof/>
        </w:rPr>
        <w:t>Article 4</w:t>
      </w:r>
    </w:p>
    <w:p>
      <w:pPr>
        <w:pStyle w:val="NormalCentered"/>
        <w:rPr>
          <w:b/>
          <w:bCs/>
          <w:noProof/>
        </w:rPr>
      </w:pPr>
      <w:r>
        <w:rPr>
          <w:b/>
          <w:bCs/>
          <w:noProof/>
        </w:rPr>
        <w:t>Collecte des données</w:t>
      </w:r>
    </w:p>
    <w:p>
      <w:pPr>
        <w:rPr>
          <w:noProof/>
        </w:rPr>
      </w:pPr>
      <w:r>
        <w:rPr>
          <w:noProof/>
        </w:rPr>
        <w:t>1. Les données sont collectées conformément aux tableaux figurant aux annexes I à IV.</w:t>
      </w:r>
    </w:p>
    <w:p>
      <w:pPr>
        <w:rPr>
          <w:noProof/>
        </w:rPr>
      </w:pPr>
      <w:r>
        <w:rPr>
          <w:noProof/>
        </w:rPr>
        <w:t>2. Dans le cas visé à l'article 2, paragraphe 3, les données sont collectées conformément au tableau figurant à l'annexe V.</w:t>
      </w:r>
    </w:p>
    <w:p>
      <w:pPr>
        <w:rPr>
          <w:noProof/>
        </w:rPr>
      </w:pPr>
      <w:r>
        <w:rPr>
          <w:noProof/>
        </w:rPr>
        <w:t>3. Aux fins du présent règlement, les marchandises sont classées selon les modalités définies à l'annexe VI.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Art. 1, pt. 3</w:t>
      </w:r>
    </w:p>
    <w:p>
      <w:pPr>
        <w:rPr>
          <w:noProof/>
        </w:rPr>
      </w:pPr>
      <w:r>
        <w:rPr>
          <w:noProof/>
        </w:rPr>
        <w:t>4. La Commission est habilitée à adopter des actes délégués conformément à l’article 10, en ce qui concerne la modification des annexes, afin de prendre en compte les modifications intervenues dans la codification et la nomenclature au niveau international ou dans les actes législatifs pertinents de l’Union. Lorsqu’elle exerce cette compétence, la Commission veille à ce que les actes délégués n’imposent pas une charge supplémentaire significative aux États membres et aux répondants. En outre, la Commission motive dûment les mesures statistiques prévues dans ces actes délégués, en recourant, le cas échéant, à une analyse du rapport coût</w:t>
      </w:r>
      <w:r>
        <w:rPr>
          <w:noProof/>
        </w:rPr>
        <w:noBreakHyphen/>
        <w:t>efficacité, y compris par une évaluation de la charge pesant sur les répondants et des coûts de production, comme prévu à l’article 14, paragraphe 3, point c), du règlement (CE) n</w:t>
      </w:r>
      <w:r>
        <w:rPr>
          <w:noProof/>
          <w:vertAlign w:val="superscript"/>
        </w:rPr>
        <w:t>o</w:t>
      </w:r>
      <w:r>
        <w:rPr>
          <w:noProof/>
        </w:rPr>
        <w:t> 223/2009.</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Art. 1, pt. 4</w:t>
      </w:r>
    </w:p>
    <w:p>
      <w:pPr>
        <w:pStyle w:val="Titrearticle"/>
        <w:rPr>
          <w:noProof/>
        </w:rPr>
      </w:pPr>
      <w:r>
        <w:rPr>
          <w:noProof/>
        </w:rPr>
        <w:t xml:space="preserve">Article 5 </w:t>
      </w:r>
    </w:p>
    <w:p>
      <w:pPr>
        <w:pStyle w:val="NormalCentered"/>
        <w:rPr>
          <w:b/>
          <w:bCs/>
          <w:noProof/>
        </w:rPr>
      </w:pPr>
      <w:r>
        <w:rPr>
          <w:b/>
          <w:bCs/>
          <w:noProof/>
        </w:rPr>
        <w:t>Études pilotes</w:t>
      </w:r>
    </w:p>
    <w:p>
      <w:pPr>
        <w:rPr>
          <w:noProof/>
        </w:rPr>
      </w:pPr>
      <w:r>
        <w:rPr>
          <w:noProof/>
        </w:rPr>
        <w:t>1. Au plus tard le 8 décembre 2018, la Commission développe, en coopération avec les États membres, une méthodologie appropriée d’élaboration de statistiques relatives au transport de voyageurs par voies navigables intérieures, y compris les services de transport transfrontaliers.</w:t>
      </w:r>
    </w:p>
    <w:p>
      <w:pPr>
        <w:rPr>
          <w:noProof/>
        </w:rPr>
      </w:pPr>
      <w:r>
        <w:rPr>
          <w:noProof/>
        </w:rPr>
        <w:t>2. Au plus tard le 8 décembre 2019, la Commission lance des études pilotes facultatives, qui doivent être menées par les États membres, fournissant des données relevant du champ d’application du présent règlement, sur la disponibilité de données statistiques liées au transport de voyageurs par voies navigables intérieures, y compris les services de transport transfrontaliers. Ces études pilotes visent à évaluer la faisabilité de ces nouvelles collectes de données, les coûts liés aux collectes de données correspondantes et leur qualité statistique implicite.</w:t>
      </w:r>
    </w:p>
    <w:p>
      <w:pPr>
        <w:rPr>
          <w:noProof/>
        </w:rPr>
      </w:pPr>
      <w:r>
        <w:rPr>
          <w:noProof/>
        </w:rPr>
        <w:t>3. Au plus tard le 8 décembre 2020, la Commission présente un rapport au Parlement européen et au Conseil sur les résultats de ces études pilotes. En fonction des résultats de ce rapport, la Commission soumet, dans un délai raisonnable, s’il y a lieu, une proposition législative au Parlement européen et au Conseil visant à modifier le présent règlement en ce qui concerne les statistiques sur le transport de voyageurs par voies navigables intérieures, y compris les services de transport transfrontaliers.</w:t>
      </w:r>
    </w:p>
    <w:p>
      <w:pPr>
        <w:rPr>
          <w:noProof/>
        </w:rPr>
      </w:pPr>
      <w:r>
        <w:rPr>
          <w:noProof/>
        </w:rPr>
        <w:t>4. Le budget général de l’Union contribue, le cas échéant et compte tenu de la valeur ajoutée de l’Union, au financement de ces études pilotes.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 (adapté)</w:t>
      </w:r>
    </w:p>
    <w:p>
      <w:pPr>
        <w:pStyle w:val="Titrearticle"/>
        <w:rPr>
          <w:noProof/>
        </w:rPr>
      </w:pPr>
      <w:r>
        <w:rPr>
          <w:noProof/>
        </w:rPr>
        <w:t xml:space="preserve">Article 6 </w:t>
      </w:r>
    </w:p>
    <w:p>
      <w:pPr>
        <w:pStyle w:val="NormalCentered"/>
        <w:rPr>
          <w:b/>
          <w:bCs/>
          <w:noProof/>
        </w:rPr>
      </w:pPr>
      <w:r>
        <w:rPr>
          <w:b/>
          <w:bCs/>
          <w:noProof/>
        </w:rPr>
        <w:t>Transmission des données</w:t>
      </w:r>
    </w:p>
    <w:p>
      <w:pPr>
        <w:rPr>
          <w:noProof/>
        </w:rPr>
      </w:pPr>
      <w:r>
        <w:rPr>
          <w:noProof/>
        </w:rPr>
        <w:t>1. Les données sont transmises le plus rapidement possible et au plus tard cinq mois après la fin de la période d'observation concernée.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Art. 1, pt. 5</w:t>
      </w:r>
    </w:p>
    <w:p>
      <w:pPr>
        <w:rPr>
          <w:noProof/>
        </w:rPr>
      </w:pPr>
      <w:r>
        <w:rPr>
          <w:noProof/>
        </w:rPr>
        <w:t>2. La Commission adopte des actes d’exécution établissant les modalités de transmission des données à la Commission (Eurostat), y compris les normes en matière d’échange de données. Ces actes d’exécution sont adoptés en conformité avec la procédure d’examen visée à l’article 11,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 (adapté)</w:t>
      </w:r>
    </w:p>
    <w:p>
      <w:pPr>
        <w:pStyle w:val="Titrearticle"/>
        <w:rPr>
          <w:noProof/>
        </w:rPr>
      </w:pPr>
      <w:r>
        <w:rPr>
          <w:noProof/>
        </w:rPr>
        <w:t xml:space="preserve">Article 7 </w:t>
      </w:r>
    </w:p>
    <w:p>
      <w:pPr>
        <w:pStyle w:val="NormalCentered"/>
        <w:rPr>
          <w:b/>
          <w:bCs/>
          <w:noProof/>
        </w:rPr>
      </w:pPr>
      <w:r>
        <w:rPr>
          <w:b/>
          <w:bCs/>
          <w:noProof/>
        </w:rPr>
        <w:t>Diffusion</w:t>
      </w:r>
    </w:p>
    <w:p>
      <w:pPr>
        <w:rPr>
          <w:noProof/>
        </w:rPr>
      </w:pPr>
      <w:r>
        <w:rPr>
          <w:noProof/>
        </w:rPr>
        <w:t xml:space="preserve">Les statistiques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européennes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fondées sur les données visées à l'article 4 sont diffusées à une fréquence analogue à celle qui est prévue pour la transmission des données par les États membres.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Art. 1, pt. 6</w:t>
      </w:r>
    </w:p>
    <w:p>
      <w:pPr>
        <w:rPr>
          <w:noProof/>
        </w:rPr>
      </w:pPr>
      <w:r>
        <w:rPr>
          <w:noProof/>
        </w:rPr>
        <w:t>La Commission adopte des actes d’exécution établissant les modalités de diffusion des résultats. Ces actes d’exécution sont adoptés en conformité avec la procédure d’examen visée à l’article 11,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w:t>
      </w:r>
    </w:p>
    <w:p>
      <w:pPr>
        <w:pStyle w:val="Titrearticle"/>
        <w:rPr>
          <w:noProof/>
        </w:rPr>
      </w:pPr>
      <w:r>
        <w:rPr>
          <w:noProof/>
        </w:rPr>
        <w:t xml:space="preserve">Article 8 </w:t>
      </w:r>
    </w:p>
    <w:p>
      <w:pPr>
        <w:pStyle w:val="NormalCentered"/>
        <w:keepNext/>
        <w:rPr>
          <w:b/>
          <w:bCs/>
          <w:noProof/>
        </w:rPr>
      </w:pPr>
      <w:r>
        <w:rPr>
          <w:b/>
          <w:bCs/>
          <w:noProof/>
        </w:rPr>
        <w:t>Qualité des données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Art. 1, pt. 7</w:t>
      </w:r>
    </w:p>
    <w:p>
      <w:pPr>
        <w:rPr>
          <w:noProof/>
        </w:rPr>
      </w:pPr>
      <w:r>
        <w:rPr>
          <w:noProof/>
        </w:rPr>
        <w:t>1. La Commission adopte des actes d’exécution établissant les critères et les exigences méthodologiques destinés à assurer la qualité des données produites. Ces actes d’exécution sont adoptés en conformité avec la procédure d’examen visée à l’article 11,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w:t>
      </w:r>
    </w:p>
    <w:p>
      <w:pPr>
        <w:rPr>
          <w:noProof/>
        </w:rPr>
      </w:pPr>
      <w:r>
        <w:rPr>
          <w:noProof/>
        </w:rPr>
        <w:t>2. Les États membres prennent toutes les mesures nécessaires pour garantir la qualité des données transmises.</w:t>
      </w:r>
    </w:p>
    <w:p>
      <w:pPr>
        <w:rPr>
          <w:noProof/>
        </w:rPr>
      </w:pPr>
      <w:r>
        <w:rPr>
          <w:noProof/>
        </w:rPr>
        <w:t>3. La Commission (Eurostat) évalue la qualité des données transmises. Les États membres fournissent à la Commission (Eurostat) un rapport contenant les informations et données qu'elle requiert le cas échéant pour vérifier la qualité des données transmises.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Art. 1, pt. 8</w:t>
      </w:r>
    </w:p>
    <w:p>
      <w:pPr>
        <w:rPr>
          <w:noProof/>
        </w:rPr>
      </w:pPr>
      <w:r>
        <w:rPr>
          <w:noProof/>
        </w:rPr>
        <w:t>4. Aux fins du présent règlement, les critères de qualité applicables aux données à transmettre sont ceux indiqués à l’article 12, paragraphe 1, du règlement (CE) n</w:t>
      </w:r>
      <w:r>
        <w:rPr>
          <w:noProof/>
          <w:vertAlign w:val="superscript"/>
        </w:rPr>
        <w:t>o</w:t>
      </w:r>
      <w:r>
        <w:rPr>
          <w:noProof/>
        </w:rPr>
        <w:t xml:space="preserve"> 223/2009.</w:t>
      </w:r>
    </w:p>
    <w:p>
      <w:pPr>
        <w:rPr>
          <w:noProof/>
        </w:rPr>
      </w:pPr>
      <w:r>
        <w:rPr>
          <w:noProof/>
        </w:rPr>
        <w:t>5. La Commission adopte des actes d’exécution fixant les modalités détaillées, la structure, la périodicité et les éléments de comparabilité des rapports sur la qualité. Ces actes d’exécution sont adoptés en conformité avec la procédure d’examen visée à l’article 11,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2016/1954 Art. 1, pt. 9 </w:t>
      </w:r>
      <w:r>
        <w:rPr>
          <w:noProof/>
          <w:lang w:val="fr-BE"/>
        </w:rPr>
        <w:t>(adapté)</w:t>
      </w:r>
    </w:p>
    <w:p>
      <w:pPr>
        <w:pStyle w:val="Titrearticle"/>
        <w:rPr>
          <w:noProof/>
        </w:rPr>
      </w:pPr>
      <w:r>
        <w:rPr>
          <w:noProof/>
        </w:rPr>
        <w:t xml:space="preserve">Article 9 </w:t>
      </w:r>
    </w:p>
    <w:p>
      <w:pPr>
        <w:pStyle w:val="NormalCentered"/>
        <w:rPr>
          <w:b/>
          <w:bCs/>
          <w:noProof/>
        </w:rPr>
      </w:pPr>
      <w:r>
        <w:rPr>
          <w:b/>
          <w:bCs/>
          <w:noProof/>
        </w:rPr>
        <w:t>Rapport sur la mise en application</w:t>
      </w:r>
    </w:p>
    <w:p>
      <w:pPr>
        <w:rPr>
          <w:noProof/>
        </w:rPr>
      </w:pPr>
      <w:r>
        <w:rPr>
          <w:noProof/>
        </w:rPr>
        <w:t>Au plus tard le 31 décembre 2020 et tous les cinq ans par la suite, la Commission, après consultation du comité du système statistique européen, soumet au Parlement européen et au Conseil un rapport sur la mise en application du présent règlement et sur les évolutions futures.</w:t>
      </w:r>
    </w:p>
    <w:p>
      <w:pPr>
        <w:rPr>
          <w:noProof/>
        </w:rPr>
      </w:pPr>
      <w:r>
        <w:rPr>
          <w:noProof/>
        </w:rPr>
        <w:t xml:space="preserve">Dans ce rapport, la Commission prend en compte les informations pertinentes fournies par les États membres sur les améliorations possibles et sur les besoins des utilisateurs. En particulier, ce rapport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évalue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a)</w:t>
      </w:r>
      <w:r>
        <w:rPr>
          <w:noProof/>
        </w:rPr>
        <w:tab/>
        <w:t>les bénéfices apportés par les statistiques produites à l’Union, aux États membres ainsi qu’aux fournisseurs et aux utilisateurs des informations statistiques par rapport aux coûts qu’elles engendrent;</w:t>
      </w:r>
    </w:p>
    <w:p>
      <w:pPr>
        <w:pStyle w:val="Point0"/>
        <w:rPr>
          <w:noProof/>
        </w:rPr>
      </w:pPr>
      <w:r>
        <w:rPr>
          <w:noProof/>
        </w:rPr>
        <w:t>b)</w:t>
      </w:r>
      <w:r>
        <w:rPr>
          <w:noProof/>
        </w:rPr>
        <w:tab/>
        <w:t>la qualité des données transmises et des méthodes de collecte de données utilisées.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Art. 1, pt. 10</w:t>
      </w:r>
    </w:p>
    <w:p>
      <w:pPr>
        <w:pStyle w:val="Titrearticle"/>
        <w:rPr>
          <w:noProof/>
        </w:rPr>
      </w:pPr>
      <w:r>
        <w:rPr>
          <w:noProof/>
        </w:rPr>
        <w:t xml:space="preserve">Article 10 </w:t>
      </w:r>
    </w:p>
    <w:p>
      <w:pPr>
        <w:pStyle w:val="NormalCentered"/>
        <w:rPr>
          <w:b/>
          <w:bCs/>
          <w:noProof/>
        </w:rPr>
      </w:pPr>
      <w:r>
        <w:rPr>
          <w:b/>
          <w:bCs/>
          <w:noProof/>
        </w:rPr>
        <w:t>Exercice de la délégation</w:t>
      </w:r>
    </w:p>
    <w:p>
      <w:pPr>
        <w:rPr>
          <w:noProof/>
        </w:rPr>
      </w:pPr>
      <w:r>
        <w:rPr>
          <w:noProof/>
        </w:rPr>
        <w:t>1. Le pouvoir d’adopter des actes délégués conféré à la Commission est soumis aux conditions fixées au présent article.</w:t>
      </w:r>
    </w:p>
    <w:p>
      <w:pPr>
        <w:rPr>
          <w:noProof/>
        </w:rPr>
      </w:pPr>
      <w:r>
        <w:rPr>
          <w:noProof/>
        </w:rPr>
        <w:t>2. Le pouvoir d’adopter des actes délégués visé à l’article 2, paragraphe 5, à l’article 3 et à l’article 4, paragraphe 4, est conféré à la Commission pour une période de cinq ans à compter du 7 décembre 2016.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rPr>
          <w:noProof/>
        </w:rPr>
      </w:pPr>
      <w:r>
        <w:rPr>
          <w:noProof/>
        </w:rPr>
        <w:t xml:space="preserve">3. La délégation de pouvoir visée à l’article 2, paragraphe 5, à l’article 3 et à l’article 4, paragraphe 4, peut être révoquée à tout moment par le Parlement européen ou le Conseil. La décision de révocation met fin à la délégation de pouvoir qui y est précisée. La révocation prend effet le jour suivant celui de la publication de ladite décision au </w:t>
      </w:r>
      <w:r>
        <w:rPr>
          <w:i/>
          <w:iCs/>
          <w:noProof/>
        </w:rPr>
        <w:t>Journal officiel de l’Union européenne</w:t>
      </w:r>
      <w:r>
        <w:rPr>
          <w:noProof/>
        </w:rPr>
        <w:t xml:space="preserve"> ou à une date ultérieure qui est précisée dans ladite décision. Elle ne porte pas atteinte à la validité des actes délégués déjà en vigueur.</w:t>
      </w:r>
    </w:p>
    <w:p>
      <w:pPr>
        <w:rPr>
          <w:noProof/>
        </w:rPr>
      </w:pPr>
      <w:r>
        <w:rPr>
          <w:noProof/>
        </w:rPr>
        <w:t>4. Avant l’adoption d’un acte délégué, la Commission consulte les experts désignés par chaque État membre, conformément aux principes définis dans l’accord interinstitutionnel du 13 avril 2016 «Mieux légiférer».</w:t>
      </w:r>
    </w:p>
    <w:p>
      <w:pPr>
        <w:rPr>
          <w:noProof/>
        </w:rPr>
      </w:pPr>
      <w:r>
        <w:rPr>
          <w:noProof/>
        </w:rPr>
        <w:t>5. Aussitôt qu’elle adopte un acte délégué, la Commission le notifie au Parlement européen et au Conseil simultanément.</w:t>
      </w:r>
    </w:p>
    <w:p>
      <w:pPr>
        <w:rPr>
          <w:noProof/>
        </w:rPr>
      </w:pPr>
      <w:r>
        <w:rPr>
          <w:noProof/>
        </w:rPr>
        <w:t>6. Un acte délégué adopté en vertu de l’article 2, paragraphe 5, de l’article 3 ou de l’article 4, paragraphe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2016/1954 Art. 1, pt. 11 (adapté)</w:t>
      </w:r>
    </w:p>
    <w:p>
      <w:pPr>
        <w:pStyle w:val="Titrearticle"/>
        <w:rPr>
          <w:noProof/>
        </w:rPr>
      </w:pPr>
      <w:r>
        <w:rPr>
          <w:noProof/>
        </w:rPr>
        <w:t xml:space="preserve">Article 11 </w:t>
      </w:r>
    </w:p>
    <w:p>
      <w:pPr>
        <w:pStyle w:val="NormalCentered"/>
        <w:rPr>
          <w:b/>
          <w:bCs/>
          <w:noProof/>
        </w:rPr>
      </w:pPr>
      <w:r>
        <w:rPr>
          <w:b/>
          <w:bCs/>
          <w:noProof/>
        </w:rPr>
        <w:t>Comité</w:t>
      </w:r>
    </w:p>
    <w:p>
      <w:pPr>
        <w:rPr>
          <w:noProof/>
        </w:rPr>
      </w:pPr>
      <w:r>
        <w:rPr>
          <w:noProof/>
        </w:rPr>
        <w:t>1. La Commission est assistée par le comité du système statistique européen institué par le règlement (CE) n</w:t>
      </w:r>
      <w:r>
        <w:rPr>
          <w:noProof/>
          <w:vertAlign w:val="superscript"/>
        </w:rPr>
        <w:t>o</w:t>
      </w:r>
      <w:r>
        <w:rPr>
          <w:noProof/>
        </w:rPr>
        <w:t xml:space="preserve"> 223/2009. Ledit comité est un comité au sens du règlement (UE) n</w:t>
      </w:r>
      <w:r>
        <w:rPr>
          <w:noProof/>
          <w:vertAlign w:val="superscript"/>
        </w:rPr>
        <w:t>o</w:t>
      </w:r>
      <w:r>
        <w:rPr>
          <w:noProof/>
        </w:rPr>
        <w:t> 182/2011.</w:t>
      </w:r>
    </w:p>
    <w:p>
      <w:pPr>
        <w:rPr>
          <w:noProof/>
        </w:rPr>
      </w:pPr>
      <w:r>
        <w:rPr>
          <w:noProof/>
        </w:rPr>
        <w:t>2. Lorsqu’il est fait référence au présent paragraphe, l’article 5 du règlement (UE) n</w:t>
      </w:r>
      <w:r>
        <w:rPr>
          <w:noProof/>
          <w:vertAlign w:val="superscript"/>
        </w:rPr>
        <w:t>o</w:t>
      </w:r>
      <w:r>
        <w:rPr>
          <w:noProof/>
        </w:rPr>
        <w:t> 182/2011 s’applique.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p>
    <w:p>
      <w:pPr>
        <w:pStyle w:val="Titrearticle"/>
        <w:rPr>
          <w:noProof/>
        </w:rPr>
      </w:pPr>
      <w:r>
        <w:rPr>
          <w:noProof/>
        </w:rPr>
        <w:t>Article 12</w:t>
      </w:r>
    </w:p>
    <w:p>
      <w:pPr>
        <w:jc w:val="center"/>
        <w:rPr>
          <w:b/>
          <w:noProof/>
        </w:rPr>
      </w:pPr>
      <w:r>
        <w:rPr>
          <w:b/>
          <w:noProof/>
        </w:rPr>
        <w:t>Abrogation</w:t>
      </w:r>
    </w:p>
    <w:p>
      <w:pPr>
        <w:rPr>
          <w:noProof/>
        </w:rPr>
      </w:pPr>
      <w:r>
        <w:rPr>
          <w:noProof/>
        </w:rPr>
        <w:t>Le règlement (CE) n° 1365/2006 est abrogé.</w:t>
      </w:r>
    </w:p>
    <w:p>
      <w:pPr>
        <w:rPr>
          <w:noProof/>
        </w:rPr>
      </w:pPr>
      <w:r>
        <w:rPr>
          <w:noProof/>
        </w:rPr>
        <w:t>Les références faites au règlement abrogé s'entendent comme faites au présent règlement et sont à lire selon le tableau de correspondance figurant à l'annexe VIII.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1365/2006</w:t>
      </w:r>
    </w:p>
    <w:p>
      <w:pPr>
        <w:pStyle w:val="Titrearticle"/>
        <w:rPr>
          <w:noProof/>
        </w:rPr>
      </w:pPr>
      <w:r>
        <w:rPr>
          <w:noProof/>
        </w:rPr>
        <w:t xml:space="preserve">Article 13 </w:t>
      </w:r>
    </w:p>
    <w:p>
      <w:pPr>
        <w:pStyle w:val="NormalCentered"/>
        <w:rPr>
          <w:b/>
          <w:bCs/>
          <w:noProof/>
        </w:rPr>
      </w:pPr>
      <w:r>
        <w:rPr>
          <w:b/>
          <w:bCs/>
          <w:noProof/>
        </w:rPr>
        <w:t>Entrée en vigueur</w:t>
      </w:r>
    </w:p>
    <w:p>
      <w:pPr>
        <w:rPr>
          <w:noProof/>
        </w:rPr>
      </w:pPr>
      <w:r>
        <w:rPr>
          <w:noProof/>
        </w:rPr>
        <w:t xml:space="preserve">Le présent règlement entre en vigueur le vingtième jour suivant celui de sa publication au </w:t>
      </w:r>
      <w:r>
        <w:rPr>
          <w:i/>
          <w:iCs/>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sz w:val="18"/>
        </w:rPr>
        <w:tab/>
      </w:r>
      <w:r>
        <w:t>COM(87) 868 PV.</w:t>
      </w:r>
    </w:p>
  </w:footnote>
  <w:footnote w:id="2">
    <w:p>
      <w:pPr>
        <w:pStyle w:val="FootnoteText"/>
      </w:pPr>
      <w:r>
        <w:rPr>
          <w:rStyle w:val="FootnoteReference"/>
        </w:rPr>
        <w:footnoteRef/>
      </w:r>
      <w:r>
        <w:rPr>
          <w:sz w:val="18"/>
        </w:rPr>
        <w:tab/>
      </w:r>
      <w:r>
        <w:t>Voir l'annexe 3 de la partie A desdites conclusions.</w:t>
      </w:r>
    </w:p>
  </w:footnote>
  <w:footnote w:id="3">
    <w:p>
      <w:pPr>
        <w:pStyle w:val="FootnoteText"/>
      </w:pPr>
      <w:r>
        <w:rPr>
          <w:rStyle w:val="FootnoteReference"/>
        </w:rPr>
        <w:footnoteRef/>
      </w:r>
      <w:r>
        <w:rPr>
          <w:sz w:val="18"/>
        </w:rPr>
        <w:tab/>
      </w:r>
      <w:r>
        <w:t>Inscrite dans le programme législatif pour 2016.</w:t>
      </w:r>
    </w:p>
  </w:footnote>
  <w:footnote w:id="4">
    <w:p>
      <w:pPr>
        <w:pStyle w:val="FootnoteText"/>
      </w:pPr>
      <w:r>
        <w:rPr>
          <w:rStyle w:val="FootnoteReference"/>
        </w:rPr>
        <w:footnoteRef/>
      </w:r>
      <w:r>
        <w:rPr>
          <w:sz w:val="18"/>
        </w:rPr>
        <w:tab/>
      </w:r>
      <w:r>
        <w:t>Annexe VII de la présente proposition.</w:t>
      </w:r>
    </w:p>
  </w:footnote>
  <w:footnote w:id="5">
    <w:p>
      <w:pPr>
        <w:pStyle w:val="FootnoteText"/>
        <w:rPr>
          <w:lang w:val="fr-BE"/>
        </w:rPr>
      </w:pPr>
      <w:r>
        <w:rPr>
          <w:rStyle w:val="FootnoteReference"/>
        </w:rPr>
        <w:footnoteRef/>
      </w:r>
      <w:r>
        <w:rPr>
          <w:lang w:val="fr-BE"/>
        </w:rPr>
        <w:tab/>
        <w:t>JO C […] du […], p. […].</w:t>
      </w:r>
    </w:p>
  </w:footnote>
  <w:footnote w:id="6">
    <w:p>
      <w:pPr>
        <w:pStyle w:val="FootnoteText"/>
        <w:rPr>
          <w:lang w:val="fr-BE"/>
        </w:rPr>
      </w:pPr>
      <w:r>
        <w:rPr>
          <w:rStyle w:val="FootnoteReference"/>
        </w:rPr>
        <w:footnoteRef/>
      </w:r>
      <w:r>
        <w:rPr>
          <w:lang w:val="fr-BE"/>
        </w:rPr>
        <w:tab/>
        <w:t>Règlement (CE) n° 1365/2006 du Parlement européen et du Conseil du 6 septembre 2006 relatif aux statistiques des transports de marchandises par voies navigables intérieures et abrogeant la directive 80/1119/CEE du Conseil (JO L 264 du 25.9.2006, p. 1).</w:t>
      </w:r>
    </w:p>
  </w:footnote>
  <w:footnote w:id="7">
    <w:p>
      <w:pPr>
        <w:pStyle w:val="FootnoteText"/>
        <w:rPr>
          <w:lang w:val="fr-BE"/>
        </w:rPr>
      </w:pPr>
      <w:r>
        <w:rPr>
          <w:rStyle w:val="FootnoteReference"/>
        </w:rPr>
        <w:footnoteRef/>
      </w:r>
      <w:r>
        <w:rPr>
          <w:lang w:val="fr-BE"/>
        </w:rPr>
        <w:tab/>
        <w:t>Voir annexe VII.</w:t>
      </w:r>
    </w:p>
  </w:footnote>
  <w:footnote w:id="8">
    <w:p>
      <w:pPr>
        <w:pStyle w:val="FootnoteText"/>
        <w:rPr>
          <w:lang w:val="fr-BE"/>
        </w:rPr>
      </w:pPr>
      <w:r>
        <w:rPr>
          <w:rStyle w:val="FootnoteReference"/>
        </w:rPr>
        <w:footnoteRef/>
      </w:r>
      <w:r>
        <w:rPr>
          <w:lang w:val="fr-BE"/>
        </w:rPr>
        <w:tab/>
      </w:r>
      <w:r>
        <w:t>Règlement (CE) n</w:t>
      </w:r>
      <w:r>
        <w:rPr>
          <w:vertAlign w:val="superscript"/>
        </w:rPr>
        <w:t>o</w:t>
      </w:r>
      <w:r>
        <w:t xml:space="preserve"> 223/2009 du Parlement européen et du Conseil du 11 mars 2009 relatif aux statistiques européennes et abrogeant le règlement (CE, Euratom) n</w:t>
      </w:r>
      <w:r>
        <w:rPr>
          <w:vertAlign w:val="superscript"/>
        </w:rPr>
        <w:t>o</w:t>
      </w:r>
      <w:r>
        <w:t xml:space="preserve"> 1101/2008 relatif à la transmission à l’Office statistique des Communautés européennes d’informations statistiques couvertes par le secret, le règlement (CE) n</w:t>
      </w:r>
      <w:r>
        <w:rPr>
          <w:vertAlign w:val="superscript"/>
        </w:rPr>
        <w:t>o</w:t>
      </w:r>
      <w:r>
        <w:t xml:space="preserve"> 322/97 du Conseil relatif à la statistique communautaire et la décision 89/382/CEE, Euratom du Conseil instituant un comité du programme statistique des Communautés européennes (JO L 87 du 31.3.2009, p. 164).</w:t>
      </w:r>
    </w:p>
  </w:footnote>
  <w:footnote w:id="9">
    <w:p>
      <w:pPr>
        <w:pStyle w:val="FootnoteText"/>
        <w:rPr>
          <w:lang w:val="fr-BE"/>
        </w:rPr>
      </w:pPr>
      <w:r>
        <w:rPr>
          <w:rStyle w:val="FootnoteReference"/>
        </w:rPr>
        <w:footnoteRef/>
      </w:r>
      <w:r>
        <w:rPr>
          <w:lang w:val="fr-BE"/>
        </w:rPr>
        <w:tab/>
        <w:t>JO L 123 du 12.5.2016, p. 1.</w:t>
      </w:r>
    </w:p>
  </w:footnote>
  <w:footnote w:id="10">
    <w:p>
      <w:pPr>
        <w:pStyle w:val="FootnoteText"/>
        <w:rPr>
          <w:lang w:val="fr-BE"/>
        </w:rPr>
      </w:pPr>
      <w:r>
        <w:rPr>
          <w:rStyle w:val="FootnoteReference"/>
        </w:rPr>
        <w:footnoteRef/>
      </w:r>
      <w:r>
        <w:rPr>
          <w:lang w:val="fr-BE"/>
        </w:rPr>
        <w:tab/>
        <w:t>Règlement</w:t>
      </w:r>
      <w:r>
        <w:t xml:space="preserve"> </w:t>
      </w:r>
      <w:r>
        <w:rPr>
          <w:lang w:val="fr-BE"/>
        </w:rPr>
        <w:t>(UE)</w:t>
      </w:r>
      <w:r>
        <w:t xml:space="preserve"> </w:t>
      </w:r>
      <w:r>
        <w:rPr>
          <w:lang w:val="fr-BE"/>
        </w:rPr>
        <w:t>n°</w:t>
      </w:r>
      <w:r>
        <w:t xml:space="preserve"> </w:t>
      </w:r>
      <w:r>
        <w:rPr>
          <w:lang w:val="fr-BE"/>
        </w:rPr>
        <w:t>182/2011</w:t>
      </w:r>
      <w:r>
        <w:t xml:space="preserve"> </w:t>
      </w:r>
      <w:r>
        <w:rPr>
          <w:lang w:val="fr-BE"/>
        </w:rPr>
        <w:t>du</w:t>
      </w:r>
      <w:r>
        <w:t xml:space="preserve"> </w:t>
      </w:r>
      <w:r>
        <w:rPr>
          <w:lang w:val="fr-BE"/>
        </w:rPr>
        <w:t>Parlement</w:t>
      </w:r>
      <w:r>
        <w:t xml:space="preserve"> </w:t>
      </w:r>
      <w:r>
        <w:rPr>
          <w:lang w:val="fr-BE"/>
        </w:rPr>
        <w:t>européen</w:t>
      </w:r>
      <w:r>
        <w:t xml:space="preserve"> </w:t>
      </w:r>
      <w:r>
        <w:rPr>
          <w:lang w:val="fr-BE"/>
        </w:rPr>
        <w:t>et</w:t>
      </w:r>
      <w:r>
        <w:t xml:space="preserve"> </w:t>
      </w:r>
      <w:r>
        <w:rPr>
          <w:lang w:val="fr-BE"/>
        </w:rPr>
        <w:t>du</w:t>
      </w:r>
      <w:r>
        <w:t xml:space="preserve"> </w:t>
      </w:r>
      <w:r>
        <w:rPr>
          <w:lang w:val="fr-BE"/>
        </w:rPr>
        <w:t>Conseil</w:t>
      </w:r>
      <w:r>
        <w:t xml:space="preserve"> </w:t>
      </w:r>
      <w:r>
        <w:rPr>
          <w:lang w:val="fr-BE"/>
        </w:rPr>
        <w:t>du</w:t>
      </w:r>
      <w:r>
        <w:t xml:space="preserve"> </w:t>
      </w:r>
      <w:r>
        <w:rPr>
          <w:lang w:val="fr-BE"/>
        </w:rPr>
        <w:t>16</w:t>
      </w:r>
      <w:r>
        <w:t xml:space="preserve"> </w:t>
      </w:r>
      <w:r>
        <w:rPr>
          <w:lang w:val="fr-BE"/>
        </w:rPr>
        <w:t>février</w:t>
      </w:r>
      <w:r>
        <w:t xml:space="preserve"> </w:t>
      </w:r>
      <w:r>
        <w:rPr>
          <w:lang w:val="fr-BE"/>
        </w:rPr>
        <w:t>2011</w:t>
      </w:r>
      <w:r>
        <w:t xml:space="preserve"> </w:t>
      </w:r>
      <w:r>
        <w:rPr>
          <w:lang w:val="fr-BE"/>
        </w:rPr>
        <w:t>établissant</w:t>
      </w:r>
      <w:r>
        <w:t xml:space="preserve"> </w:t>
      </w:r>
      <w:r>
        <w:rPr>
          <w:lang w:val="fr-BE"/>
        </w:rPr>
        <w:t>les</w:t>
      </w:r>
      <w:r>
        <w:t xml:space="preserve"> </w:t>
      </w:r>
      <w:r>
        <w:rPr>
          <w:lang w:val="fr-BE"/>
        </w:rPr>
        <w:t>règles</w:t>
      </w:r>
      <w:r>
        <w:t xml:space="preserve"> </w:t>
      </w:r>
      <w:r>
        <w:rPr>
          <w:lang w:val="fr-BE"/>
        </w:rPr>
        <w:t>et</w:t>
      </w:r>
      <w:r>
        <w:t xml:space="preserve"> </w:t>
      </w:r>
      <w:r>
        <w:rPr>
          <w:lang w:val="fr-BE"/>
        </w:rPr>
        <w:t>principes</w:t>
      </w:r>
      <w:r>
        <w:t xml:space="preserve"> </w:t>
      </w:r>
      <w:r>
        <w:rPr>
          <w:lang w:val="fr-BE"/>
        </w:rPr>
        <w:t>généraux</w:t>
      </w:r>
      <w:r>
        <w:t xml:space="preserve"> </w:t>
      </w:r>
      <w:r>
        <w:rPr>
          <w:lang w:val="fr-BE"/>
        </w:rPr>
        <w:t>relatifs</w:t>
      </w:r>
      <w:r>
        <w:t xml:space="preserve"> </w:t>
      </w:r>
      <w:r>
        <w:rPr>
          <w:lang w:val="fr-BE"/>
        </w:rPr>
        <w:t>aux</w:t>
      </w:r>
      <w:r>
        <w:t xml:space="preserve"> </w:t>
      </w:r>
      <w:r>
        <w:rPr>
          <w:lang w:val="fr-BE"/>
        </w:rPr>
        <w:t>modalités</w:t>
      </w:r>
      <w:r>
        <w:t xml:space="preserve"> </w:t>
      </w:r>
      <w:r>
        <w:rPr>
          <w:lang w:val="fr-BE"/>
        </w:rPr>
        <w:t>de</w:t>
      </w:r>
      <w:r>
        <w:t xml:space="preserve"> </w:t>
      </w:r>
      <w:r>
        <w:rPr>
          <w:lang w:val="fr-BE"/>
        </w:rPr>
        <w:t>contrôle</w:t>
      </w:r>
      <w:r>
        <w:t xml:space="preserve"> </w:t>
      </w:r>
      <w:r>
        <w:rPr>
          <w:lang w:val="fr-BE"/>
        </w:rPr>
        <w:t>par</w:t>
      </w:r>
      <w:r>
        <w:t xml:space="preserve"> </w:t>
      </w:r>
      <w:r>
        <w:rPr>
          <w:lang w:val="fr-BE"/>
        </w:rPr>
        <w:t>les</w:t>
      </w:r>
      <w:r>
        <w:t xml:space="preserve"> </w:t>
      </w:r>
      <w:r>
        <w:rPr>
          <w:lang w:val="fr-BE"/>
        </w:rPr>
        <w:t>États</w:t>
      </w:r>
      <w:r>
        <w:t xml:space="preserve"> </w:t>
      </w:r>
      <w:r>
        <w:rPr>
          <w:lang w:val="fr-BE"/>
        </w:rPr>
        <w:t>membres</w:t>
      </w:r>
      <w:r>
        <w:t xml:space="preserve"> </w:t>
      </w:r>
      <w:r>
        <w:rPr>
          <w:lang w:val="fr-BE"/>
        </w:rPr>
        <w:t>de</w:t>
      </w:r>
      <w:r>
        <w:t xml:space="preserve"> </w:t>
      </w:r>
      <w:r>
        <w:rPr>
          <w:lang w:val="fr-BE"/>
        </w:rPr>
        <w:t>l’exercice</w:t>
      </w:r>
      <w:r>
        <w:t xml:space="preserve"> </w:t>
      </w:r>
      <w:r>
        <w:rPr>
          <w:lang w:val="fr-BE"/>
        </w:rPr>
        <w:t>des</w:t>
      </w:r>
      <w:r>
        <w:t xml:space="preserve"> </w:t>
      </w:r>
      <w:r>
        <w:rPr>
          <w:lang w:val="fr-BE"/>
        </w:rPr>
        <w:t>compétences</w:t>
      </w:r>
      <w:r>
        <w:t xml:space="preserve"> </w:t>
      </w:r>
      <w:r>
        <w:rPr>
          <w:lang w:val="fr-BE"/>
        </w:rPr>
        <w:t>d’exécution</w:t>
      </w:r>
      <w:r>
        <w:t xml:space="preserve"> </w:t>
      </w:r>
      <w:r>
        <w:rPr>
          <w:lang w:val="fr-BE"/>
        </w:rPr>
        <w:t>par</w:t>
      </w:r>
      <w:r>
        <w:t xml:space="preserve"> </w:t>
      </w:r>
      <w:r>
        <w:rPr>
          <w:lang w:val="fr-BE"/>
        </w:rPr>
        <w:t>la</w:t>
      </w:r>
      <w:r>
        <w:t xml:space="preserve"> </w:t>
      </w:r>
      <w:r>
        <w:rPr>
          <w:lang w:val="fr-BE"/>
        </w:rPr>
        <w:t>Commission</w:t>
      </w:r>
      <w:r>
        <w:t xml:space="preserve"> </w:t>
      </w:r>
      <w:r>
        <w:rPr>
          <w:lang w:val="fr-BE"/>
        </w:rPr>
        <w:t>(JO</w:t>
      </w:r>
      <w:r>
        <w:t xml:space="preserve"> </w:t>
      </w:r>
      <w:r>
        <w:rPr>
          <w:lang w:val="fr-BE"/>
        </w:rPr>
        <w:t>L</w:t>
      </w:r>
      <w:r>
        <w:t xml:space="preserve"> </w:t>
      </w:r>
      <w:r>
        <w:rPr>
          <w:lang w:val="fr-BE"/>
        </w:rPr>
        <w:t>55</w:t>
      </w:r>
      <w:r>
        <w:t xml:space="preserve"> </w:t>
      </w:r>
      <w:r>
        <w:rPr>
          <w:lang w:val="fr-BE"/>
        </w:rPr>
        <w:t>du</w:t>
      </w:r>
      <w:r>
        <w:t xml:space="preserve"> </w:t>
      </w:r>
      <w:r>
        <w:rPr>
          <w:lang w:val="fr-BE"/>
        </w:rPr>
        <w:t>28.2.2011,</w:t>
      </w:r>
      <w:r>
        <w:t xml:space="preserve"> </w:t>
      </w:r>
      <w:r>
        <w:rPr>
          <w:lang w:val="fr-BE"/>
        </w:rPr>
        <w:t>p.</w:t>
      </w:r>
      <w:r>
        <w:t xml:space="preserve"> </w:t>
      </w:r>
      <w:r>
        <w:rPr>
          <w:lang w:val="fr-BE"/>
        </w:rPr>
        <w:t>13).</w:t>
      </w:r>
    </w:p>
  </w:footnote>
  <w:footnote w:id="11">
    <w:p>
      <w:pPr>
        <w:pStyle w:val="FootnoteText"/>
        <w:rPr>
          <w:lang w:val="fr-BE"/>
        </w:rPr>
      </w:pPr>
      <w:r>
        <w:rPr>
          <w:rStyle w:val="FootnoteReference"/>
        </w:rPr>
        <w:footnoteRef/>
      </w:r>
      <w:r>
        <w:rPr>
          <w:lang w:val="fr-BE"/>
        </w:rPr>
        <w:tab/>
        <w:t>Règlement (UE, Euratom) n° 966/2012 du Parlement européen et du Conseil du 25 octobre 2012 relatif aux règles financières applicables au budget général de l’Union et abrogeant le règlement (CE, Euratom) n° 1605/2002 du Conseil (JO L 298 du 26.10.2012,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A002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5A9D0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1A08F3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4698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BE00E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F42F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DA486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EF4489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
  </w:num>
  <w:num w:numId="3">
    <w:abstractNumId w:val="2"/>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425/2007 Art. 1, pt 1"/>
    <w:docVar w:name="CR_Ref1" w:val="425/2007 Art. 1, pt 2 et Annexe I"/>
    <w:docVar w:name="CR_Ref10" w:val="1954/2016 Art. 1, pt 8"/>
    <w:docVar w:name="CR_Ref11" w:val="1954/2016 Art. 1, pt 9"/>
    <w:docVar w:name="CR_Ref12" w:val="1954/2016 Art. 1, pt 10"/>
    <w:docVar w:name="CR_Ref13" w:val="1954/2016 Art. 1, pt 11"/>
    <w:docVar w:name="CR_Ref14" w:val="1954/2016 Art. 1, pt 12"/>
    <w:docVar w:name="CR_Ref15" w:val="1365/2006"/>
    <w:docVar w:name="CR_Ref16" w:val="."/>
    <w:docVar w:name="CR_Ref17" w:val="1365/2006 considérant"/>
    <w:docVar w:name="CR_Ref18" w:val="2016/1954 considérant"/>
    <w:docVar w:name="CR_Ref2" w:val="1304/2007 Art. 4 et Annexe "/>
    <w:docVar w:name="CR_Ref3" w:val="1954/2016 Art. 1, pt 1"/>
    <w:docVar w:name="CR_Ref4" w:val="1954/2016 Art. 1, pt 2"/>
    <w:docVar w:name="CR_Ref5" w:val="1954/2016 Art. 1, pt 3"/>
    <w:docVar w:name="CR_Ref6" w:val="1954/2016 Art. 1, pt 4"/>
    <w:docVar w:name="CR_Ref7" w:val="1954/2016 Art. 1, pt 5"/>
    <w:docVar w:name="CR_Ref8" w:val="1954/2016 Art. 1, pt 6"/>
    <w:docVar w:name="CR_Ref9" w:val="1954/2016 Art. 1, pt 7"/>
    <w:docVar w:name="CR_RefCount" w:val="19"/>
    <w:docVar w:name="CR_RefLast" w:val="6"/>
    <w:docVar w:name="CR_TimeStamp" w:val="16:48:40"/>
    <w:docVar w:name="DQCDateTime" w:val="2017-09-26 09:08: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7484F92523FA44079DAB511C9B40BC5D"/>
    <w:docVar w:name="LW_CROSSREFERENCE" w:val="&lt;UNUSED&gt;"/>
    <w:docVar w:name="LW_DocType" w:val="COM"/>
    <w:docVar w:name="LW_EMISSION" w:val="26.9.2017"/>
    <w:docVar w:name="LW_EMISSION_ISODATE" w:val="2017-09-26"/>
    <w:docVar w:name="LW_EMISSION_LOCATION" w:val="BRX"/>
    <w:docVar w:name="LW_EMISSION_PREFIX" w:val="Bruxelles, le "/>
    <w:docVar w:name="LW_EMISSION_SUFFIX" w:val=" "/>
    <w:docVar w:name="LW_FAITA" w:val="&lt;UNUSED&gt;"/>
    <w:docVar w:name="LW_ID_DOCMODEL" w:val="SJ-023"/>
    <w:docVar w:name="LW_ID_DOCSIGNATURE" w:val="SJ-023"/>
    <w:docVar w:name="LW_ID_DOCSTRUCTURE" w:val="COM/PL/ORG"/>
    <w:docVar w:name="LW_ID_DOCTYPE" w:val="SJ-023"/>
    <w:docVar w:name="LW_ID_STATUT" w:val="SJ-023"/>
    <w:docVar w:name="LW_INST.SIGNE" w:val="&lt;UNUSED&gt;"/>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PERS.SIGNE" w:val="&lt;UNUSED&gt;"/>
    <w:docVar w:name="LW_REF.II.NEW.CP" w:val="COD"/>
    <w:docVar w:name="LW_REF.II.NEW.CP_NUMBER" w:val="0226"/>
    <w:docVar w:name="LW_REF.II.NEW.CP_YEAR" w:val="2013"/>
    <w:docVar w:name="LW_REF.INST.NEW" w:val="COM"/>
    <w:docVar w:name="LW_REF.INST.NEW_ADOPTED" w:val="final"/>
    <w:docVar w:name="LW_REF.INST.NEW_TEXT" w:val="(2017) 545"/>
    <w:docVar w:name="LW_REF.INTERNE" w:val="&lt;UNUSED&gt;"/>
    <w:docVar w:name="LW_SOUS.TITRE.OBJ.CP" w:val="&lt;UNUSED&gt;"/>
    <w:docVar w:name="LW_STATUT.CP" w:val="Proposition de"/>
    <w:docVar w:name="LW_SUPERTITRE" w:val="&lt;UNUSED&gt;"/>
    <w:docVar w:name="LW_TITRE.OBJ.CP" w:val="relatif aux statistiques des transports de marchandises par voies navigables intérieures (codificat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lang w:val="fr-FR"/>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paragraph" w:customStyle="1" w:styleId="CRParaDeleted">
    <w:name w:val="CR ParaDeleted"/>
    <w:basedOn w:val="Normal"/>
    <w:next w:val="Normal"/>
    <w:uiPriority w:val="99"/>
    <w:pPr>
      <w:autoSpaceDE w:val="0"/>
      <w:autoSpaceDN w:val="0"/>
    </w:pPr>
    <w:rPr>
      <w:rFonts w:eastAsia="Times New Roman"/>
      <w:szCs w:val="24"/>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3"/>
      </w:numPr>
      <w:contextualSpacing/>
    </w:pPr>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RMinorChangeDeleted">
    <w:name w:val="CR Minor Change Deleted"/>
    <w:basedOn w:val="DefaultParagraphFont"/>
    <w:rPr>
      <w:strike w:val="0"/>
      <w:dstrike/>
      <w:u w:val="double"/>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lang w:val="fr-FR"/>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paragraph" w:customStyle="1" w:styleId="CRParaDeleted">
    <w:name w:val="CR ParaDeleted"/>
    <w:basedOn w:val="Normal"/>
    <w:next w:val="Normal"/>
    <w:uiPriority w:val="99"/>
    <w:pPr>
      <w:autoSpaceDE w:val="0"/>
      <w:autoSpaceDN w:val="0"/>
    </w:pPr>
    <w:rPr>
      <w:rFonts w:eastAsia="Times New Roman"/>
      <w:szCs w:val="24"/>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3"/>
      </w:numPr>
      <w:contextualSpacing/>
    </w:pPr>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RMinorChangeDeleted">
    <w:name w:val="CR Minor Change Deleted"/>
    <w:basedOn w:val="DefaultParagraphFont"/>
    <w:rPr>
      <w:strike w:val="0"/>
      <w:dstrike/>
      <w:u w:val="double"/>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9C933-443F-4EA4-869C-80C84F83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3714</Words>
  <Characters>20319</Characters>
  <Application>Microsoft Office Word</Application>
  <DocSecurity>0</DocSecurity>
  <Lines>414</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2017-08-14T10:44:00Z</cp:lastPrinted>
  <dcterms:created xsi:type="dcterms:W3CDTF">2017-08-14T11:51:00Z</dcterms:created>
  <dcterms:modified xsi:type="dcterms:W3CDTF">2017-09-26T07:08:00Z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LWCR Document">
    <vt:lpwstr>True</vt:lpwstr>
  </property>
  <property fmtid="{D5CDD505-2E9C-101B-9397-08002B2CF9AE}" pid="8" name="LWCR Version">
    <vt:lpwstr>1.6.413</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SJ-023</vt:lpwstr>
  </property>
  <property fmtid="{D5CDD505-2E9C-101B-9397-08002B2CF9AE}" pid="12" name="LWCR IsRefonte">
    <vt:lpwstr>False</vt:lpwstr>
  </property>
  <property fmtid="{D5CDD505-2E9C-101B-9397-08002B2CF9AE}" pid="13" name="DQCStatus">
    <vt:lpwstr>Green (DQC version 03)</vt:lpwstr>
  </property>
</Properties>
</file>