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014CC29730A4AF99666D5F9066D8585" style="width:450.35pt;height:383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425/2007 Art. 1, pt. 2 et annexe I (adapté)</w:t>
      </w:r>
    </w:p>
    <w:p>
      <w:pPr>
        <w:pStyle w:val="Annexetitre"/>
        <w:rPr>
          <w:noProof/>
        </w:rPr>
      </w:pPr>
      <w:r>
        <w:rPr>
          <w:noProof/>
        </w:rPr>
        <w:t xml:space="preserve">ANNEXE 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7"/>
        <w:gridCol w:w="1950"/>
        <w:gridCol w:w="3900"/>
        <w:gridCol w:w="157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Tableau I 1.</w:t>
            </w:r>
            <w:r>
              <w:rPr>
                <w:noProof/>
              </w:rPr>
              <w:tab/>
              <w:t>Transport de marchandises par type de marchandises (données annuelles)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Éléments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Codification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Unité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Tableau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2 positions alphanumériques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«I 1»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Pays déclarant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NUTS0 (code national)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Année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4 positions numériques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«aaaa»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Pays/région de chargement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4 positions alphanumériques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Pays/région de déchargement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4 positions alphanumériques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Type de transport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spacing w:before="60" w:afterLines="60" w:after="144"/>
              <w:ind w:left="871" w:hanging="871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 (sauf transit)</w:t>
            </w:r>
          </w:p>
          <w:p>
            <w:pPr>
              <w:pStyle w:val="Point0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60" w:afterLines="60" w:after="144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Type de marchandises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2 positions numériques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 xml:space="preserve">NST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2007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Type de conditionnement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marchandises en conteneurs</w:t>
            </w:r>
          </w:p>
          <w:p>
            <w:pPr>
              <w:pStyle w:val="Point0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marchandises hors conteneurs et conteneurs vides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60" w:afterLines="60" w:after="144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Tonnes transportées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60" w:afterLines="60" w:after="144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footerReference w:type="default" r:id="rId16"/>
          <w:footerReference w:type="first" r:id="rId17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"/>
        <w:rPr>
          <w:noProof/>
        </w:rPr>
      </w:pPr>
      <w:r>
        <w:rPr>
          <w:noProof/>
        </w:rPr>
        <w:t xml:space="preserve">ANNEXE II </w:t>
      </w:r>
    </w:p>
    <w:tbl>
      <w:tblPr>
        <w:tblW w:w="9502" w:type="dxa"/>
        <w:tblLayout w:type="fixed"/>
        <w:tblLook w:val="0000" w:firstRow="0" w:lastRow="0" w:firstColumn="0" w:lastColumn="0" w:noHBand="0" w:noVBand="0"/>
      </w:tblPr>
      <w:tblGrid>
        <w:gridCol w:w="1671"/>
        <w:gridCol w:w="1981"/>
        <w:gridCol w:w="4364"/>
        <w:gridCol w:w="1486"/>
      </w:tblGrid>
      <w:tr>
        <w:tc>
          <w:tcPr>
            <w:tcW w:w="95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80" w:after="80"/>
              <w:rPr>
                <w:noProof/>
              </w:rPr>
            </w:pPr>
            <w:r>
              <w:rPr>
                <w:noProof/>
              </w:rPr>
              <w:t>Tableau II 1.</w:t>
            </w:r>
            <w:r>
              <w:rPr>
                <w:noProof/>
              </w:rPr>
              <w:tab/>
              <w:t>Transports par nationalité et type de bateau (données annuelles)</w:t>
            </w: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Éléments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Codification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Unité</w:t>
            </w: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Tableau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3 positions alphanumériques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«II 1»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Pays déclarant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NUTS0 (code national)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Année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4 positions numériques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«aaaa»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Pays/région de chargement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4 positions alphanumériques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Pays/région de déchargement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4 positions alphanumériques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Type de transport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(sauf transit)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80" w:after="80"/>
              <w:rPr>
                <w:noProof/>
              </w:rPr>
            </w:pP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Type de bateau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automoteur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autre barge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automoteur-citerne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autre barge-citerne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autre bateau de transport de marchandises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bateau destiné à la navigation maritime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80" w:after="80"/>
              <w:rPr>
                <w:noProof/>
              </w:rPr>
            </w:pP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Nationalité du bateau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NUTS0 (code national)</w:t>
            </w:r>
            <w:r>
              <w:rPr>
                <w:rStyle w:val="FootnoteReference"/>
                <w:noProof/>
              </w:rPr>
              <w:footnoteReference w:id="5"/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Tonnes transportées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</w:tbl>
    <w:p>
      <w:pPr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9"/>
        <w:gridCol w:w="1950"/>
        <w:gridCol w:w="3250"/>
        <w:gridCol w:w="1857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keepNext/>
              <w:spacing w:before="80" w:after="80"/>
              <w:rPr>
                <w:noProof/>
              </w:rPr>
            </w:pPr>
            <w:r>
              <w:rPr>
                <w:noProof/>
              </w:rPr>
              <w:t>Tableau II 2.</w:t>
            </w:r>
            <w:r>
              <w:rPr>
                <w:noProof/>
              </w:rPr>
              <w:tab/>
              <w:t>Circulation de bateaux (données annuelles)</w:t>
            </w: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80" w:after="80"/>
              <w:rPr>
                <w:noProof/>
              </w:rPr>
            </w:pPr>
            <w:r>
              <w:rPr>
                <w:noProof/>
              </w:rPr>
              <w:t>Éléments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80" w:after="80"/>
              <w:rPr>
                <w:noProof/>
              </w:rPr>
            </w:pPr>
            <w:r>
              <w:rPr>
                <w:noProof/>
              </w:rPr>
              <w:t>Codification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80" w:after="80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80" w:after="80"/>
              <w:rPr>
                <w:noProof/>
              </w:rPr>
            </w:pPr>
            <w:r>
              <w:rPr>
                <w:noProof/>
              </w:rPr>
              <w:t>Unité</w:t>
            </w: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Tableau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3 positions alphanumériques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«II 2»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Pays déclarant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NUTS0 (code national)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Année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4. positions numériques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«aaaa»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Type de transport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1. position numérique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(sauf transit)</w:t>
            </w:r>
          </w:p>
          <w:p>
            <w:pPr>
              <w:pStyle w:val="Point0"/>
              <w:spacing w:before="80" w:after="8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80" w:after="80"/>
              <w:rPr>
                <w:noProof/>
              </w:rPr>
            </w:pP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Nombre de mouvements de bateaux chargés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mouvements de bateaux</w:t>
            </w: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Nombre de mouvements de bateaux vides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mouvements de bateaux</w:t>
            </w: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Bateau-km (bateaux chargés)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bateau-km</w:t>
            </w:r>
          </w:p>
        </w:tc>
      </w:tr>
      <w:t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Bateau-km (bateaux vides)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80" w:after="80"/>
              <w:rPr>
                <w:noProof/>
              </w:rPr>
            </w:pPr>
            <w:r>
              <w:rPr>
                <w:noProof/>
              </w:rPr>
              <w:t>bateau-km</w:t>
            </w:r>
          </w:p>
        </w:tc>
      </w:tr>
    </w:tbl>
    <w:p>
      <w:pPr>
        <w:pStyle w:val="Point0"/>
        <w:rPr>
          <w:noProof/>
        </w:rPr>
      </w:pPr>
      <w:r>
        <w:rPr>
          <w:i/>
          <w:iCs/>
          <w:noProof/>
        </w:rPr>
        <w:t>Note:</w:t>
      </w:r>
      <w:r>
        <w:rPr>
          <w:noProof/>
        </w:rPr>
        <w:t xml:space="preserve"> La fourniture des données visées au tableau II 2 est facultative.</w:t>
      </w:r>
    </w:p>
    <w:p>
      <w:pPr>
        <w:pStyle w:val="Point0"/>
        <w:jc w:val="center"/>
        <w:rPr>
          <w:noProof/>
        </w:rPr>
      </w:pPr>
      <w:r>
        <w:rPr>
          <w:noProof/>
        </w:rPr>
        <w:t>________________________</w:t>
      </w:r>
    </w:p>
    <w:p>
      <w:pPr>
        <w:adjustRightInd w:val="0"/>
        <w:spacing w:before="0" w:after="0"/>
        <w:jc w:val="left"/>
        <w:rPr>
          <w:noProof/>
          <w:lang w:val="fr-BE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"/>
        <w:spacing w:before="60" w:after="60"/>
        <w:rPr>
          <w:noProof/>
        </w:rPr>
      </w:pPr>
      <w:r>
        <w:rPr>
          <w:noProof/>
        </w:rPr>
        <w:t xml:space="preserve">ANNEXE III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3993"/>
        <w:gridCol w:w="1579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Tableau III 1.</w:t>
            </w:r>
            <w:r>
              <w:rPr>
                <w:noProof/>
              </w:rPr>
              <w:tab/>
              <w:t>Transport de conteneurs par type de marchandises (données annuelles)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Éléments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Codification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Unité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Tableau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4 positions alphanumériques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«III 1»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20" w:after="48"/>
              <w:rPr>
                <w:noProof/>
              </w:rPr>
            </w:pPr>
            <w:r>
              <w:rPr>
                <w:noProof/>
              </w:rPr>
              <w:t>Pays déclarant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20" w:after="48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20" w:after="48"/>
              <w:rPr>
                <w:noProof/>
              </w:rPr>
            </w:pPr>
            <w:r>
              <w:rPr>
                <w:noProof/>
              </w:rPr>
              <w:t>NUTS0 (code national)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20" w:after="48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20" w:after="48"/>
              <w:rPr>
                <w:noProof/>
              </w:rPr>
            </w:pPr>
            <w:r>
              <w:rPr>
                <w:noProof/>
              </w:rPr>
              <w:t>Année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20" w:after="48"/>
              <w:rPr>
                <w:noProof/>
              </w:rPr>
            </w:pPr>
            <w:r>
              <w:rPr>
                <w:noProof/>
              </w:rPr>
              <w:t>4 positions numériques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20" w:after="48"/>
              <w:rPr>
                <w:noProof/>
              </w:rPr>
            </w:pPr>
            <w:r>
              <w:rPr>
                <w:noProof/>
              </w:rPr>
              <w:t>«aaaa»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20" w:after="48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Pays/région de chargement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4 positions alphanumériques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Pays/région de déchargement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4 positions alphanumériques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7"/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Type de transport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 (sauf transit)</w:t>
            </w:r>
          </w:p>
          <w:p>
            <w:pPr>
              <w:pStyle w:val="Point0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Lines="40" w:before="96" w:afterLines="40" w:after="96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Taille des conteneurs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Lines="20" w:before="48" w:afterLines="20" w:after="48"/>
              <w:ind w:left="851" w:hanging="851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unités de fret 20’</w:t>
            </w:r>
          </w:p>
          <w:p>
            <w:pPr>
              <w:pStyle w:val="Point0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unités de fret 40’</w:t>
            </w:r>
          </w:p>
          <w:p>
            <w:pPr>
              <w:pStyle w:val="Point0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unités de fret &gt; 20’ et &lt; 40’</w:t>
            </w:r>
          </w:p>
          <w:p>
            <w:pPr>
              <w:pStyle w:val="Point0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unités de fret &gt; 40’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Lines="40" w:before="96" w:afterLines="40" w:after="96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Statut de chargement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conteneurs chargés</w:t>
            </w:r>
          </w:p>
          <w:p>
            <w:pPr>
              <w:pStyle w:val="Point0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conteneurs vides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Lines="20" w:before="48" w:afterLines="40" w:after="96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Type de marchandises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2 positions numériques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 xml:space="preserve">NST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2007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Tonnes transportées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20" w:before="48" w:afterLines="40" w:after="96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EVP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EVP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EVP-km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Lines="40" w:before="96" w:afterLines="40" w:after="96"/>
              <w:rPr>
                <w:noProof/>
              </w:rPr>
            </w:pPr>
            <w:r>
              <w:rPr>
                <w:noProof/>
              </w:rPr>
              <w:t>EVP-km</w:t>
            </w:r>
          </w:p>
        </w:tc>
      </w:tr>
    </w:tbl>
    <w:p>
      <w:pPr>
        <w:pStyle w:val="Point0"/>
        <w:spacing w:before="0" w:after="0"/>
        <w:ind w:left="851" w:hanging="851"/>
        <w:jc w:val="center"/>
        <w:rPr>
          <w:noProof/>
        </w:rPr>
      </w:pPr>
      <w:r>
        <w:rPr>
          <w:noProof/>
        </w:rPr>
        <w:t>________________________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"/>
        <w:rPr>
          <w:noProof/>
        </w:rPr>
      </w:pPr>
      <w:r>
        <w:rPr>
          <w:noProof/>
        </w:rPr>
        <w:t xml:space="preserve">ANNEXE IV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7"/>
        <w:gridCol w:w="2043"/>
        <w:gridCol w:w="3900"/>
        <w:gridCol w:w="1486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Tableau IV.</w:t>
            </w:r>
            <w:r>
              <w:rPr>
                <w:noProof/>
              </w:rPr>
              <w:tab/>
              <w:t>Transport par nationalité de bateau (données trimestrielles)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Éléments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Codification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Unité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Tableau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 positions alphanumériques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«IV1»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Pays déclarant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(code national)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Année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 positions numériques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«aaaa»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Trimestre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 positions numériques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41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trimestre 1</w:t>
            </w:r>
          </w:p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42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trimestre 2</w:t>
            </w:r>
          </w:p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43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trimestre 3</w:t>
            </w:r>
          </w:p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44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trimestre 4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de transport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 (sauf transit)</w:t>
            </w:r>
          </w:p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Nationalité du bateau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(code national)</w:t>
            </w:r>
            <w:r>
              <w:rPr>
                <w:rStyle w:val="FootnoteReference"/>
                <w:noProof/>
              </w:rPr>
              <w:footnoteReference w:id="8"/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 transportées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</w:tbl>
    <w:p>
      <w:pPr>
        <w:pStyle w:val="Point0"/>
        <w:jc w:val="center"/>
        <w:rPr>
          <w:noProof/>
        </w:rPr>
      </w:pPr>
      <w:r>
        <w:rPr>
          <w:noProof/>
        </w:rPr>
        <w:t>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4"/>
        <w:gridCol w:w="2136"/>
        <w:gridCol w:w="3715"/>
        <w:gridCol w:w="1671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keepNext/>
              <w:keepLines/>
              <w:rPr>
                <w:noProof/>
              </w:rPr>
            </w:pPr>
            <w:r>
              <w:rPr>
                <w:noProof/>
              </w:rPr>
              <w:t>Tableau IV 2.</w:t>
            </w:r>
            <w:r>
              <w:rPr>
                <w:noProof/>
              </w:rPr>
              <w:tab/>
              <w:t>Transport de conteneurs par nationalité de bateau (données trimestrielles)</w:t>
            </w: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keepNext/>
              <w:keepLines/>
              <w:rPr>
                <w:noProof/>
              </w:rPr>
            </w:pPr>
            <w:r>
              <w:rPr>
                <w:noProof/>
              </w:rPr>
              <w:t>Éléments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keepNext/>
              <w:keepLines/>
              <w:rPr>
                <w:noProof/>
              </w:rPr>
            </w:pPr>
            <w:r>
              <w:rPr>
                <w:noProof/>
              </w:rPr>
              <w:t>Codification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keepNext/>
              <w:keepLines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keepNext/>
              <w:keepLines/>
              <w:rPr>
                <w:noProof/>
              </w:rPr>
            </w:pPr>
            <w:r>
              <w:rPr>
                <w:noProof/>
              </w:rPr>
              <w:t>Unité</w:t>
            </w: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Tableau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3 positions alphanumériques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«IV2»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Pays déclarant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NUTS0 (code national)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Année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4 positions numériques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«aaaa»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Trimestre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2 positions numériques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41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trimestre 1</w:t>
            </w:r>
          </w:p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42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trimestre 2</w:t>
            </w:r>
          </w:p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43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trimestre 3</w:t>
            </w:r>
          </w:p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44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trimestre 4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keepNext/>
              <w:keepLines/>
              <w:rPr>
                <w:noProof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Type de transport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(sauf transit)</w:t>
            </w:r>
          </w:p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keepNext/>
              <w:keepLines/>
              <w:rPr>
                <w:noProof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Nationalité du bateau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NUTS0 (code national)</w:t>
            </w:r>
            <w:r>
              <w:rPr>
                <w:rStyle w:val="FootnoteReference"/>
                <w:noProof/>
              </w:rPr>
              <w:footnoteReference w:id="9"/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Statut de chargement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conteneurs chargés</w:t>
            </w:r>
          </w:p>
          <w:p>
            <w:pPr>
              <w:pStyle w:val="Point0"/>
              <w:keepNext/>
              <w:keepLines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conteneurs vides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keepNext/>
              <w:keepLines/>
              <w:rPr>
                <w:noProof/>
              </w:rPr>
            </w:pP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Tonnes transportées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EVP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EVP</w:t>
            </w:r>
          </w:p>
        </w:tc>
      </w:tr>
      <w:t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EVP-km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  <w:tc>
          <w:tcPr>
            <w:tcW w:w="3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rPr>
                <w:noProof/>
              </w:rPr>
            </w:pPr>
            <w:r>
              <w:rPr>
                <w:noProof/>
              </w:rPr>
              <w:t>EVP-km</w:t>
            </w:r>
          </w:p>
        </w:tc>
      </w:tr>
    </w:tbl>
    <w:p>
      <w:pPr>
        <w:pStyle w:val="Point0"/>
        <w:jc w:val="center"/>
        <w:rPr>
          <w:noProof/>
        </w:rPr>
      </w:pPr>
      <w:r>
        <w:rPr>
          <w:noProof/>
        </w:rPr>
        <w:t>________________________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"/>
        <w:rPr>
          <w:noProof/>
        </w:rPr>
      </w:pPr>
      <w:r>
        <w:rPr>
          <w:noProof/>
        </w:rPr>
        <w:t xml:space="preserve">ANNEXE V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43"/>
        <w:gridCol w:w="2136"/>
        <w:gridCol w:w="3714"/>
        <w:gridCol w:w="1393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Tableau V 1.</w:t>
            </w:r>
            <w:r>
              <w:rPr>
                <w:noProof/>
              </w:rPr>
              <w:tab/>
              <w:t>Transport de marchandises (données annuelles)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Éléments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Codification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Unité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Tableau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 positions alphanumériques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«V1»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Pays déclarant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(code national)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Année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 positions numériques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«aaaa»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de transport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 position numérique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(sauf transit)</w:t>
            </w:r>
          </w:p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de marchandises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 positions alphabétiques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 xml:space="preserve">NST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2007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 transportées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 xml:space="preserve"> 1304/2007 Art. 4 et Annexe </w:t>
      </w:r>
    </w:p>
    <w:p>
      <w:pPr>
        <w:pStyle w:val="Annexetitre"/>
        <w:rPr>
          <w:noProof/>
        </w:rPr>
      </w:pPr>
      <w:r>
        <w:rPr>
          <w:noProof/>
        </w:rPr>
        <w:t xml:space="preserve">ANNEXE VI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7"/>
        <w:gridCol w:w="8079"/>
      </w:tblGrid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NST 2007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Division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01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Produits de l’agriculture, de la chasse et de la forêt; poissons et autres produits de pêche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02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Houille et lignite; pétrole brut et gaz naturel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03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Minerais métalliques et autres produits d’extraction; tourbe; minerais d’uranium et thorium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04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Produits alimentaires, boissons et tabac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05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Textiles et produits textiles; cuir et articles en cuir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06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Bois et produits du bois et du liège (hormis les meubles); vannerie et sparterie, pâte à papier, papier et articles en papier, produits imprimés ou supports enregistrés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07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Coke et produits pétroliers raffinés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Produits chimiques et fibres synthétiques, produits en caoutchouc ou en plastique; produits des industries nucléaires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09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Autres produits minéraux non métalliques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Métaux de base, produits du travail des métaux, sauf machines et matériels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Machines et matériel n.c.a., machines de bureau et matériel informatique; machines et appareils électriques, n.c.a.; équipements de radio, de télévision et de communication; instruments médicaux, de précision et d’optique; montres, pendules et horloges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Matériel de transport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Meubles et autres articles manufacturés n.c.a.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Matières premières secondaires; déchets de voirie et autres déchets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Courrier, colis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Équipement et matériels utilisés dans le transport de marchandises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jc w:val="both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keepNext/>
              <w:keepLines/>
              <w:jc w:val="both"/>
              <w:rPr>
                <w:noProof/>
              </w:rPr>
            </w:pPr>
            <w:r>
              <w:rPr>
                <w:noProof/>
              </w:rPr>
              <w:t>Marchandises transportées dans le cadre de déménagements (biens d’équipement ménager et mobilier de bureau), bagages transportés séparément des passagers; véhicules automobiles transportés pour réparation; autres biens non marchands n.c.a.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Marchandises groupées: mélange de types de marchandises qui sont transportées ensemble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Marchandises non identifiables; marchandises qui, pour une raison ou pour une autre, ne peuvent pas être identifiées et ne peuvent donc pas être classées dans l’un des groupes 01 à 16.</w:t>
            </w:r>
          </w:p>
        </w:tc>
      </w:tr>
      <w:t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both"/>
              <w:rPr>
                <w:noProof/>
              </w:rPr>
            </w:pPr>
            <w:r>
              <w:rPr>
                <w:noProof/>
              </w:rPr>
              <w:t>Autres marchandises, n.c.a.</w:t>
            </w:r>
          </w:p>
        </w:tc>
      </w:tr>
    </w:tbl>
    <w:p>
      <w:pPr>
        <w:pStyle w:val="Point0"/>
        <w:jc w:val="center"/>
        <w:rPr>
          <w:noProof/>
        </w:rPr>
      </w:pPr>
      <w:r>
        <w:rPr>
          <w:noProof/>
        </w:rPr>
        <w:t>________________________</w:t>
      </w:r>
    </w:p>
    <w:p>
      <w:pPr>
        <w:pStyle w:val="CRParaDeleted"/>
        <w:rPr>
          <w:noProof/>
        </w:rPr>
      </w:pPr>
    </w:p>
    <w:p>
      <w:pPr>
        <w:adjustRightInd w:val="0"/>
        <w:spacing w:before="0" w:after="0"/>
        <w:jc w:val="left"/>
        <w:rPr>
          <w:noProof/>
          <w:lang w:val="fr-BE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é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ANNEXE VII</w:t>
      </w:r>
    </w:p>
    <w:p>
      <w:pPr>
        <w:jc w:val="center"/>
        <w:rPr>
          <w:b/>
          <w:noProof/>
        </w:rPr>
      </w:pPr>
      <w:bookmarkStart w:id="1" w:name="_CopyToNewDocument_"/>
      <w:bookmarkEnd w:id="1"/>
      <w:r>
        <w:rPr>
          <w:b/>
          <w:noProof/>
        </w:rPr>
        <w:t>Règlement abrogé avec la liste de ses modifications successives</w:t>
      </w:r>
    </w:p>
    <w:tbl>
      <w:tblPr>
        <w:tblW w:w="8417" w:type="dxa"/>
        <w:tblLayout w:type="fixed"/>
        <w:tblLook w:val="0000" w:firstRow="0" w:lastRow="0" w:firstColumn="0" w:lastColumn="0" w:noHBand="0" w:noVBand="0"/>
      </w:tblPr>
      <w:tblGrid>
        <w:gridCol w:w="348"/>
        <w:gridCol w:w="4722"/>
        <w:gridCol w:w="2378"/>
        <w:gridCol w:w="969"/>
      </w:tblGrid>
      <w:tr>
        <w:trPr>
          <w:gridAfter w:val="1"/>
          <w:wAfter w:w="969" w:type="dxa"/>
          <w:cantSplit/>
        </w:trPr>
        <w:tc>
          <w:tcPr>
            <w:tcW w:w="5070" w:type="dxa"/>
            <w:gridSpan w:val="2"/>
            <w:shd w:val="clear" w:color="auto" w:fill="auto"/>
          </w:tcPr>
          <w:p>
            <w:pPr>
              <w:jc w:val="left"/>
              <w:rPr>
                <w:noProof/>
                <w:szCs w:val="20"/>
                <w:lang w:val="fr-BE"/>
              </w:rPr>
            </w:pPr>
            <w:r>
              <w:rPr>
                <w:noProof/>
                <w:lang w:val="fr-BE"/>
              </w:rPr>
              <w:t>Règlement (CE) n° 1365/2006 du Parlement européen et du Conseil</w:t>
            </w:r>
            <w:r>
              <w:rPr>
                <w:noProof/>
                <w:lang w:val="fr-BE"/>
              </w:rPr>
              <w:br/>
            </w:r>
            <w:r>
              <w:rPr>
                <w:noProof/>
                <w:szCs w:val="20"/>
                <w:lang w:val="fr-BE"/>
              </w:rPr>
              <w:t>(JO</w:t>
            </w:r>
            <w:r>
              <w:rPr>
                <w:noProof/>
                <w:lang w:val="fr-BE"/>
              </w:rPr>
              <w:t xml:space="preserve"> L 264 du 25.9.2006, p. 1)</w:t>
            </w:r>
          </w:p>
        </w:tc>
        <w:tc>
          <w:tcPr>
            <w:tcW w:w="2378" w:type="dxa"/>
            <w:shd w:val="clear" w:color="auto" w:fill="auto"/>
          </w:tcPr>
          <w:p>
            <w:pPr>
              <w:ind w:left="175"/>
              <w:rPr>
                <w:noProof/>
                <w:szCs w:val="20"/>
                <w:lang w:val="fr-BE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4722" w:type="dxa"/>
            <w:shd w:val="clear" w:color="auto" w:fill="auto"/>
          </w:tcPr>
          <w:p>
            <w:pPr>
              <w:jc w:val="lef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Règlement (CE) n° 425/2007 de la Commission </w:t>
            </w:r>
            <w:r>
              <w:rPr>
                <w:noProof/>
                <w:lang w:val="fr-BE"/>
              </w:rPr>
              <w:br/>
            </w:r>
            <w:r>
              <w:rPr>
                <w:noProof/>
                <w:szCs w:val="20"/>
                <w:lang w:val="fr-BE"/>
              </w:rPr>
              <w:t>(JO</w:t>
            </w:r>
            <w:r>
              <w:rPr>
                <w:noProof/>
                <w:lang w:val="fr-BE"/>
              </w:rPr>
              <w:t xml:space="preserve"> L 103 du 20.4.2007, p. 26)</w:t>
            </w:r>
          </w:p>
        </w:tc>
        <w:tc>
          <w:tcPr>
            <w:tcW w:w="3347" w:type="dxa"/>
            <w:gridSpan w:val="2"/>
            <w:shd w:val="clear" w:color="auto" w:fill="auto"/>
          </w:tcPr>
          <w:p>
            <w:pPr>
              <w:ind w:left="175"/>
              <w:jc w:val="left"/>
              <w:rPr>
                <w:noProof/>
                <w:szCs w:val="20"/>
                <w:lang w:val="fr-BE"/>
              </w:rPr>
            </w:pPr>
            <w:r>
              <w:rPr>
                <w:noProof/>
                <w:szCs w:val="20"/>
                <w:lang w:val="fr-BE"/>
              </w:rPr>
              <w:t>Uniquement l'article 1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4722" w:type="dxa"/>
            <w:shd w:val="clear" w:color="auto" w:fill="auto"/>
          </w:tcPr>
          <w:p>
            <w:pPr>
              <w:jc w:val="left"/>
              <w:rPr>
                <w:noProof/>
                <w:szCs w:val="20"/>
                <w:lang w:val="fr-BE"/>
              </w:rPr>
            </w:pPr>
            <w:r>
              <w:rPr>
                <w:noProof/>
                <w:lang w:val="fr-BE"/>
              </w:rPr>
              <w:t>Règlement (CE) n° 1304/2007 de la Commission</w:t>
            </w:r>
            <w:r>
              <w:rPr>
                <w:noProof/>
                <w:lang w:val="fr-BE"/>
              </w:rPr>
              <w:br/>
              <w:t>(JO L 290 du 8.11.2007, p. 14)</w:t>
            </w:r>
          </w:p>
        </w:tc>
        <w:tc>
          <w:tcPr>
            <w:tcW w:w="3347" w:type="dxa"/>
            <w:gridSpan w:val="2"/>
            <w:shd w:val="clear" w:color="auto" w:fill="auto"/>
          </w:tcPr>
          <w:p>
            <w:pPr>
              <w:ind w:left="175"/>
              <w:jc w:val="left"/>
              <w:rPr>
                <w:noProof/>
                <w:szCs w:val="20"/>
                <w:lang w:val="fr-BE"/>
              </w:rPr>
            </w:pPr>
            <w:r>
              <w:rPr>
                <w:noProof/>
                <w:szCs w:val="20"/>
                <w:lang w:val="fr-BE"/>
              </w:rPr>
              <w:t>Uniquement l'article 4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4722" w:type="dxa"/>
          </w:tcPr>
          <w:p>
            <w:pPr>
              <w:jc w:val="left"/>
              <w:rPr>
                <w:noProof/>
                <w:szCs w:val="20"/>
              </w:rPr>
            </w:pPr>
            <w:r>
              <w:rPr>
                <w:bCs/>
                <w:noProof/>
                <w:lang w:val="fr-BE"/>
              </w:rPr>
              <w:t>Règlement (UE) 2016/1954 du Parlement européen et du Conseil</w:t>
            </w:r>
            <w:r>
              <w:rPr>
                <w:bCs/>
                <w:noProof/>
                <w:lang w:val="fr-BE"/>
              </w:rPr>
              <w:br/>
            </w:r>
            <w:r>
              <w:rPr>
                <w:noProof/>
              </w:rPr>
              <w:t>(JO L 311 du 17.11.2016, p. 20)</w:t>
            </w:r>
          </w:p>
        </w:tc>
        <w:tc>
          <w:tcPr>
            <w:tcW w:w="3347" w:type="dxa"/>
            <w:gridSpan w:val="2"/>
          </w:tcPr>
          <w:p>
            <w:pPr>
              <w:ind w:left="175"/>
              <w:jc w:val="left"/>
              <w:rPr>
                <w:noProof/>
                <w:szCs w:val="20"/>
              </w:rPr>
            </w:pP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______________________</w:t>
      </w:r>
    </w:p>
    <w:p>
      <w:pPr>
        <w:jc w:val="center"/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ANNEXE VIII</w:t>
      </w:r>
    </w:p>
    <w:p>
      <w:pPr>
        <w:pStyle w:val="ManualHeading1"/>
        <w:ind w:left="851" w:hanging="851"/>
        <w:jc w:val="center"/>
        <w:rPr>
          <w:noProof/>
          <w:lang w:eastAsia="de-DE"/>
        </w:rPr>
      </w:pPr>
      <w:r>
        <w:rPr>
          <w:noProof/>
          <w:lang w:eastAsia="de-DE"/>
        </w:rPr>
        <w:t>Tableau de correspondance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Règlement (CE) n° 1365/2006</w:t>
            </w:r>
          </w:p>
        </w:tc>
        <w:tc>
          <w:tcPr>
            <w:tcW w:w="4674" w:type="dxa"/>
            <w:tcBorders>
              <w:right w:val="nil"/>
            </w:tcBorders>
            <w:shd w:val="clear" w:color="auto" w:fill="auto"/>
          </w:tcPr>
          <w:p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Présent règlement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Articles 1 à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Articles 1 à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Article 4 </w:t>
            </w:r>
            <w:r>
              <w:rPr>
                <w:i/>
                <w:noProof/>
                <w:szCs w:val="20"/>
              </w:rPr>
              <w:t>bis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11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Article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b/>
                <w:noProof/>
                <w:szCs w:val="20"/>
              </w:rPr>
            </w:pPr>
            <w:r>
              <w:rPr>
                <w:noProof/>
                <w:szCs w:val="20"/>
              </w:rPr>
              <w:t>Annexe B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C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III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D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IV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V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F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VI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VII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Annexe VIII</w:t>
            </w:r>
          </w:p>
        </w:tc>
      </w:tr>
    </w:tbl>
    <w:p>
      <w:pPr>
        <w:jc w:val="center"/>
        <w:rPr>
          <w:noProof/>
        </w:rPr>
      </w:pPr>
      <w:r>
        <w:rPr>
          <w:noProof/>
          <w:szCs w:val="20"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  <w:t xml:space="preserve">Lorsque le code régional est inconnu ou non disponible, la codification suivante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fr-BE"/>
        </w:rPr>
        <w:t>est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fr-BE"/>
        </w:rPr>
        <w:t xml:space="preserve"> utilisée:</w:t>
      </w:r>
      <w:r>
        <w:rPr>
          <w:lang w:val="fr-BE"/>
        </w:rPr>
        <w:br/>
      </w:r>
      <w:r>
        <w:t>-</w:t>
      </w:r>
      <w:r>
        <w:tab/>
        <w:t>«NUTS0 + ZZ» lorsque le code NUTS existe pour le pays partenaire,</w:t>
      </w:r>
      <w:r>
        <w:tab/>
      </w:r>
      <w:r>
        <w:br/>
        <w:t>-</w:t>
      </w:r>
      <w:r>
        <w:tab/>
        <w:t>«code ISO + ZZ» lorsque le code NUTS n'existe pas,</w:t>
      </w:r>
      <w:r>
        <w:tab/>
      </w:r>
      <w:r>
        <w:br/>
        <w:t>-</w:t>
      </w:r>
      <w:r>
        <w:tab/>
        <w:t>«ZZZZ» lorsque le pays partenaire est totalement inconnu.</w:t>
      </w:r>
    </w:p>
  </w:footnote>
  <w:footnote w:id="2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  <w:t xml:space="preserve">Lorsque le code régional est inconnu ou non disponible, la codification suivante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fr-BE"/>
        </w:rPr>
        <w:t>est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fr-BE"/>
        </w:rPr>
        <w:t xml:space="preserve"> utilisée:</w:t>
      </w:r>
      <w:r>
        <w:rPr>
          <w:lang w:val="fr-BE"/>
        </w:rPr>
        <w:br/>
      </w:r>
      <w:r>
        <w:t>-</w:t>
      </w:r>
      <w:r>
        <w:tab/>
        <w:t>«NUTS0 + ZZ» lorsque le code NUTS existe pour le pays partenaire,</w:t>
      </w:r>
      <w:r>
        <w:tab/>
      </w:r>
      <w:r>
        <w:br/>
        <w:t>-</w:t>
      </w:r>
      <w:r>
        <w:tab/>
        <w:t>«code ISO + ZZ» lorsque le code NUTS n'existe pas,</w:t>
      </w:r>
      <w:r>
        <w:tab/>
      </w:r>
      <w:r>
        <w:br/>
        <w:t>-</w:t>
      </w:r>
      <w:r>
        <w:tab/>
        <w:t>«ZZZZ» lorsque le pays partenaire est totalement inconnu.</w:t>
      </w:r>
    </w:p>
  </w:footnote>
  <w:footnote w:id="3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  <w:t xml:space="preserve">Lorsque le code régional est inconnu ou non disponible, la codification suivante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fr-BE"/>
        </w:rPr>
        <w:t>est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fr-BE"/>
        </w:rPr>
        <w:t xml:space="preserve"> utilisée:</w:t>
      </w:r>
      <w:r>
        <w:rPr>
          <w:lang w:val="fr-BE"/>
        </w:rPr>
        <w:br/>
      </w:r>
      <w:r>
        <w:t>-</w:t>
      </w:r>
      <w:r>
        <w:tab/>
        <w:t>«NUTS0 + ZZ» lorsque le code NUTS existe pour le pays partenaire,</w:t>
      </w:r>
      <w:r>
        <w:tab/>
      </w:r>
      <w:r>
        <w:br/>
        <w:t>-</w:t>
      </w:r>
      <w:r>
        <w:tab/>
        <w:t>«code ISO + ZZ» lorsque le code NUTS n'existe pas pour le pays partenaire,</w:t>
      </w:r>
      <w:r>
        <w:tab/>
      </w:r>
      <w:r>
        <w:br/>
        <w:t>-</w:t>
      </w:r>
      <w:r>
        <w:tab/>
        <w:t>«ZZZZ» lorsque le pays partenaire est totalement inconnu.</w:t>
      </w:r>
    </w:p>
  </w:footnote>
  <w:footnote w:id="4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  <w:t xml:space="preserve">Lorsque le code régional est inconnu ou non disponible, la codification suivante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fr-BE"/>
        </w:rPr>
        <w:t>est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fr-BE"/>
        </w:rPr>
        <w:t xml:space="preserve"> utilisée:</w:t>
      </w:r>
      <w:r>
        <w:rPr>
          <w:lang w:val="fr-BE"/>
        </w:rPr>
        <w:br/>
      </w:r>
      <w:r>
        <w:t>-</w:t>
      </w:r>
      <w:r>
        <w:tab/>
        <w:t>«NUTS0 + ZZ» lorsque le code NUTS existe pour le pays partenaire,</w:t>
      </w:r>
      <w:r>
        <w:tab/>
      </w:r>
      <w:r>
        <w:br/>
        <w:t>-</w:t>
      </w:r>
      <w:r>
        <w:tab/>
        <w:t>«code ISO + ZZ» lorsque le code NUTS n'existe pas pour le pays partenaire,</w:t>
      </w:r>
      <w:r>
        <w:tab/>
      </w:r>
      <w:r>
        <w:br/>
        <w:t>-</w:t>
      </w:r>
      <w:r>
        <w:tab/>
        <w:t>«ZZZZ» lorsque le pays partenaire est totalement inconnu.</w:t>
      </w:r>
    </w:p>
  </w:footnote>
  <w:footnote w:id="5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</w:r>
      <w:r>
        <w:t>En l'absence de code NUTS pour le pays d'immatriculation du bateau, le code national ISO est déclaré. Lorsque la nationalité du bateau est inconnue, le code à utiliser est «ZZ».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Lorsque</w:t>
      </w:r>
      <w:r>
        <w:rPr>
          <w:lang w:val="fr-BE"/>
        </w:rPr>
        <w:t xml:space="preserve"> le </w:t>
      </w:r>
      <w:r>
        <w:t>code</w:t>
      </w:r>
      <w:r>
        <w:rPr>
          <w:lang w:val="fr-BE"/>
        </w:rPr>
        <w:t xml:space="preserve"> régional est inconnu ou non disponible, la codification suivante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fr-BE"/>
        </w:rPr>
        <w:t>est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fr-BE"/>
        </w:rPr>
        <w:t xml:space="preserve"> utilisée:</w:t>
      </w:r>
      <w:r>
        <w:rPr>
          <w:lang w:val="fr-BE"/>
        </w:rPr>
        <w:br/>
      </w:r>
      <w:r>
        <w:t>-</w:t>
      </w:r>
      <w:r>
        <w:tab/>
        <w:t>«NUTS0 + ZZ» lorsque le code NUTS existe pour le pays partenaire,</w:t>
      </w:r>
      <w:r>
        <w:tab/>
      </w:r>
      <w:r>
        <w:br/>
        <w:t>-</w:t>
      </w:r>
      <w:r>
        <w:tab/>
        <w:t>«code ISO + ZZ» lorsque le code NUTS n'existe pas,</w:t>
      </w:r>
      <w:r>
        <w:tab/>
      </w:r>
      <w:r>
        <w:br/>
        <w:t>-</w:t>
      </w:r>
      <w:r>
        <w:tab/>
        <w:t>«ZZZZ» lorsque le pays partenaire est totalement inconnu.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rPr>
          <w:lang w:val="fr-BE"/>
        </w:rPr>
        <w:tab/>
        <w:t xml:space="preserve">Lorsque le code régional est inconnu ou non disponible, la codification suivante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fr-BE"/>
        </w:rPr>
        <w:t>est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fr-BE"/>
        </w:rPr>
        <w:t xml:space="preserve"> utilisée:</w:t>
      </w:r>
      <w:r>
        <w:rPr>
          <w:lang w:val="fr-BE"/>
        </w:rPr>
        <w:br/>
      </w:r>
      <w:r>
        <w:t>-</w:t>
      </w:r>
      <w:r>
        <w:tab/>
        <w:t>«NUTS0 + ZZ» lorsque le code NUTS existe pour le pays partenaire,</w:t>
      </w:r>
      <w:r>
        <w:tab/>
      </w:r>
      <w:r>
        <w:br/>
        <w:t>-</w:t>
      </w:r>
      <w:r>
        <w:tab/>
        <w:t>«code ISO + ZZ» lorsque le code NUTS n'existe pas,</w:t>
      </w:r>
      <w:r>
        <w:tab/>
      </w:r>
      <w:r>
        <w:br/>
        <w:t>-</w:t>
      </w:r>
      <w:r>
        <w:tab/>
        <w:t>«ZZZZ» lorsque le pays partenaire est totalement inconnu.</w:t>
      </w:r>
    </w:p>
  </w:footnote>
  <w:footnote w:id="8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</w:r>
      <w:r>
        <w:t xml:space="preserve">Lorsqu'un code NUTS n'existe pas pour le pays d'immatriculation du bateau, le code national ISO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fr-BE"/>
        </w:rPr>
        <w:t>est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fr-BE"/>
        </w:rPr>
        <w:t xml:space="preserve"> </w:t>
      </w:r>
      <w:r>
        <w:t>déclaré. Lorsque la nationalité du bateau est inconnue, le code utilisé est «ZZ».</w:t>
      </w:r>
    </w:p>
  </w:footnote>
  <w:footnote w:id="9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</w:r>
      <w:r>
        <w:t xml:space="preserve">Lorsqu'un code NUTS n'existe pas pour le pays d'immatriculation du bateau, le code national ISO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fr-BE"/>
        </w:rPr>
        <w:t>est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fr-BE"/>
        </w:rPr>
        <w:t xml:space="preserve"> </w:t>
      </w:r>
      <w:r>
        <w:t>déclaré. Lorsque la nationalité du bateau est inconnue, le code utilisé est «ZZ».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4A002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55A9D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1A08F3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120EF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D8E7B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50085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4DA48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13BEA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Ref0" w:val="425/2007"/>
    <w:docVar w:name="CR_RefCount" w:val="1"/>
    <w:docVar w:name="CR_RefLast" w:val="4"/>
    <w:docVar w:name="CR_TimeStamp" w:val="14:28:35"/>
    <w:docVar w:name="DQCDateTime" w:val="2017-08-17 14:29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.CP" w:val="à la proposition de"/>
    <w:docVar w:name="LW_ANNEX_NBR_FIRST" w:val="1"/>
    <w:docVar w:name="LW_ANNEX_NBR_LAST" w:val="8"/>
    <w:docVar w:name="LW_CONFIDENCE" w:val=" "/>
    <w:docVar w:name="LW_CONST_RESTREINT_UE" w:val="RESTREINT UE"/>
    <w:docVar w:name="LW_CORRIGENDUM" w:val="&lt;UNUSED&gt;"/>
    <w:docVar w:name="LW_COVERPAGE_GUID" w:val="5014CC29730A4AF99666D5F9066D8585"/>
    <w:docVar w:name="LW_CROSSREFERENCE" w:val="&lt;UNUSED&gt;"/>
    <w:docVar w:name="LW_DocType" w:val="ANNEX"/>
    <w:docVar w:name="LW_EMISSION" w:val="26.9.2017"/>
    <w:docVar w:name="LW_EMISSION_ISODATE" w:val="2017-09-26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f aux statistiques des transports de marchandises par voies navigables intérieures (codification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545"/>
    <w:docVar w:name="LW_REF.INTERNE" w:val="&lt;UNUSED&gt;"/>
    <w:docVar w:name="LW_SUPERTITRE" w:val="&lt;UNUSED&gt;"/>
    <w:docVar w:name="LW_TITRE.OBJ.CP" w:val="&lt;UNUSED&gt;"/>
    <w:docVar w:name="LW_TYPE.DOC.CP" w:val="ANNEXES"/>
    <w:docVar w:name="LW_TYPEACTEPRINCIPAL.CP" w:val="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CRDeleted">
    <w:name w:val="CR Deleted"/>
    <w:basedOn w:val="DefaultParagraphFont"/>
    <w:rPr>
      <w:strike w:val="0"/>
      <w:dstrike/>
    </w:rPr>
  </w:style>
  <w:style w:type="character" w:customStyle="1" w:styleId="CRMinorChangeAdded">
    <w:name w:val="CR Minor Change Added"/>
    <w:basedOn w:val="DefaultParagraphFont"/>
    <w:rPr>
      <w:u w:val="double"/>
      <w:lang w:val="fr-FR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eastAsia="en-GB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eastAsia="en-GB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  <w:rPr>
      <w:rFonts w:eastAsia="Calibri"/>
    </w:rPr>
  </w:style>
  <w:style w:type="character" w:customStyle="1" w:styleId="CRMinorChangeDeleted">
    <w:name w:val="CR Minor Change Deleted"/>
    <w:basedOn w:val="DefaultParagraphFont"/>
    <w:rPr>
      <w:strike w:val="0"/>
      <w:dstrike/>
      <w:u w:val="double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CRDeleted">
    <w:name w:val="CR Deleted"/>
    <w:basedOn w:val="DefaultParagraphFont"/>
    <w:rPr>
      <w:strike w:val="0"/>
      <w:dstrike/>
    </w:rPr>
  </w:style>
  <w:style w:type="character" w:customStyle="1" w:styleId="CRMinorChangeAdded">
    <w:name w:val="CR Minor Change Added"/>
    <w:basedOn w:val="DefaultParagraphFont"/>
    <w:rPr>
      <w:u w:val="double"/>
      <w:lang w:val="fr-FR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eastAsia="en-GB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eastAsia="en-GB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  <w:rPr>
      <w:rFonts w:eastAsia="Calibri"/>
    </w:rPr>
  </w:style>
  <w:style w:type="character" w:customStyle="1" w:styleId="CRMinorChangeDeleted">
    <w:name w:val="CR Minor Change Deleted"/>
    <w:basedOn w:val="DefaultParagraphFont"/>
    <w:rPr>
      <w:strike w:val="0"/>
      <w:dstrike/>
      <w:u w:val="double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6759-3964-44C5-9550-7E86EF2A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14</Pages>
  <Words>1210</Words>
  <Characters>6946</Characters>
  <Application>Microsoft Office Word</Application>
  <DocSecurity>0</DocSecurity>
  <Lines>631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MEERT Viviane (SJ)</dc:creator>
  <cp:lastModifiedBy>DIGIT/A3</cp:lastModifiedBy>
  <cp:revision>8</cp:revision>
  <cp:lastPrinted>2017-08-14T12:12:00Z</cp:lastPrinted>
  <dcterms:created xsi:type="dcterms:W3CDTF">2017-08-17T12:28:00Z</dcterms:created>
  <dcterms:modified xsi:type="dcterms:W3CDTF">2017-09-26T07:09:00Z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5.8.3, Build 20140113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8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LWCR IsRefonte">
    <vt:lpwstr>False</vt:lpwstr>
  </property>
  <property fmtid="{D5CDD505-2E9C-101B-9397-08002B2CF9AE}" pid="15" name="DQCStatus">
    <vt:lpwstr>Yellow (DQC version 03)</vt:lpwstr>
  </property>
</Properties>
</file>