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FA9C1999F504A8486191D1A2C90B524" style="width:450.7pt;height:33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КОНТЕКСТ НА ПРЕДЛОЖЕНИЕТО</w:t>
      </w:r>
    </w:p>
    <w:p>
      <w:pPr>
        <w:pStyle w:val="ManualNumPar1"/>
        <w:rPr>
          <w:noProof/>
        </w:rPr>
      </w:pPr>
      <w:r>
        <w:t>1.</w:t>
      </w:r>
      <w:r>
        <w:tab/>
      </w:r>
      <w:r>
        <w:rPr>
          <w:noProof/>
        </w:rPr>
        <w:t>Приложимите разпоредби за предоставяне на финансово участие от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1"/>
      </w:r>
      <w:r>
        <w:rPr>
          <w:noProof/>
        </w:rPr>
        <w:t xml:space="preserve"> („Регламента за ЕФПГ“).</w:t>
      </w:r>
    </w:p>
    <w:p>
      <w:pPr>
        <w:pStyle w:val="ManualNumPar1"/>
        <w:rPr>
          <w:noProof/>
        </w:rPr>
      </w:pPr>
      <w:r>
        <w:t>2.</w:t>
      </w:r>
      <w:r>
        <w:tab/>
      </w:r>
      <w:r>
        <w:rPr>
          <w:noProof/>
        </w:rPr>
        <w:t>На 9 май 2017 г. Италия подаде заявление EGF/2017/004 IT/Almaviva за предоставяне на финансово участие от ЕФПГ във връзка с извършени съкращения</w:t>
      </w:r>
      <w:r>
        <w:rPr>
          <w:rStyle w:val="FootnoteReference"/>
          <w:noProof/>
        </w:rPr>
        <w:footnoteReference w:id="2"/>
      </w:r>
      <w:r>
        <w:rPr>
          <w:noProof/>
        </w:rPr>
        <w:t xml:space="preserve"> в Almaviva Contact SpA в Италия.</w:t>
      </w:r>
    </w:p>
    <w:p>
      <w:pPr>
        <w:pStyle w:val="ManualNumPar1"/>
        <w:rPr>
          <w:noProof/>
        </w:rPr>
      </w:pPr>
      <w:r>
        <w:t>3.</w:t>
      </w:r>
      <w:r>
        <w:tab/>
      </w:r>
      <w:r>
        <w:rPr>
          <w:noProof/>
        </w:rPr>
        <w:t xml:space="preserve">След оценка на заявлението Комисията заключи, в съответствие с всички приложими разпоредби на Регламента за ЕФПГ, че условията за предоставяне на финансово участие от ЕФПГ са изпълнени. </w:t>
      </w:r>
    </w:p>
    <w:p>
      <w:pPr>
        <w:pStyle w:val="ManualHeading1"/>
        <w:rPr>
          <w:noProof/>
        </w:rPr>
      </w:pPr>
      <w:r>
        <w:rPr>
          <w:noProof/>
        </w:rPr>
        <w:t>ОБОБЩЕНИ ДАННИ ЗА ЗАЯВЛЕНИЕТО</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908"/>
        <w:gridCol w:w="1680"/>
        <w:gridCol w:w="2699"/>
      </w:tblGrid>
      <w:tr>
        <w:tc>
          <w:tcPr>
            <w:tcW w:w="4908" w:type="dxa"/>
            <w:shd w:val="clear" w:color="auto" w:fill="auto"/>
          </w:tcPr>
          <w:p>
            <w:pPr>
              <w:spacing w:before="60" w:after="60"/>
              <w:jc w:val="left"/>
              <w:rPr>
                <w:rFonts w:eastAsia="Calibri"/>
                <w:noProof/>
              </w:rPr>
            </w:pPr>
            <w:r>
              <w:rPr>
                <w:noProof/>
              </w:rPr>
              <w:t>Заявление по ЕФПГ</w:t>
            </w:r>
          </w:p>
        </w:tc>
        <w:tc>
          <w:tcPr>
            <w:tcW w:w="4379" w:type="dxa"/>
            <w:gridSpan w:val="2"/>
            <w:shd w:val="clear" w:color="auto" w:fill="auto"/>
            <w:vAlign w:val="bottom"/>
          </w:tcPr>
          <w:p>
            <w:pPr>
              <w:spacing w:before="60" w:after="60"/>
              <w:ind w:rightChars="192" w:right="461"/>
              <w:jc w:val="left"/>
              <w:rPr>
                <w:rFonts w:eastAsia="Calibri"/>
                <w:noProof/>
              </w:rPr>
            </w:pPr>
            <w:r>
              <w:rPr>
                <w:noProof/>
              </w:rPr>
              <w:t>EGF/2017/004 IT/Almaviva</w:t>
            </w:r>
          </w:p>
        </w:tc>
      </w:tr>
      <w:tr>
        <w:tc>
          <w:tcPr>
            <w:tcW w:w="4908" w:type="dxa"/>
            <w:shd w:val="clear" w:color="auto" w:fill="auto"/>
          </w:tcPr>
          <w:p>
            <w:pPr>
              <w:spacing w:before="60" w:after="60"/>
              <w:jc w:val="left"/>
              <w:rPr>
                <w:rFonts w:eastAsia="Calibri"/>
                <w:noProof/>
              </w:rPr>
            </w:pPr>
            <w:r>
              <w:rPr>
                <w:noProof/>
              </w:rPr>
              <w:t>Държава членка</w:t>
            </w:r>
          </w:p>
        </w:tc>
        <w:tc>
          <w:tcPr>
            <w:tcW w:w="4379" w:type="dxa"/>
            <w:gridSpan w:val="2"/>
            <w:shd w:val="clear" w:color="auto" w:fill="auto"/>
            <w:vAlign w:val="bottom"/>
          </w:tcPr>
          <w:p>
            <w:pPr>
              <w:spacing w:before="60" w:after="60"/>
              <w:ind w:rightChars="192" w:right="461"/>
              <w:jc w:val="left"/>
              <w:rPr>
                <w:rFonts w:eastAsia="Calibri"/>
                <w:noProof/>
              </w:rPr>
            </w:pPr>
            <w:r>
              <w:rPr>
                <w:noProof/>
              </w:rPr>
              <w:t>Италия</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Засегнат(и) регион(и) (ниво 2</w:t>
            </w:r>
            <w:r>
              <w:rPr>
                <w:rStyle w:val="FootnoteReference"/>
                <w:noProof/>
              </w:rPr>
              <w:footnoteReference w:id="3"/>
            </w:r>
            <w:r>
              <w:rPr>
                <w:noProof/>
              </w:rPr>
              <w:t xml:space="preserve"> по NUTS)</w:t>
            </w:r>
          </w:p>
        </w:tc>
        <w:tc>
          <w:tcPr>
            <w:tcW w:w="4379" w:type="dxa"/>
            <w:gridSpan w:val="2"/>
            <w:tcBorders>
              <w:bottom w:val="single" w:sz="4" w:space="0" w:color="auto"/>
            </w:tcBorders>
            <w:shd w:val="clear" w:color="auto" w:fill="auto"/>
            <w:vAlign w:val="bottom"/>
          </w:tcPr>
          <w:p>
            <w:pPr>
              <w:spacing w:before="0" w:after="0"/>
              <w:ind w:rightChars="192" w:right="461"/>
              <w:jc w:val="left"/>
              <w:rPr>
                <w:noProof/>
                <w:szCs w:val="24"/>
              </w:rPr>
            </w:pPr>
            <w:r>
              <w:rPr>
                <w:noProof/>
              </w:rPr>
              <w:t>Лацио (ITI4)</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Дата на подаване на заявлението</w:t>
            </w:r>
          </w:p>
        </w:tc>
        <w:tc>
          <w:tcPr>
            <w:tcW w:w="4379" w:type="dxa"/>
            <w:gridSpan w:val="2"/>
            <w:tcBorders>
              <w:bottom w:val="dotted" w:sz="4" w:space="0" w:color="auto"/>
            </w:tcBorders>
            <w:shd w:val="clear" w:color="auto" w:fill="auto"/>
            <w:vAlign w:val="bottom"/>
          </w:tcPr>
          <w:p>
            <w:pPr>
              <w:spacing w:before="60" w:after="60"/>
              <w:ind w:rightChars="192" w:right="461"/>
              <w:jc w:val="left"/>
              <w:rPr>
                <w:rFonts w:eastAsia="Calibri"/>
                <w:noProof/>
              </w:rPr>
            </w:pPr>
            <w:r>
              <w:rPr>
                <w:noProof/>
              </w:rPr>
              <w:t>9 май 2017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потвърждението за получаване на заявлението</w:t>
            </w:r>
          </w:p>
        </w:tc>
        <w:tc>
          <w:tcPr>
            <w:tcW w:w="4379" w:type="dxa"/>
            <w:gridSpan w:val="2"/>
            <w:tcBorders>
              <w:top w:val="dotted" w:sz="4" w:space="0" w:color="auto"/>
              <w:bottom w:val="dotted" w:sz="4" w:space="0" w:color="auto"/>
            </w:tcBorders>
            <w:shd w:val="clear" w:color="auto" w:fill="auto"/>
            <w:vAlign w:val="bottom"/>
          </w:tcPr>
          <w:p>
            <w:pPr>
              <w:spacing w:before="60" w:after="60"/>
              <w:ind w:rightChars="192" w:right="461"/>
              <w:jc w:val="left"/>
              <w:rPr>
                <w:rFonts w:eastAsia="Calibri"/>
                <w:noProof/>
              </w:rPr>
            </w:pPr>
            <w:r>
              <w:rPr>
                <w:noProof/>
              </w:rPr>
              <w:t>9 май 2017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искането за допълнителна информация</w:t>
            </w:r>
          </w:p>
        </w:tc>
        <w:tc>
          <w:tcPr>
            <w:tcW w:w="4379" w:type="dxa"/>
            <w:gridSpan w:val="2"/>
            <w:tcBorders>
              <w:top w:val="dotted" w:sz="4" w:space="0" w:color="auto"/>
              <w:bottom w:val="dotted" w:sz="4" w:space="0" w:color="auto"/>
            </w:tcBorders>
            <w:shd w:val="clear" w:color="auto" w:fill="auto"/>
            <w:vAlign w:val="bottom"/>
          </w:tcPr>
          <w:p>
            <w:pPr>
              <w:spacing w:before="60" w:after="60"/>
              <w:ind w:rightChars="192" w:right="461"/>
              <w:jc w:val="left"/>
              <w:rPr>
                <w:rFonts w:eastAsia="Calibri"/>
                <w:noProof/>
              </w:rPr>
            </w:pPr>
            <w:r>
              <w:rPr>
                <w:noProof/>
              </w:rPr>
              <w:t>23 май 2017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Срок за предоставяне на допълнителната информация</w:t>
            </w:r>
          </w:p>
        </w:tc>
        <w:tc>
          <w:tcPr>
            <w:tcW w:w="4379" w:type="dxa"/>
            <w:gridSpan w:val="2"/>
            <w:tcBorders>
              <w:top w:val="dotted" w:sz="4" w:space="0" w:color="auto"/>
              <w:bottom w:val="dotted" w:sz="4" w:space="0" w:color="auto"/>
            </w:tcBorders>
            <w:shd w:val="clear" w:color="auto" w:fill="auto"/>
            <w:vAlign w:val="bottom"/>
          </w:tcPr>
          <w:p>
            <w:pPr>
              <w:spacing w:before="60" w:after="60"/>
              <w:ind w:rightChars="192" w:right="461"/>
              <w:jc w:val="left"/>
              <w:rPr>
                <w:rFonts w:eastAsia="Calibri"/>
                <w:noProof/>
                <w:highlight w:val="cyan"/>
              </w:rPr>
            </w:pPr>
            <w:r>
              <w:rPr>
                <w:noProof/>
              </w:rPr>
              <w:t>4 юли 2017 г.</w:t>
            </w:r>
          </w:p>
        </w:tc>
      </w:tr>
      <w:tr>
        <w:tc>
          <w:tcPr>
            <w:tcW w:w="4908" w:type="dxa"/>
            <w:tcBorders>
              <w:top w:val="dotted" w:sz="4" w:space="0" w:color="auto"/>
            </w:tcBorders>
            <w:shd w:val="clear" w:color="auto" w:fill="auto"/>
          </w:tcPr>
          <w:p>
            <w:pPr>
              <w:spacing w:before="60" w:after="60"/>
              <w:jc w:val="left"/>
              <w:rPr>
                <w:rFonts w:eastAsia="Calibri"/>
                <w:noProof/>
              </w:rPr>
            </w:pPr>
            <w:r>
              <w:rPr>
                <w:noProof/>
              </w:rPr>
              <w:t>Срок за приключване на оценката</w:t>
            </w:r>
          </w:p>
        </w:tc>
        <w:tc>
          <w:tcPr>
            <w:tcW w:w="4379" w:type="dxa"/>
            <w:gridSpan w:val="2"/>
            <w:tcBorders>
              <w:top w:val="dotted" w:sz="4" w:space="0" w:color="auto"/>
            </w:tcBorders>
            <w:shd w:val="clear" w:color="auto" w:fill="auto"/>
            <w:vAlign w:val="bottom"/>
          </w:tcPr>
          <w:p>
            <w:pPr>
              <w:spacing w:before="60" w:after="60"/>
              <w:ind w:rightChars="192" w:right="461"/>
              <w:jc w:val="left"/>
              <w:rPr>
                <w:rFonts w:eastAsia="Calibri"/>
                <w:noProof/>
              </w:rPr>
            </w:pPr>
            <w:r>
              <w:rPr>
                <w:noProof/>
              </w:rPr>
              <w:t>26 септември 2017 г.</w:t>
            </w:r>
          </w:p>
        </w:tc>
      </w:tr>
      <w:tr>
        <w:tc>
          <w:tcPr>
            <w:tcW w:w="4908" w:type="dxa"/>
            <w:shd w:val="clear" w:color="auto" w:fill="auto"/>
          </w:tcPr>
          <w:p>
            <w:pPr>
              <w:spacing w:before="60" w:after="60"/>
              <w:jc w:val="left"/>
              <w:rPr>
                <w:rFonts w:eastAsia="Calibri"/>
                <w:noProof/>
              </w:rPr>
            </w:pPr>
            <w:r>
              <w:rPr>
                <w:noProof/>
              </w:rPr>
              <w:t>Критерий за намеса</w:t>
            </w:r>
          </w:p>
        </w:tc>
        <w:tc>
          <w:tcPr>
            <w:tcW w:w="4379" w:type="dxa"/>
            <w:gridSpan w:val="2"/>
            <w:shd w:val="clear" w:color="auto" w:fill="auto"/>
            <w:vAlign w:val="bottom"/>
          </w:tcPr>
          <w:p>
            <w:pPr>
              <w:spacing w:before="60" w:after="60"/>
              <w:ind w:rightChars="192" w:right="461"/>
              <w:jc w:val="left"/>
              <w:rPr>
                <w:rFonts w:eastAsia="Calibri"/>
                <w:noProof/>
              </w:rPr>
            </w:pPr>
            <w:r>
              <w:rPr>
                <w:noProof/>
              </w:rPr>
              <w:t>Член 4, параграф 1, буква а) от Регламента за ЕФПГ</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Основно предприятие</w:t>
            </w:r>
          </w:p>
        </w:tc>
        <w:tc>
          <w:tcPr>
            <w:tcW w:w="4379" w:type="dxa"/>
            <w:gridSpan w:val="2"/>
            <w:tcBorders>
              <w:top w:val="single" w:sz="4" w:space="0" w:color="auto"/>
              <w:left w:val="single" w:sz="4" w:space="0" w:color="auto"/>
              <w:bottom w:val="single" w:sz="4" w:space="0" w:color="auto"/>
            </w:tcBorders>
            <w:shd w:val="clear" w:color="auto" w:fill="auto"/>
            <w:vAlign w:val="bottom"/>
          </w:tcPr>
          <w:p>
            <w:pPr>
              <w:spacing w:before="60" w:after="60"/>
              <w:ind w:rightChars="192" w:right="461"/>
              <w:jc w:val="left"/>
              <w:rPr>
                <w:noProof/>
                <w:szCs w:val="24"/>
              </w:rPr>
            </w:pPr>
            <w:r>
              <w:rPr>
                <w:noProof/>
              </w:rPr>
              <w:t>Almaviva Contact Spa</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Брой на засегнатите предприятия</w:t>
            </w:r>
          </w:p>
        </w:tc>
        <w:tc>
          <w:tcPr>
            <w:tcW w:w="4379" w:type="dxa"/>
            <w:gridSpan w:val="2"/>
            <w:tcBorders>
              <w:top w:val="single" w:sz="4" w:space="0" w:color="auto"/>
              <w:left w:val="single" w:sz="4" w:space="0" w:color="auto"/>
              <w:bottom w:val="single" w:sz="4" w:space="0" w:color="auto"/>
            </w:tcBorders>
            <w:shd w:val="clear" w:color="auto" w:fill="auto"/>
            <w:vAlign w:val="bottom"/>
          </w:tcPr>
          <w:p>
            <w:pPr>
              <w:spacing w:before="60" w:after="60"/>
              <w:ind w:rightChars="192" w:right="461"/>
              <w:jc w:val="left"/>
              <w:rPr>
                <w:noProof/>
                <w:szCs w:val="24"/>
              </w:rPr>
            </w:pPr>
            <w:r>
              <w:rPr>
                <w:noProof/>
              </w:rPr>
              <w:t>1</w:t>
            </w:r>
          </w:p>
        </w:tc>
      </w:tr>
      <w:tr>
        <w:tc>
          <w:tcPr>
            <w:tcW w:w="4908" w:type="dxa"/>
            <w:shd w:val="clear" w:color="auto" w:fill="auto"/>
          </w:tcPr>
          <w:p>
            <w:pPr>
              <w:spacing w:before="60" w:after="60"/>
              <w:jc w:val="left"/>
              <w:rPr>
                <w:rFonts w:eastAsia="Calibri"/>
                <w:noProof/>
              </w:rPr>
            </w:pPr>
            <w:r>
              <w:rPr>
                <w:noProof/>
              </w:rPr>
              <w:t>Сектор(и) на икономическа дейност</w:t>
            </w:r>
          </w:p>
          <w:p>
            <w:pPr>
              <w:spacing w:before="60" w:after="60"/>
              <w:jc w:val="left"/>
              <w:rPr>
                <w:rFonts w:eastAsia="Calibri"/>
                <w:noProof/>
              </w:rPr>
            </w:pPr>
            <w:r>
              <w:rPr>
                <w:noProof/>
              </w:rPr>
              <w:t>(разделение по NACE Rev. 2)</w:t>
            </w:r>
            <w:r>
              <w:rPr>
                <w:rStyle w:val="FootnoteReference"/>
                <w:noProof/>
              </w:rPr>
              <w:footnoteReference w:id="4"/>
            </w:r>
          </w:p>
        </w:tc>
        <w:tc>
          <w:tcPr>
            <w:tcW w:w="4379" w:type="dxa"/>
            <w:gridSpan w:val="2"/>
            <w:shd w:val="clear" w:color="auto" w:fill="auto"/>
            <w:vAlign w:val="bottom"/>
          </w:tcPr>
          <w:p>
            <w:pPr>
              <w:spacing w:before="60" w:after="60"/>
              <w:ind w:rightChars="192" w:right="461"/>
              <w:jc w:val="left"/>
              <w:rPr>
                <w:noProof/>
                <w:spacing w:val="-4"/>
                <w:szCs w:val="24"/>
              </w:rPr>
            </w:pPr>
            <w:r>
              <w:rPr>
                <w:noProof/>
                <w:spacing w:val="-4"/>
              </w:rPr>
              <w:t>Разделение 82 (Административни офис дейности и друго спомагателно обслужване на стопанската дейност)</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lastRenderedPageBreak/>
              <w:t>Референтен период (четири месеца):</w:t>
            </w:r>
          </w:p>
        </w:tc>
        <w:tc>
          <w:tcPr>
            <w:tcW w:w="4379" w:type="dxa"/>
            <w:gridSpan w:val="2"/>
            <w:tcBorders>
              <w:bottom w:val="single" w:sz="4" w:space="0" w:color="auto"/>
            </w:tcBorders>
            <w:shd w:val="clear" w:color="auto" w:fill="auto"/>
            <w:vAlign w:val="bottom"/>
          </w:tcPr>
          <w:p>
            <w:pPr>
              <w:spacing w:before="60" w:after="60"/>
              <w:ind w:rightChars="192" w:right="461"/>
              <w:jc w:val="left"/>
              <w:rPr>
                <w:rFonts w:eastAsia="Calibri"/>
                <w:noProof/>
              </w:rPr>
            </w:pPr>
            <w:r>
              <w:rPr>
                <w:noProof/>
              </w:rPr>
              <w:t>30 декември 2016 г. — 30 април 2017 г.</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Брой на съкращенията по време на референтния период (</w:t>
            </w:r>
            <w:r>
              <w:rPr>
                <w:i/>
                <w:noProof/>
              </w:rPr>
              <w:t>а</w:t>
            </w:r>
            <w:r>
              <w:rPr>
                <w:noProof/>
              </w:rPr>
              <w:t>)</w:t>
            </w:r>
          </w:p>
        </w:tc>
        <w:tc>
          <w:tcPr>
            <w:tcW w:w="4379" w:type="dxa"/>
            <w:gridSpan w:val="2"/>
            <w:tcBorders>
              <w:bottom w:val="dotted" w:sz="4" w:space="0" w:color="auto"/>
            </w:tcBorders>
            <w:shd w:val="clear" w:color="auto" w:fill="auto"/>
            <w:vAlign w:val="bottom"/>
          </w:tcPr>
          <w:p>
            <w:pPr>
              <w:spacing w:before="60" w:after="60"/>
              <w:ind w:rightChars="192" w:right="461"/>
              <w:jc w:val="left"/>
              <w:rPr>
                <w:rFonts w:eastAsia="Calibri"/>
                <w:noProof/>
                <w:highlight w:val="magenta"/>
              </w:rPr>
            </w:pPr>
            <w:r>
              <w:rPr>
                <w:noProof/>
              </w:rPr>
              <w:t>1 610</w:t>
            </w:r>
          </w:p>
        </w:tc>
      </w:tr>
      <w:tr>
        <w:tc>
          <w:tcPr>
            <w:tcW w:w="4908" w:type="dxa"/>
            <w:tcBorders>
              <w:top w:val="dotted" w:sz="4" w:space="0" w:color="auto"/>
              <w:bottom w:val="dotted" w:sz="4" w:space="0" w:color="auto"/>
            </w:tcBorders>
            <w:shd w:val="clear" w:color="auto" w:fill="auto"/>
          </w:tcPr>
          <w:p>
            <w:pPr>
              <w:keepLines/>
              <w:spacing w:before="60" w:after="60"/>
              <w:jc w:val="left"/>
              <w:rPr>
                <w:rFonts w:eastAsia="Calibri"/>
                <w:noProof/>
                <w:highlight w:val="magenta"/>
              </w:rPr>
            </w:pPr>
            <w:r>
              <w:rPr>
                <w:noProof/>
              </w:rPr>
              <w:t>Брой на съкращенията преди или след референтния период (</w:t>
            </w:r>
            <w:r>
              <w:rPr>
                <w:i/>
                <w:noProof/>
              </w:rPr>
              <w:t>б</w:t>
            </w:r>
            <w:r>
              <w:rPr>
                <w:noProof/>
              </w:rPr>
              <w:t>)</w:t>
            </w:r>
          </w:p>
        </w:tc>
        <w:tc>
          <w:tcPr>
            <w:tcW w:w="4379" w:type="dxa"/>
            <w:gridSpan w:val="2"/>
            <w:tcBorders>
              <w:top w:val="dotted" w:sz="4" w:space="0" w:color="auto"/>
              <w:bottom w:val="dotted" w:sz="4" w:space="0" w:color="auto"/>
            </w:tcBorders>
            <w:shd w:val="clear" w:color="auto" w:fill="auto"/>
            <w:vAlign w:val="bottom"/>
          </w:tcPr>
          <w:p>
            <w:pPr>
              <w:spacing w:before="60" w:after="60"/>
              <w:ind w:rightChars="192" w:right="461"/>
              <w:jc w:val="left"/>
              <w:rPr>
                <w:rFonts w:eastAsia="Calibri"/>
                <w:noProof/>
              </w:rPr>
            </w:pPr>
            <w:r>
              <w:rPr>
                <w:noProof/>
              </w:rPr>
              <w:t>36</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Общ брой на съкращенията (</w:t>
            </w:r>
            <w:r>
              <w:rPr>
                <w:i/>
                <w:noProof/>
              </w:rPr>
              <w:t>a</w:t>
            </w:r>
            <w:r>
              <w:rPr>
                <w:noProof/>
              </w:rPr>
              <w:t xml:space="preserve"> + </w:t>
            </w:r>
            <w:r>
              <w:rPr>
                <w:i/>
                <w:noProof/>
              </w:rPr>
              <w:t>б</w:t>
            </w:r>
            <w:r>
              <w:rPr>
                <w:noProof/>
              </w:rPr>
              <w:t>)</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1 646</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Общ брой на бенефициерите, отговарящи на критериите</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1 646</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Общ брой на избраните бенефициери</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1 610</w:t>
            </w:r>
          </w:p>
        </w:tc>
      </w:tr>
      <w:tr>
        <w:tc>
          <w:tcPr>
            <w:tcW w:w="4908" w:type="dxa"/>
            <w:tcBorders>
              <w:bottom w:val="dotted" w:sz="4" w:space="0" w:color="auto"/>
            </w:tcBorders>
            <w:shd w:val="clear" w:color="auto" w:fill="auto"/>
            <w:vAlign w:val="center"/>
          </w:tcPr>
          <w:p>
            <w:pPr>
              <w:spacing w:before="60" w:after="60"/>
              <w:jc w:val="left"/>
              <w:rPr>
                <w:noProof/>
              </w:rPr>
            </w:pPr>
            <w:r>
              <w:rPr>
                <w:noProof/>
              </w:rPr>
              <w:t>Бюджет за персонализирани услуги (EUR)</w:t>
            </w:r>
          </w:p>
        </w:tc>
        <w:tc>
          <w:tcPr>
            <w:tcW w:w="1680" w:type="dxa"/>
            <w:tcBorders>
              <w:bottom w:val="dotted" w:sz="4" w:space="0" w:color="auto"/>
              <w:right w:val="nil"/>
            </w:tcBorders>
            <w:shd w:val="clear" w:color="auto" w:fill="auto"/>
            <w:vAlign w:val="bottom"/>
          </w:tcPr>
          <w:p>
            <w:pPr>
              <w:spacing w:before="60" w:after="60"/>
              <w:ind w:rightChars="192" w:right="461"/>
              <w:jc w:val="right"/>
              <w:rPr>
                <w:noProof/>
              </w:rPr>
            </w:pPr>
            <w:r>
              <w:rPr>
                <w:noProof/>
              </w:rPr>
              <w:t>5 355 950</w:t>
            </w:r>
          </w:p>
        </w:tc>
        <w:tc>
          <w:tcPr>
            <w:tcW w:w="2699" w:type="dxa"/>
            <w:tcBorders>
              <w:left w:val="nil"/>
              <w:bottom w:val="dotted" w:sz="4" w:space="0" w:color="auto"/>
            </w:tcBorders>
            <w:shd w:val="clear" w:color="auto" w:fill="auto"/>
            <w:vAlign w:val="center"/>
          </w:tcPr>
          <w:p>
            <w:pPr>
              <w:spacing w:before="60" w:after="6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60" w:after="60"/>
              <w:jc w:val="left"/>
              <w:rPr>
                <w:noProof/>
              </w:rPr>
            </w:pPr>
            <w:r>
              <w:rPr>
                <w:noProof/>
              </w:rPr>
              <w:t>Бюджет за прилагането на ЕФПГ</w:t>
            </w:r>
            <w:r>
              <w:rPr>
                <w:rStyle w:val="FootnoteReference"/>
                <w:noProof/>
              </w:rPr>
              <w:footnoteReference w:id="5"/>
            </w:r>
            <w:r>
              <w:rPr>
                <w:noProof/>
              </w:rPr>
              <w:t xml:space="preserve"> (EUR)</w:t>
            </w:r>
          </w:p>
        </w:tc>
        <w:tc>
          <w:tcPr>
            <w:tcW w:w="1680" w:type="dxa"/>
            <w:tcBorders>
              <w:top w:val="dotted" w:sz="4" w:space="0" w:color="auto"/>
              <w:bottom w:val="dotted" w:sz="4" w:space="0" w:color="auto"/>
              <w:right w:val="nil"/>
            </w:tcBorders>
            <w:shd w:val="clear" w:color="auto" w:fill="auto"/>
            <w:vAlign w:val="bottom"/>
          </w:tcPr>
          <w:p>
            <w:pPr>
              <w:spacing w:before="60" w:after="60"/>
              <w:ind w:rightChars="192" w:right="461"/>
              <w:jc w:val="right"/>
              <w:rPr>
                <w:noProof/>
              </w:rPr>
            </w:pPr>
            <w:r>
              <w:rPr>
                <w:noProof/>
              </w:rPr>
              <w:t>223 000</w:t>
            </w:r>
          </w:p>
        </w:tc>
        <w:tc>
          <w:tcPr>
            <w:tcW w:w="2699" w:type="dxa"/>
            <w:tcBorders>
              <w:top w:val="dotted" w:sz="4" w:space="0" w:color="auto"/>
              <w:left w:val="nil"/>
              <w:bottom w:val="dotted" w:sz="4" w:space="0" w:color="auto"/>
            </w:tcBorders>
            <w:shd w:val="clear" w:color="auto" w:fill="auto"/>
            <w:vAlign w:val="center"/>
          </w:tcPr>
          <w:p>
            <w:pPr>
              <w:spacing w:before="60" w:after="6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60" w:after="60"/>
              <w:jc w:val="left"/>
              <w:rPr>
                <w:noProof/>
              </w:rPr>
            </w:pPr>
            <w:r>
              <w:rPr>
                <w:noProof/>
              </w:rPr>
              <w:t>Общ бюджет (EUR)</w:t>
            </w:r>
          </w:p>
        </w:tc>
        <w:tc>
          <w:tcPr>
            <w:tcW w:w="1680" w:type="dxa"/>
            <w:tcBorders>
              <w:top w:val="dotted" w:sz="4" w:space="0" w:color="auto"/>
              <w:bottom w:val="dotted" w:sz="4" w:space="0" w:color="auto"/>
              <w:right w:val="nil"/>
            </w:tcBorders>
            <w:shd w:val="clear" w:color="auto" w:fill="auto"/>
            <w:vAlign w:val="bottom"/>
          </w:tcPr>
          <w:p>
            <w:pPr>
              <w:spacing w:before="60" w:after="60"/>
              <w:ind w:rightChars="192" w:right="461"/>
              <w:jc w:val="right"/>
              <w:rPr>
                <w:noProof/>
              </w:rPr>
            </w:pPr>
            <w:r>
              <w:rPr>
                <w:noProof/>
              </w:rPr>
              <w:t>5 578 950</w:t>
            </w:r>
          </w:p>
        </w:tc>
        <w:tc>
          <w:tcPr>
            <w:tcW w:w="2699" w:type="dxa"/>
            <w:tcBorders>
              <w:top w:val="dotted" w:sz="4" w:space="0" w:color="auto"/>
              <w:left w:val="nil"/>
              <w:bottom w:val="dotted" w:sz="4" w:space="0" w:color="auto"/>
            </w:tcBorders>
            <w:shd w:val="clear" w:color="auto" w:fill="auto"/>
            <w:vAlign w:val="center"/>
          </w:tcPr>
          <w:p>
            <w:pPr>
              <w:spacing w:before="60" w:after="60"/>
              <w:ind w:rightChars="192" w:right="461"/>
              <w:jc w:val="left"/>
              <w:rPr>
                <w:noProof/>
              </w:rPr>
            </w:pPr>
          </w:p>
        </w:tc>
      </w:tr>
      <w:tr>
        <w:tc>
          <w:tcPr>
            <w:tcW w:w="4908" w:type="dxa"/>
            <w:tcBorders>
              <w:top w:val="dotted" w:sz="4" w:space="0" w:color="auto"/>
            </w:tcBorders>
            <w:shd w:val="clear" w:color="auto" w:fill="auto"/>
            <w:vAlign w:val="center"/>
          </w:tcPr>
          <w:p>
            <w:pPr>
              <w:spacing w:before="60" w:after="60"/>
              <w:jc w:val="left"/>
              <w:rPr>
                <w:noProof/>
              </w:rPr>
            </w:pPr>
            <w:r>
              <w:rPr>
                <w:noProof/>
              </w:rPr>
              <w:t>Финансово участие от ЕФПГ (60 %) (EUR)</w:t>
            </w:r>
          </w:p>
        </w:tc>
        <w:tc>
          <w:tcPr>
            <w:tcW w:w="1680" w:type="dxa"/>
            <w:tcBorders>
              <w:top w:val="dotted" w:sz="4" w:space="0" w:color="auto"/>
              <w:right w:val="nil"/>
            </w:tcBorders>
            <w:shd w:val="clear" w:color="auto" w:fill="auto"/>
            <w:vAlign w:val="bottom"/>
          </w:tcPr>
          <w:p>
            <w:pPr>
              <w:spacing w:before="60" w:after="60"/>
              <w:ind w:rightChars="192" w:right="461"/>
              <w:jc w:val="right"/>
              <w:rPr>
                <w:noProof/>
              </w:rPr>
            </w:pPr>
            <w:r>
              <w:rPr>
                <w:noProof/>
              </w:rPr>
              <w:t>3 347 370</w:t>
            </w:r>
          </w:p>
        </w:tc>
        <w:tc>
          <w:tcPr>
            <w:tcW w:w="2699" w:type="dxa"/>
            <w:tcBorders>
              <w:top w:val="dotted" w:sz="4" w:space="0" w:color="auto"/>
              <w:left w:val="nil"/>
            </w:tcBorders>
            <w:shd w:val="clear" w:color="auto" w:fill="auto"/>
            <w:vAlign w:val="center"/>
          </w:tcPr>
          <w:p>
            <w:pPr>
              <w:spacing w:before="60" w:after="60"/>
              <w:ind w:rightChars="192" w:right="461"/>
              <w:jc w:val="left"/>
              <w:rPr>
                <w:noProof/>
              </w:rPr>
            </w:pPr>
          </w:p>
        </w:tc>
      </w:tr>
    </w:tbl>
    <w:p>
      <w:pPr>
        <w:pStyle w:val="ManualHeading1"/>
        <w:rPr>
          <w:noProof/>
        </w:rPr>
      </w:pPr>
      <w:r>
        <w:rPr>
          <w:noProof/>
        </w:rPr>
        <w:t>ОЦЕНКА НА ЗАЯВЛЕНИЕТО</w:t>
      </w:r>
    </w:p>
    <w:p>
      <w:pPr>
        <w:pStyle w:val="ManualHeading2"/>
        <w:rPr>
          <w:noProof/>
        </w:rPr>
      </w:pPr>
      <w:r>
        <w:rPr>
          <w:noProof/>
        </w:rPr>
        <w:t>Процедура</w:t>
      </w:r>
    </w:p>
    <w:p>
      <w:pPr>
        <w:pStyle w:val="ManualNumPar1"/>
        <w:rPr>
          <w:noProof/>
        </w:rPr>
      </w:pPr>
      <w:r>
        <w:t>4.</w:t>
      </w:r>
      <w:r>
        <w:tab/>
      </w:r>
      <w:r>
        <w:rPr>
          <w:noProof/>
        </w:rPr>
        <w:t xml:space="preserve">Италия подаде заявление EGF/2017/004 IT/Almaviva на 9 май 2017 г. в срок от 12 седмици от датата, на която са били изпълнени критериите за намеса, определени в член 4 от Регламента за ЕФПГ. На същата дата Комисията потвърди получаването на заявлението, а на 23 май 2017 г. поиска допълнителна информация от Италия. Допълнителната информация бе предоставена в шестседмичен срок. Предвиденият 12-седмичен срок от датата на получаване на пълното заявление, в който Комисията следва да приключи оценката си за това дали то отговаря на условията за предоставяне на финансово участие, изтича на 26 септември 2017 г. </w:t>
      </w:r>
    </w:p>
    <w:p>
      <w:pPr>
        <w:pStyle w:val="ManualHeading2"/>
        <w:rPr>
          <w:noProof/>
        </w:rPr>
      </w:pPr>
      <w:r>
        <w:rPr>
          <w:noProof/>
        </w:rPr>
        <w:t>Допустимост на заявлението</w:t>
      </w:r>
    </w:p>
    <w:p>
      <w:pPr>
        <w:pStyle w:val="ManualHeading3"/>
        <w:rPr>
          <w:noProof/>
        </w:rPr>
      </w:pPr>
      <w:r>
        <w:rPr>
          <w:noProof/>
        </w:rPr>
        <w:t>Засегнати предприятия и бенефициери</w:t>
      </w:r>
    </w:p>
    <w:p>
      <w:pPr>
        <w:pStyle w:val="ManualNumPar1"/>
        <w:rPr>
          <w:noProof/>
          <w:szCs w:val="24"/>
        </w:rPr>
      </w:pPr>
      <w:r>
        <w:t>5.</w:t>
      </w:r>
      <w:r>
        <w:tab/>
      </w:r>
      <w:r>
        <w:rPr>
          <w:noProof/>
        </w:rPr>
        <w:t>Заявлението се отнася до 1 646 съкратени работници в Almaviva Contact Spa. Предприятието осъществява дейност в икономическия отрасъл от разделение 82 по NACE Rev 2 (Административни офис дейности и друго спомагателно обслужване на стопанската дейност). Направените от предприятието съкращения са в региона на ниво 2 по NUTS Лацио (ITI4).</w:t>
      </w:r>
    </w:p>
    <w:p>
      <w:pPr>
        <w:pStyle w:val="ManualHeading3"/>
        <w:rPr>
          <w:noProof/>
        </w:rPr>
      </w:pPr>
      <w:r>
        <w:rPr>
          <w:noProof/>
        </w:rPr>
        <w:t>Критерии за намеса</w:t>
      </w:r>
    </w:p>
    <w:p>
      <w:pPr>
        <w:pStyle w:val="ManualNumPar1"/>
        <w:rPr>
          <w:noProof/>
        </w:rPr>
      </w:pPr>
      <w:r>
        <w:t>6.</w:t>
      </w:r>
      <w:r>
        <w:tab/>
      </w:r>
      <w:r>
        <w:rPr>
          <w:noProof/>
        </w:rPr>
        <w:t>Италия подаде заявлението в съответствие с критериите за намеса, посочени в член 4, параграф 1, буква а) от Регламента за ЕФПГ, съгласно които е необходимо за референтен период от четири месеца най-малко 500 работници в дадено предприятие в държава членка да са били съкратени, включително при неговите доставчици и производители надолу по веригата, и/или самостоятелно заети лица да са прекратили своята дейност.</w:t>
      </w:r>
    </w:p>
    <w:p>
      <w:pPr>
        <w:pStyle w:val="ManualNumPar1"/>
        <w:rPr>
          <w:noProof/>
        </w:rPr>
      </w:pPr>
      <w:bookmarkStart w:id="1" w:name="_Ref372189348"/>
      <w:r>
        <w:lastRenderedPageBreak/>
        <w:t>7.</w:t>
      </w:r>
      <w:r>
        <w:tab/>
      </w:r>
      <w:r>
        <w:rPr>
          <w:noProof/>
        </w:rPr>
        <w:t>Четиримесечният референтен период за заявлението започва на 30 декември 2016 г. и приключва на</w:t>
      </w:r>
      <w:bookmarkEnd w:id="1"/>
      <w:r>
        <w:rPr>
          <w:noProof/>
        </w:rPr>
        <w:t>30 април 2017 г.</w:t>
      </w:r>
    </w:p>
    <w:p>
      <w:pPr>
        <w:pStyle w:val="ManualNumPar1"/>
        <w:rPr>
          <w:noProof/>
        </w:rPr>
      </w:pPr>
      <w:r>
        <w:t>8.</w:t>
      </w:r>
      <w:r>
        <w:tab/>
      </w:r>
      <w:r>
        <w:rPr>
          <w:noProof/>
        </w:rPr>
        <w:t>През референтния период в Almaviva са съкратени 1 610 работници</w:t>
      </w:r>
      <w:r>
        <w:rPr>
          <w:rStyle w:val="FootnoteReference"/>
          <w:noProof/>
        </w:rPr>
        <w:footnoteReference w:id="6"/>
      </w:r>
      <w:r>
        <w:rPr>
          <w:noProof/>
        </w:rPr>
        <w:t>.</w:t>
      </w:r>
    </w:p>
    <w:p>
      <w:pPr>
        <w:pStyle w:val="ManualHeading3"/>
        <w:rPr>
          <w:noProof/>
        </w:rPr>
      </w:pPr>
      <w:r>
        <w:rPr>
          <w:noProof/>
        </w:rPr>
        <w:t>Изчисляване на броя на съкращенията и на случаите на прекратяване на дейност</w:t>
      </w:r>
    </w:p>
    <w:p>
      <w:pPr>
        <w:pStyle w:val="ManualNumPar1"/>
        <w:rPr>
          <w:noProof/>
        </w:rPr>
      </w:pPr>
      <w:r>
        <w:t>9.</w:t>
      </w:r>
      <w:r>
        <w:tab/>
      </w:r>
      <w:r>
        <w:rPr>
          <w:noProof/>
        </w:rPr>
        <w:t>Отчетените 1 610 съкращения през референтния период са изчислени от датата на фактическото прекратяване на трудовия договор или изтичането на неговия срок.</w:t>
      </w:r>
    </w:p>
    <w:p>
      <w:pPr>
        <w:pStyle w:val="ManualHeading3"/>
        <w:rPr>
          <w:noProof/>
        </w:rPr>
      </w:pPr>
      <w:r>
        <w:rPr>
          <w:noProof/>
        </w:rPr>
        <w:t>Бенефициери, отговарящи на критериите</w:t>
      </w:r>
    </w:p>
    <w:p>
      <w:pPr>
        <w:pStyle w:val="ManualNumPar1"/>
        <w:rPr>
          <w:noProof/>
        </w:rPr>
      </w:pPr>
      <w:r>
        <w:t>10.</w:t>
      </w:r>
      <w:r>
        <w:tab/>
      </w:r>
      <w:r>
        <w:rPr>
          <w:noProof/>
        </w:rPr>
        <w:t>Освен работниците, посочени по-горе, към бенефициерите, отговарящи на критериите, спадат още 36 работници, които са били съкратени след четиримесечния референтен период. Може да се установи ясна причинно-следствена връзка със събитието, което е довело до съкращенията през референтния период</w:t>
      </w:r>
      <w:r>
        <w:rPr>
          <w:rStyle w:val="FootnoteReference"/>
          <w:noProof/>
        </w:rPr>
        <w:footnoteReference w:id="7"/>
      </w:r>
      <w:r>
        <w:rPr>
          <w:noProof/>
        </w:rPr>
        <w:t>.</w:t>
      </w:r>
    </w:p>
    <w:p>
      <w:pPr>
        <w:pStyle w:val="ManualNumPar1"/>
        <w:rPr>
          <w:noProof/>
        </w:rPr>
      </w:pPr>
      <w:r>
        <w:t>11.</w:t>
      </w:r>
      <w:r>
        <w:tab/>
      </w:r>
      <w:r>
        <w:rPr>
          <w:noProof/>
        </w:rPr>
        <w:t>Общият брой на бенефициерите, отговарящи на критериите, е 1 646.</w:t>
      </w:r>
    </w:p>
    <w:p>
      <w:pPr>
        <w:pStyle w:val="ManualHeading3"/>
        <w:tabs>
          <w:tab w:val="clear" w:pos="850"/>
          <w:tab w:val="left" w:pos="0"/>
        </w:tabs>
        <w:ind w:left="0" w:firstLine="0"/>
        <w:rPr>
          <w:noProof/>
        </w:rPr>
      </w:pPr>
      <w:r>
        <w:rPr>
          <w:noProof/>
        </w:rPr>
        <w:t>Връзка между съкращенията и световната финансова и икономическа криза, предмет на Регламент (ЕО) № 546/2009</w:t>
      </w:r>
    </w:p>
    <w:p>
      <w:pPr>
        <w:pStyle w:val="ManualNumPar1"/>
        <w:rPr>
          <w:noProof/>
        </w:rPr>
      </w:pPr>
      <w:r>
        <w:t>12.</w:t>
      </w:r>
      <w:r>
        <w:tab/>
      </w:r>
      <w:r>
        <w:rPr>
          <w:noProof/>
        </w:rPr>
        <w:t>За да установи връзката между съкращенията и световната финансова и икономическа криза, предмет на Регламент (ЕО) № 546/2009, Италия, като цитира проучване на италианския парламент относно трудовите правоотношения в телефонните центрове в Италия</w:t>
      </w:r>
      <w:r>
        <w:rPr>
          <w:rStyle w:val="FootnoteReference"/>
          <w:noProof/>
        </w:rPr>
        <w:footnoteReference w:id="8"/>
      </w:r>
      <w:r>
        <w:rPr>
          <w:noProof/>
        </w:rPr>
        <w:t>, твърди, че последиците от икономическата и финансова криза, изглежда, не са довели до спад в търсенето на маркетингови услуги и помощ за купувачи на стоки и услуги, но кризата е оказала значително влияние върху възнаграждението за тези услуги (натиск върху цените), пораждайки явно отрицателно въздействие върху маржовете на печалба на доставчиците на услуги. Ограниченията, наложени от кризата, и необходимостта от рационализиране на разходите за покупка на стоки и услуги често водят до възлагане на поръчки въз основа на максимални намаления на цените. Това е оказало пряко въздействие върху оборота на доставчиците на услуги, който е отбелязал спад през периода 2011—2016 г. Секторът на телефонните центрове затвърди репутацията си за ниска рентабилност, отбелязвайки спад на брутния оперативен марж (от 5,7 % през 2013 г. на 3,8 % през 2014 г.)</w:t>
      </w:r>
      <w:r>
        <w:rPr>
          <w:rStyle w:val="FootnoteReference"/>
          <w:noProof/>
        </w:rPr>
        <w:footnoteReference w:id="9"/>
      </w:r>
      <w:r>
        <w:rPr>
          <w:noProof/>
        </w:rPr>
        <w:t>. През същия период възвръщаемостта на собствен капитал в него също се е влошила от 9,4 % на -6,3 %</w:t>
      </w:r>
      <w:r>
        <w:rPr>
          <w:rStyle w:val="FootnoteReference"/>
          <w:noProof/>
        </w:rPr>
        <w:footnoteReference w:id="10"/>
      </w:r>
      <w:r>
        <w:rPr>
          <w:noProof/>
        </w:rPr>
        <w:t>.</w:t>
      </w:r>
    </w:p>
    <w:p>
      <w:pPr>
        <w:pStyle w:val="ManualNumPar1"/>
        <w:rPr>
          <w:noProof/>
        </w:rPr>
      </w:pPr>
      <w:r>
        <w:t>13.</w:t>
      </w:r>
      <w:r>
        <w:tab/>
      </w:r>
      <w:r>
        <w:rPr>
          <w:noProof/>
        </w:rPr>
        <w:t>Повечето работни места в сектора на телефонните центрове са в предприятия, които действат от името на трети лица (предприятия или публични администрации). Поради това тези работни места са изложени в изключителна степен на колебания в търсенето на услуги, предлагани от телефонни центрове, и на конкуренцията сред доставчиците на услуги. Освен това една от особеностите на сектора на телефонните центрове е, че по-голямата част от производствените разходи (между 70 и 80 процента от общите разходи</w:t>
      </w:r>
      <w:r>
        <w:rPr>
          <w:rStyle w:val="FootnoteReference"/>
          <w:noProof/>
        </w:rPr>
        <w:footnoteReference w:id="11"/>
      </w:r>
      <w:r>
        <w:rPr>
          <w:noProof/>
        </w:rPr>
        <w:t xml:space="preserve">) са разходите за работната сила, предоставяща услугата. </w:t>
      </w:r>
    </w:p>
    <w:p>
      <w:pPr>
        <w:pStyle w:val="ManualNumPar1"/>
        <w:rPr>
          <w:noProof/>
        </w:rPr>
      </w:pPr>
      <w:r>
        <w:t>14.</w:t>
      </w:r>
      <w:r>
        <w:tab/>
      </w:r>
      <w:r>
        <w:rPr>
          <w:noProof/>
        </w:rPr>
        <w:t>В контекста на неблагоприятни условия (като например отправяне на предложения чрез занижаване на цените, спад на продажбите и рентабилността, рязко намаляване на цените на услугите и необходимост от намаляване на тежестта на разходите за персонал в общия размер на производствените разходи) решенията, до които предприятията, извършващи дейност в сектора на телефонните центрове, са прибягвали най-често, са преместване в страни с по-ниски разходи за труд, интервенции върху разходите за труд или закриване. От 2009 г. до първото тримесечие на 2014 г. една трета от предприятията в сектора са прекратили дейността си, по-голямата част от тях чрез производство по несъстоятелност</w:t>
      </w:r>
      <w:r>
        <w:rPr>
          <w:rStyle w:val="FootnoteReference"/>
          <w:noProof/>
        </w:rPr>
        <w:footnoteReference w:id="12"/>
      </w:r>
      <w:r>
        <w:rPr>
          <w:noProof/>
        </w:rPr>
        <w:t>.</w:t>
      </w:r>
    </w:p>
    <w:p>
      <w:pPr>
        <w:pStyle w:val="ManualNumPar1"/>
        <w:rPr>
          <w:noProof/>
        </w:rPr>
      </w:pPr>
      <w:r>
        <w:t>15.</w:t>
      </w:r>
      <w:r>
        <w:tab/>
      </w:r>
      <w:r>
        <w:rPr>
          <w:noProof/>
        </w:rPr>
        <w:t>Към днешна дата сектор „Административни офис дейности и друго спомагателно обслужване на стопанската дейност“ — към който принадлежат и дейностите на телефонните центрове — е бил предмет на две заявления по ЕФПГ : едно, основаващо се на свързаната с търговията глобализация</w:t>
      </w:r>
      <w:r>
        <w:rPr>
          <w:rStyle w:val="FootnoteReference"/>
          <w:noProof/>
        </w:rPr>
        <w:footnoteReference w:id="13"/>
      </w:r>
      <w:r>
        <w:rPr>
          <w:noProof/>
        </w:rPr>
        <w:t>, и настоящото, основаващо се на световната финансова и икономическа криза.</w:t>
      </w:r>
    </w:p>
    <w:p>
      <w:pPr>
        <w:pStyle w:val="ManualHeading3"/>
        <w:rPr>
          <w:noProof/>
        </w:rPr>
      </w:pPr>
      <w:r>
        <w:rPr>
          <w:noProof/>
        </w:rPr>
        <w:t>Събития, довели до съкращенията и до прекратяването на дейността</w:t>
      </w:r>
    </w:p>
    <w:p>
      <w:pPr>
        <w:pStyle w:val="ManualNumPar1"/>
        <w:rPr>
          <w:noProof/>
        </w:rPr>
      </w:pPr>
      <w:r>
        <w:t>16.</w:t>
      </w:r>
      <w:r>
        <w:tab/>
      </w:r>
      <w:r>
        <w:rPr>
          <w:noProof/>
        </w:rPr>
        <w:t>Събитията, довели до тези съкращения, са намаляването на приходите, които са спаднали с повече от 45 % в работния център на Almaviva в Рим през 2015 г. в сравнение с 2011 г., отрицателният резултат от преговорите с RSU</w:t>
      </w:r>
      <w:r>
        <w:rPr>
          <w:rStyle w:val="FootnoteReference"/>
          <w:noProof/>
        </w:rPr>
        <w:footnoteReference w:id="14"/>
      </w:r>
      <w:r>
        <w:rPr>
          <w:noProof/>
        </w:rPr>
        <w:t xml:space="preserve"> през 2016 г. и отхвърлянето от негова страна на плана за уеднаквяване на разходите за труд в Almaviva в Рим с тези в други работни центрове на Almaviva в Италия, в който е било предвидено временно намаляване на разходите за труд и повишаване на ефективността и производителността, като вследствие на това се стига до закриване на центъра в Рим и съкращаване на 1 646 души.</w:t>
      </w:r>
    </w:p>
    <w:p>
      <w:pPr>
        <w:pStyle w:val="ManualHeading3"/>
        <w:tabs>
          <w:tab w:val="clear" w:pos="850"/>
          <w:tab w:val="left" w:pos="0"/>
        </w:tabs>
        <w:ind w:left="0" w:firstLine="0"/>
        <w:rPr>
          <w:noProof/>
        </w:rPr>
      </w:pPr>
      <w:r>
        <w:rPr>
          <w:noProof/>
        </w:rPr>
        <w:t>Очаквано въздействие на съкращенията върху местната, регионалната или националната икономика и върху заетостта</w:t>
      </w:r>
    </w:p>
    <w:p>
      <w:pPr>
        <w:pStyle w:val="ManualNumPar1"/>
        <w:rPr>
          <w:noProof/>
        </w:rPr>
      </w:pPr>
      <w:r>
        <w:t>17.</w:t>
      </w:r>
      <w:r>
        <w:tab/>
      </w:r>
      <w:r>
        <w:rPr>
          <w:noProof/>
        </w:rPr>
        <w:t>Съкращенията в Almaviva са възникнали в регионален и местен контекст (Лацио и Рим), в който масовите съкращения — в конкретния случай повече от 1 600 души, предимно жени — ще доведат до обедняване на регионалната и местната икономика. Освен това съкращенията са настъпили в икономически контекст, в който е налице бавно възстановяване на жизнеспособността, особено през последните две години (2014—2016 г.), след големите трудности в резултат на икономическата и финансова криза. Налице е риск това възстановяване да бъде спряно или прекъснато в резултат на масовите съкращения, дължащи се на изнасянето на производството в държави извън ЕС или на други фактори, като например в настоящия случай понижаването на тръжните цени, свиването на цената на услугите и т.н. Поради тази причина активни действия и услуги на пазара на труда като тези, съфинансирани от ЕФПГ, ще бъдат от изключително значение за по-ефективното подпомогне на връщането на работа на работниците.</w:t>
      </w:r>
    </w:p>
    <w:p>
      <w:pPr>
        <w:pStyle w:val="ManualHeading2"/>
        <w:rPr>
          <w:noProof/>
        </w:rPr>
      </w:pPr>
      <w:r>
        <w:rPr>
          <w:noProof/>
        </w:rPr>
        <w:t>Избрани бенефициери и предложени действия</w:t>
      </w:r>
    </w:p>
    <w:p>
      <w:pPr>
        <w:pStyle w:val="ManualHeading3"/>
        <w:rPr>
          <w:noProof/>
        </w:rPr>
      </w:pPr>
      <w:r>
        <w:rPr>
          <w:noProof/>
        </w:rPr>
        <w:t>Избрани бенефициери</w:t>
      </w:r>
    </w:p>
    <w:p>
      <w:pPr>
        <w:pStyle w:val="ManualNumPar1"/>
        <w:rPr>
          <w:noProof/>
        </w:rPr>
      </w:pPr>
      <w:r>
        <w:t>18.</w:t>
      </w:r>
      <w:r>
        <w:tab/>
      </w:r>
      <w:r>
        <w:rPr>
          <w:noProof/>
        </w:rPr>
        <w:t>Прогнозният брой на съкратените работници, които се очаква да вземат участие в мерките, е 1 610. По-долу е представена разбивка на тези работници по пол, гражданство и възрастова група:</w:t>
      </w:r>
    </w:p>
    <w:tbl>
      <w:tblPr>
        <w:tblW w:w="0" w:type="auto"/>
        <w:jc w:val="center"/>
        <w:tblLook w:val="04A0" w:firstRow="1" w:lastRow="0" w:firstColumn="1" w:lastColumn="0" w:noHBand="0" w:noVBand="1"/>
      </w:tblPr>
      <w:tblGrid>
        <w:gridCol w:w="161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Категория</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Брой на </w:t>
            </w:r>
            <w:r>
              <w:rPr>
                <w:noProof/>
              </w:rPr>
              <w:br/>
              <w:t>избраните бенефициери</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Пол:</w:t>
            </w:r>
          </w:p>
        </w:tc>
        <w:tc>
          <w:tcPr>
            <w:tcW w:w="2063" w:type="dxa"/>
            <w:tcBorders>
              <w:top w:val="single" w:sz="4" w:space="0" w:color="auto"/>
              <w:left w:val="nil"/>
              <w:right w:val="nil"/>
            </w:tcBorders>
            <w:hideMark/>
          </w:tcPr>
          <w:p>
            <w:pPr>
              <w:spacing w:before="60" w:after="60"/>
              <w:rPr>
                <w:noProof/>
              </w:rPr>
            </w:pPr>
            <w:r>
              <w:rPr>
                <w:noProof/>
              </w:rPr>
              <w:t>Мъже:</w:t>
            </w:r>
          </w:p>
        </w:tc>
        <w:tc>
          <w:tcPr>
            <w:tcW w:w="1176" w:type="dxa"/>
            <w:tcBorders>
              <w:top w:val="single" w:sz="4" w:space="0" w:color="auto"/>
              <w:left w:val="nil"/>
              <w:right w:val="nil"/>
            </w:tcBorders>
            <w:hideMark/>
          </w:tcPr>
          <w:p>
            <w:pPr>
              <w:spacing w:before="60" w:after="60"/>
              <w:jc w:val="right"/>
              <w:rPr>
                <w:noProof/>
              </w:rPr>
            </w:pPr>
            <w:r>
              <w:rPr>
                <w:noProof/>
              </w:rPr>
              <w:t>334</w:t>
            </w:r>
          </w:p>
        </w:tc>
        <w:tc>
          <w:tcPr>
            <w:tcW w:w="1176" w:type="dxa"/>
            <w:tcBorders>
              <w:top w:val="single" w:sz="4" w:space="0" w:color="auto"/>
              <w:left w:val="nil"/>
              <w:right w:val="nil"/>
            </w:tcBorders>
            <w:hideMark/>
          </w:tcPr>
          <w:p>
            <w:pPr>
              <w:spacing w:before="60" w:after="60"/>
              <w:jc w:val="right"/>
              <w:rPr>
                <w:noProof/>
              </w:rPr>
            </w:pPr>
            <w:r>
              <w:rPr>
                <w:noProof/>
              </w:rPr>
              <w:t>(20,7 %)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Жени:</w:t>
            </w:r>
          </w:p>
        </w:tc>
        <w:tc>
          <w:tcPr>
            <w:tcW w:w="1176" w:type="dxa"/>
            <w:tcBorders>
              <w:bottom w:val="single" w:sz="4" w:space="0" w:color="auto"/>
            </w:tcBorders>
            <w:hideMark/>
          </w:tcPr>
          <w:p>
            <w:pPr>
              <w:spacing w:before="60" w:after="60"/>
              <w:jc w:val="right"/>
              <w:rPr>
                <w:noProof/>
              </w:rPr>
            </w:pPr>
            <w:r>
              <w:rPr>
                <w:noProof/>
              </w:rPr>
              <w:t>1 276</w:t>
            </w:r>
          </w:p>
        </w:tc>
        <w:tc>
          <w:tcPr>
            <w:tcW w:w="1176" w:type="dxa"/>
            <w:tcBorders>
              <w:bottom w:val="single" w:sz="4" w:space="0" w:color="auto"/>
            </w:tcBorders>
            <w:hideMark/>
          </w:tcPr>
          <w:p>
            <w:pPr>
              <w:spacing w:before="60" w:after="60"/>
              <w:jc w:val="right"/>
              <w:rPr>
                <w:noProof/>
              </w:rPr>
            </w:pPr>
            <w:r>
              <w:rPr>
                <w:noProof/>
              </w:rPr>
              <w:t>(79,3 %)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Гражданство:</w:t>
            </w:r>
          </w:p>
        </w:tc>
        <w:tc>
          <w:tcPr>
            <w:tcW w:w="2063" w:type="dxa"/>
            <w:tcBorders>
              <w:top w:val="single" w:sz="4" w:space="0" w:color="auto"/>
              <w:left w:val="nil"/>
              <w:bottom w:val="nil"/>
              <w:right w:val="nil"/>
            </w:tcBorders>
            <w:hideMark/>
          </w:tcPr>
          <w:p>
            <w:pPr>
              <w:spacing w:before="60" w:after="60"/>
              <w:rPr>
                <w:noProof/>
              </w:rPr>
            </w:pPr>
            <w:r>
              <w:rPr>
                <w:noProof/>
              </w:rPr>
              <w:t>Граждани на държави — членки на ЕС:</w:t>
            </w:r>
          </w:p>
        </w:tc>
        <w:tc>
          <w:tcPr>
            <w:tcW w:w="1176" w:type="dxa"/>
            <w:tcBorders>
              <w:top w:val="single" w:sz="4" w:space="0" w:color="auto"/>
            </w:tcBorders>
            <w:hideMark/>
          </w:tcPr>
          <w:p>
            <w:pPr>
              <w:spacing w:before="60" w:after="60"/>
              <w:jc w:val="right"/>
              <w:rPr>
                <w:noProof/>
              </w:rPr>
            </w:pPr>
            <w:r>
              <w:rPr>
                <w:noProof/>
              </w:rPr>
              <w:t>1 568</w:t>
            </w:r>
          </w:p>
        </w:tc>
        <w:tc>
          <w:tcPr>
            <w:tcW w:w="1176" w:type="dxa"/>
            <w:tcBorders>
              <w:top w:val="single" w:sz="4" w:space="0" w:color="auto"/>
            </w:tcBorders>
            <w:hideMark/>
          </w:tcPr>
          <w:p>
            <w:pPr>
              <w:spacing w:before="60" w:after="60"/>
              <w:jc w:val="right"/>
              <w:rPr>
                <w:noProof/>
              </w:rPr>
            </w:pPr>
            <w:r>
              <w:rPr>
                <w:noProof/>
              </w:rPr>
              <w:t>(97,4 %)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Граждани на трети държави:</w:t>
            </w:r>
          </w:p>
        </w:tc>
        <w:tc>
          <w:tcPr>
            <w:tcW w:w="1176" w:type="dxa"/>
            <w:tcBorders>
              <w:bottom w:val="single" w:sz="4" w:space="0" w:color="auto"/>
            </w:tcBorders>
            <w:hideMark/>
          </w:tcPr>
          <w:p>
            <w:pPr>
              <w:spacing w:before="60" w:after="60"/>
              <w:jc w:val="right"/>
              <w:rPr>
                <w:noProof/>
              </w:rPr>
            </w:pPr>
            <w:r>
              <w:rPr>
                <w:noProof/>
              </w:rPr>
              <w:t>42</w:t>
            </w:r>
          </w:p>
        </w:tc>
        <w:tc>
          <w:tcPr>
            <w:tcW w:w="1176" w:type="dxa"/>
            <w:tcBorders>
              <w:bottom w:val="single" w:sz="4" w:space="0" w:color="auto"/>
            </w:tcBorders>
            <w:hideMark/>
          </w:tcPr>
          <w:p>
            <w:pPr>
              <w:spacing w:before="60" w:after="60"/>
              <w:jc w:val="right"/>
              <w:rPr>
                <w:noProof/>
              </w:rPr>
            </w:pPr>
            <w:r>
              <w:rPr>
                <w:noProof/>
              </w:rPr>
              <w:t>(2,6 %)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Възрастова група:</w:t>
            </w:r>
          </w:p>
        </w:tc>
        <w:tc>
          <w:tcPr>
            <w:tcW w:w="2063" w:type="dxa"/>
            <w:tcBorders>
              <w:top w:val="single" w:sz="4" w:space="0" w:color="auto"/>
              <w:left w:val="nil"/>
              <w:bottom w:val="nil"/>
              <w:right w:val="nil"/>
            </w:tcBorders>
            <w:hideMark/>
          </w:tcPr>
          <w:p>
            <w:pPr>
              <w:spacing w:before="60" w:after="60"/>
              <w:rPr>
                <w:noProof/>
              </w:rPr>
            </w:pPr>
            <w:r>
              <w:rPr>
                <w:noProof/>
              </w:rPr>
              <w:t>15—24 години:</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noProof/>
              </w:rPr>
              <w:t>(0,0 %)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години:</w:t>
            </w:r>
          </w:p>
        </w:tc>
        <w:tc>
          <w:tcPr>
            <w:tcW w:w="1176" w:type="dxa"/>
            <w:hideMark/>
          </w:tcPr>
          <w:p>
            <w:pPr>
              <w:spacing w:before="60" w:after="60"/>
              <w:jc w:val="right"/>
              <w:rPr>
                <w:noProof/>
              </w:rPr>
            </w:pPr>
            <w:r>
              <w:rPr>
                <w:noProof/>
              </w:rPr>
              <w:t>4</w:t>
            </w:r>
          </w:p>
        </w:tc>
        <w:tc>
          <w:tcPr>
            <w:tcW w:w="1176" w:type="dxa"/>
            <w:hideMark/>
          </w:tcPr>
          <w:p>
            <w:pPr>
              <w:spacing w:before="60" w:after="60"/>
              <w:jc w:val="right"/>
              <w:rPr>
                <w:noProof/>
              </w:rPr>
            </w:pPr>
            <w:r>
              <w:rPr>
                <w:noProof/>
              </w:rPr>
              <w:t>(0,2 %)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години:</w:t>
            </w:r>
          </w:p>
        </w:tc>
        <w:tc>
          <w:tcPr>
            <w:tcW w:w="1176" w:type="dxa"/>
            <w:hideMark/>
          </w:tcPr>
          <w:p>
            <w:pPr>
              <w:spacing w:before="60" w:after="60"/>
              <w:jc w:val="right"/>
              <w:rPr>
                <w:noProof/>
              </w:rPr>
            </w:pPr>
            <w:r>
              <w:rPr>
                <w:noProof/>
              </w:rPr>
              <w:t>1 371</w:t>
            </w:r>
          </w:p>
        </w:tc>
        <w:tc>
          <w:tcPr>
            <w:tcW w:w="1176" w:type="dxa"/>
            <w:hideMark/>
          </w:tcPr>
          <w:p>
            <w:pPr>
              <w:spacing w:before="60" w:after="60"/>
              <w:jc w:val="right"/>
              <w:rPr>
                <w:noProof/>
              </w:rPr>
            </w:pPr>
            <w:r>
              <w:rPr>
                <w:noProof/>
              </w:rPr>
              <w:t>(85,2 %)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 — 64-години</w:t>
            </w:r>
          </w:p>
        </w:tc>
        <w:tc>
          <w:tcPr>
            <w:tcW w:w="1176" w:type="dxa"/>
            <w:hideMark/>
          </w:tcPr>
          <w:p>
            <w:pPr>
              <w:spacing w:before="60" w:after="60"/>
              <w:jc w:val="right"/>
              <w:rPr>
                <w:noProof/>
              </w:rPr>
            </w:pPr>
            <w:r>
              <w:rPr>
                <w:noProof/>
              </w:rPr>
              <w:t>223</w:t>
            </w:r>
          </w:p>
        </w:tc>
        <w:tc>
          <w:tcPr>
            <w:tcW w:w="1176" w:type="dxa"/>
            <w:hideMark/>
          </w:tcPr>
          <w:p>
            <w:pPr>
              <w:spacing w:before="60" w:after="60"/>
              <w:jc w:val="right"/>
              <w:rPr>
                <w:noProof/>
              </w:rPr>
            </w:pPr>
            <w:r>
              <w:rPr>
                <w:noProof/>
              </w:rPr>
              <w:t>(13,9 %)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над 64 години:</w:t>
            </w:r>
          </w:p>
        </w:tc>
        <w:tc>
          <w:tcPr>
            <w:tcW w:w="1176" w:type="dxa"/>
            <w:tcBorders>
              <w:top w:val="nil"/>
              <w:left w:val="nil"/>
              <w:bottom w:val="single" w:sz="4" w:space="0" w:color="auto"/>
              <w:right w:val="nil"/>
            </w:tcBorders>
            <w:hideMark/>
          </w:tcPr>
          <w:p>
            <w:pPr>
              <w:spacing w:before="60" w:after="60"/>
              <w:jc w:val="right"/>
              <w:rPr>
                <w:noProof/>
              </w:rPr>
            </w:pPr>
            <w:r>
              <w:rPr>
                <w:noProof/>
              </w:rPr>
              <w:t>12</w:t>
            </w:r>
          </w:p>
        </w:tc>
        <w:tc>
          <w:tcPr>
            <w:tcW w:w="1176" w:type="dxa"/>
            <w:tcBorders>
              <w:top w:val="nil"/>
              <w:left w:val="nil"/>
              <w:bottom w:val="single" w:sz="4" w:space="0" w:color="auto"/>
              <w:right w:val="nil"/>
            </w:tcBorders>
            <w:hideMark/>
          </w:tcPr>
          <w:p>
            <w:pPr>
              <w:spacing w:before="60" w:after="60"/>
              <w:jc w:val="right"/>
              <w:rPr>
                <w:noProof/>
              </w:rPr>
            </w:pPr>
            <w:r>
              <w:rPr>
                <w:noProof/>
              </w:rPr>
              <w:t>(0,7 %)</w:t>
            </w:r>
          </w:p>
        </w:tc>
      </w:tr>
    </w:tbl>
    <w:p>
      <w:pPr>
        <w:pStyle w:val="ManualHeading3"/>
        <w:rPr>
          <w:noProof/>
          <w:u w:val="single"/>
        </w:rPr>
      </w:pPr>
      <w:r>
        <w:rPr>
          <w:noProof/>
        </w:rPr>
        <w:t>Допустимост на предложените действия</w:t>
      </w:r>
    </w:p>
    <w:p>
      <w:pPr>
        <w:pStyle w:val="ManualNumPar1"/>
        <w:rPr>
          <w:noProof/>
        </w:rPr>
      </w:pPr>
      <w:bookmarkStart w:id="2" w:name="_Ref372214239"/>
      <w:r>
        <w:t>19.</w:t>
      </w:r>
      <w:r>
        <w:tab/>
      </w:r>
      <w:r>
        <w:rPr>
          <w:noProof/>
        </w:rPr>
        <w:t xml:space="preserve">Персонализираните услуги, които се предвижда да бъдат предоставени на съкратените работници, включват следните действия: </w:t>
      </w:r>
      <w:bookmarkEnd w:id="2"/>
    </w:p>
    <w:p>
      <w:pPr>
        <w:pStyle w:val="Text1"/>
        <w:rPr>
          <w:noProof/>
        </w:rPr>
      </w:pPr>
      <w:r>
        <w:rPr>
          <w:noProof/>
        </w:rPr>
        <w:t>Действия, за които е поискано съфинансиране от ЕФПГ:</w:t>
      </w:r>
    </w:p>
    <w:p>
      <w:pPr>
        <w:pStyle w:val="Tiret1"/>
        <w:numPr>
          <w:ilvl w:val="0"/>
          <w:numId w:val="13"/>
        </w:numPr>
        <w:rPr>
          <w:noProof/>
        </w:rPr>
      </w:pPr>
      <w:r>
        <w:rPr>
          <w:noProof/>
          <w:u w:val="single"/>
        </w:rPr>
        <w:t>Индивидуална ориентация</w:t>
      </w:r>
      <w:r>
        <w:rPr>
          <w:noProof/>
        </w:rPr>
        <w:t>: Това включва оценяване на уменията, изготвяне на профил на уменията на работниците и на лична програма за реинтеграция на всеки участник, както и процедурата по записване.</w:t>
      </w:r>
    </w:p>
    <w:p>
      <w:pPr>
        <w:pStyle w:val="Tiret1"/>
        <w:rPr>
          <w:noProof/>
        </w:rPr>
      </w:pPr>
      <w:r>
        <w:rPr>
          <w:noProof/>
          <w:u w:val="single"/>
        </w:rPr>
        <w:t>Търсене на работа</w:t>
      </w:r>
      <w:r>
        <w:rPr>
          <w:noProof/>
        </w:rPr>
        <w:t>. Това ще включва активно търсене на работа, включително търсене на възможности за заетост на местно и регионално равнище, и услуги за намиране на подходяща работа.</w:t>
      </w:r>
    </w:p>
    <w:p>
      <w:pPr>
        <w:pStyle w:val="Tiret1"/>
        <w:rPr>
          <w:noProof/>
        </w:rPr>
      </w:pPr>
      <w:r>
        <w:rPr>
          <w:noProof/>
          <w:u w:val="single"/>
        </w:rPr>
        <w:t>Обучение, преквалификация и професионално обучение</w:t>
      </w:r>
      <w:r>
        <w:rPr>
          <w:noProof/>
        </w:rPr>
        <w:t>. На участниците ще се предлага професионално обучение, насочено към преквалификация или придобиване на допълнителна квалификация от работниците с цел реализиране на възможностите за работа, установени по време на интензивното търсене на работа.</w:t>
      </w:r>
    </w:p>
    <w:p>
      <w:pPr>
        <w:pStyle w:val="Tiret1"/>
        <w:rPr>
          <w:noProof/>
        </w:rPr>
      </w:pPr>
      <w:r>
        <w:rPr>
          <w:noProof/>
          <w:u w:val="single"/>
        </w:rPr>
        <w:t>Ваучер за повторно наемане на работа</w:t>
      </w:r>
      <w:r>
        <w:rPr>
          <w:noProof/>
        </w:rPr>
        <w:t>, посредством който се предоставя сума, която да бъде изразходвана за услуги по интензивно търсене на работа, предоставяни от акредитирани доставчици (публични или частни). Отразявайки пригодността за заетост на работника, стойността на ваучера може да варира между 500 и 5 000 EUR. На доставчиците на услуги ще се заплаща въз основа на пригодността за заетост на работника и вида на сключения трудов договор, като възнаграждението може да варира от 500 до 2 500 EUR за срочен договор с продължителност от поне шест месеца и от 1 000 до 5 000 EUR за безсрочни договори. Когато не е било възможно да се намери решение за съкратения работник, доставчикът на услуги ще получи фиксирана сума (такса за услуги) на участник. Таксата за услуги не може да превишава 106,5 EUR.</w:t>
      </w:r>
    </w:p>
    <w:p>
      <w:pPr>
        <w:pStyle w:val="Tiret1"/>
        <w:rPr>
          <w:noProof/>
        </w:rPr>
      </w:pPr>
      <w:r>
        <w:rPr>
          <w:noProof/>
          <w:u w:val="single"/>
        </w:rPr>
        <w:t>Подкрепа за предприемачеството</w:t>
      </w:r>
      <w:r>
        <w:rPr>
          <w:noProof/>
        </w:rPr>
        <w:t>. Ще бъде предложен широк набор от мерки в подкрепа на съкратените работници, които възнамеряват да започнат собствена стопанска дейност.</w:t>
      </w:r>
    </w:p>
    <w:p>
      <w:pPr>
        <w:pStyle w:val="Tiret1"/>
        <w:rPr>
          <w:noProof/>
        </w:rPr>
      </w:pPr>
      <w:r>
        <w:rPr>
          <w:noProof/>
          <w:u w:val="single"/>
        </w:rPr>
        <w:t>Помощ за започване на стопанска дейност</w:t>
      </w:r>
      <w:r>
        <w:rPr>
          <w:noProof/>
        </w:rPr>
        <w:t>. Работниците, започващи собствена стопанска дейност, ще получат до 15 000 EUR за начални разходи, за инвестиции в активи и за текущи разходи.</w:t>
      </w:r>
    </w:p>
    <w:p>
      <w:pPr>
        <w:pStyle w:val="Tiret1"/>
        <w:rPr>
          <w:noProof/>
        </w:rPr>
      </w:pPr>
      <w:r>
        <w:rPr>
          <w:noProof/>
          <w:u w:val="single"/>
        </w:rPr>
        <w:t>Възстановяване на разходите за лица, полагащи грижи за зависими лица</w:t>
      </w:r>
      <w:r>
        <w:rPr>
          <w:noProof/>
        </w:rPr>
        <w:t>. Предвидено е тези разходи да подлежат на възстановяване в размер до 1 700 EUR. С това се цели да бъдат покрити допълнителните разходи, които участниците, които имат задължения за полагане на грижи (за деца, възрастни хора, хора с увреждания т.н.), трябва да поемат, за да могат да се възползват от обучения или други мерки.</w:t>
      </w:r>
    </w:p>
    <w:p>
      <w:pPr>
        <w:pStyle w:val="Tiret1"/>
        <w:rPr>
          <w:noProof/>
        </w:rPr>
      </w:pPr>
      <w:r>
        <w:rPr>
          <w:noProof/>
          <w:u w:val="single"/>
        </w:rPr>
        <w:t>Възстановяване на разходи за мобилност</w:t>
      </w:r>
      <w:r>
        <w:rPr>
          <w:noProof/>
        </w:rPr>
        <w:t>. За да се подпомогне географската мобилност на работниците в случай на повторно наемане на работа в предприятие, разположено на 80 км или повече от местоживеенето на работника, е предвидено възстановяване на първоначалните разходи за настаняване и транспорт в размер до 5 000 EUR.</w:t>
      </w:r>
    </w:p>
    <w:p>
      <w:pPr>
        <w:pStyle w:val="Text1"/>
        <w:rPr>
          <w:noProof/>
        </w:rPr>
      </w:pPr>
      <w:r>
        <w:rPr>
          <w:noProof/>
        </w:rPr>
        <w:t>Действия, които ще бъдат финансирани от ЕСФ или само с национални средства, които допълват съфинансирани от ЕФПГ услуги:</w:t>
      </w:r>
    </w:p>
    <w:p>
      <w:pPr>
        <w:pStyle w:val="Text1"/>
        <w:rPr>
          <w:noProof/>
        </w:rPr>
      </w:pPr>
    </w:p>
    <w:p>
      <w:pPr>
        <w:pStyle w:val="Tiret1"/>
        <w:rPr>
          <w:noProof/>
        </w:rPr>
      </w:pPr>
      <w:r>
        <w:rPr>
          <w:noProof/>
          <w:u w:val="single"/>
        </w:rPr>
        <w:t>Прием на съкратените работници</w:t>
      </w:r>
      <w:r>
        <w:rPr>
          <w:noProof/>
        </w:rPr>
        <w:t>: информационни сесии относно налични услуги, ориентиране към реинтеграция на пазара на труда, като и предоставяне на специфични инструменти за активно търсене. Това е първата мярка и от нея ще се ползват всички участници.</w:t>
      </w:r>
    </w:p>
    <w:p>
      <w:pPr>
        <w:pStyle w:val="Tiret1"/>
        <w:rPr>
          <w:noProof/>
        </w:rPr>
      </w:pPr>
      <w:r>
        <w:rPr>
          <w:noProof/>
          <w:u w:val="single"/>
        </w:rPr>
        <w:t>Специфично ориентиране за работниците на възраст над 60 години</w:t>
      </w:r>
      <w:r>
        <w:rPr>
          <w:noProof/>
        </w:rPr>
        <w:t>, включително насърчаване на социално полезни услуги и оказване на съдействие при пенсиониране.</w:t>
      </w:r>
    </w:p>
    <w:p>
      <w:pPr>
        <w:pStyle w:val="Tiret1"/>
        <w:rPr>
          <w:noProof/>
        </w:rPr>
      </w:pPr>
      <w:r>
        <w:rPr>
          <w:noProof/>
          <w:u w:val="single"/>
        </w:rPr>
        <w:t>Финансови стимули за работодатели</w:t>
      </w:r>
      <w:r>
        <w:rPr>
          <w:rStyle w:val="FootnoteReference"/>
          <w:noProof/>
          <w:u w:val="single"/>
        </w:rPr>
        <w:footnoteReference w:id="15"/>
      </w:r>
      <w:r>
        <w:rPr>
          <w:noProof/>
        </w:rPr>
        <w:t>. Предприятия, които наемат бивши работници от Almaviva, ще получават до 8 000 EUR за безсрочен трудов договор на пълно работно време. Стимулите при безсрочни договори на непълно работно време ще се изчисляват пропорционално на времето на заетост.</w:t>
      </w:r>
    </w:p>
    <w:p>
      <w:pPr>
        <w:pStyle w:val="ManualNumPar1"/>
        <w:rPr>
          <w:noProof/>
        </w:rPr>
      </w:pPr>
      <w:bookmarkStart w:id="3" w:name="_Ref372214242"/>
      <w:r>
        <w:t>20.</w:t>
      </w:r>
      <w:r>
        <w:tab/>
      </w:r>
      <w:r>
        <w:rPr>
          <w:noProof/>
        </w:rPr>
        <w:t>Предложените действия, описани в настоящия документ, представляват активни мерки за пазара на труда в рамките на допустимите действия, посочени в член 7 от Регламента за ЕФПГ. Тези действия не заместват пасивните мерки за социална закрила.</w:t>
      </w:r>
    </w:p>
    <w:p>
      <w:pPr>
        <w:pStyle w:val="ManualNumPar1"/>
        <w:rPr>
          <w:noProof/>
        </w:rPr>
      </w:pPr>
      <w:r>
        <w:t>21.</w:t>
      </w:r>
      <w:r>
        <w:tab/>
      </w:r>
      <w:r>
        <w:rPr>
          <w:noProof/>
        </w:rPr>
        <w:t>Италия предостави поисканата информация относно действията, които са задължителни за засегнатото предприятие по силата на националното законодателство или в съответствие с колективни споразумения. Потвърдено беше, че финансовото участие от страна на ЕФПГ няма да замени тези действия.</w:t>
      </w:r>
      <w:bookmarkEnd w:id="3"/>
    </w:p>
    <w:p>
      <w:pPr>
        <w:pStyle w:val="ManualHeading3"/>
        <w:rPr>
          <w:noProof/>
        </w:rPr>
      </w:pPr>
      <w:r>
        <w:rPr>
          <w:noProof/>
        </w:rPr>
        <w:t>Прогнозен бюджет</w:t>
      </w:r>
    </w:p>
    <w:p>
      <w:pPr>
        <w:pStyle w:val="ManualNumPar1"/>
        <w:rPr>
          <w:noProof/>
        </w:rPr>
      </w:pPr>
      <w:r>
        <w:t>22.</w:t>
      </w:r>
      <w:r>
        <w:tab/>
      </w:r>
      <w:r>
        <w:rPr>
          <w:noProof/>
        </w:rPr>
        <w:t>Общите прогнозни разходи са в размер на 5 578 950 EUR, като в тях се включват разходи за персонализирани услуги в размер на 5 355 950 EUR и разходи за дейности по подготовка, управление, информиране, публичност, контрол и докладване в размер на 223 000 EUR.</w:t>
      </w:r>
    </w:p>
    <w:p>
      <w:pPr>
        <w:pStyle w:val="ManualNumPar1"/>
        <w:rPr>
          <w:noProof/>
        </w:rPr>
      </w:pPr>
      <w:bookmarkStart w:id="4" w:name="_Ref372550770"/>
      <w:r>
        <w:t>23.</w:t>
      </w:r>
      <w:r>
        <w:tab/>
      </w:r>
      <w:r>
        <w:rPr>
          <w:noProof/>
        </w:rPr>
        <w:t>Общият размер на заявеното финансово участие от ЕФПГ възлиза на 3 347 370 EUR (60 % от общия размер на разходите).</w:t>
      </w:r>
      <w:bookmarkEnd w:id="4"/>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908"/>
        <w:gridCol w:w="1284"/>
        <w:gridCol w:w="1548"/>
        <w:gridCol w:w="1548"/>
      </w:tblGrid>
      <w:tr>
        <w:tc>
          <w:tcPr>
            <w:tcW w:w="4908" w:type="dxa"/>
            <w:shd w:val="clear" w:color="auto" w:fill="auto"/>
            <w:vAlign w:val="center"/>
          </w:tcPr>
          <w:p>
            <w:pPr>
              <w:spacing w:before="60" w:after="60"/>
              <w:jc w:val="center"/>
              <w:rPr>
                <w:rFonts w:eastAsia="Times New Roman"/>
                <w:noProof/>
                <w:sz w:val="22"/>
              </w:rPr>
            </w:pPr>
            <w:r>
              <w:rPr>
                <w:noProof/>
                <w:sz w:val="22"/>
              </w:rPr>
              <w:t>Действия</w:t>
            </w:r>
          </w:p>
        </w:tc>
        <w:tc>
          <w:tcPr>
            <w:tcW w:w="1284" w:type="dxa"/>
            <w:shd w:val="clear" w:color="auto" w:fill="auto"/>
            <w:vAlign w:val="center"/>
          </w:tcPr>
          <w:p>
            <w:pPr>
              <w:spacing w:before="60" w:after="60"/>
              <w:jc w:val="center"/>
              <w:rPr>
                <w:rFonts w:eastAsia="Times New Roman"/>
                <w:noProof/>
                <w:sz w:val="22"/>
              </w:rPr>
            </w:pPr>
            <w:r>
              <w:rPr>
                <w:noProof/>
                <w:sz w:val="22"/>
              </w:rPr>
              <w:t>Прогнозен брой участници</w:t>
            </w:r>
          </w:p>
        </w:tc>
        <w:tc>
          <w:tcPr>
            <w:tcW w:w="1548" w:type="dxa"/>
            <w:shd w:val="clear" w:color="auto" w:fill="auto"/>
            <w:vAlign w:val="center"/>
          </w:tcPr>
          <w:p>
            <w:pPr>
              <w:spacing w:before="60" w:after="60"/>
              <w:jc w:val="center"/>
              <w:rPr>
                <w:rFonts w:eastAsia="Times New Roman"/>
                <w:noProof/>
                <w:sz w:val="22"/>
              </w:rPr>
            </w:pPr>
            <w:r>
              <w:rPr>
                <w:noProof/>
                <w:sz w:val="22"/>
              </w:rPr>
              <w:t>Прогнозни разходи за един участник</w:t>
            </w:r>
            <w:r>
              <w:rPr>
                <w:rFonts w:eastAsia="Times New Roman"/>
                <w:noProof/>
                <w:sz w:val="22"/>
              </w:rPr>
              <w:br/>
            </w:r>
            <w:r>
              <w:rPr>
                <w:i/>
                <w:noProof/>
                <w:sz w:val="22"/>
              </w:rPr>
              <w:t>(EUR)</w:t>
            </w:r>
            <w:r>
              <w:rPr>
                <w:rStyle w:val="FootnoteReference"/>
                <w:i/>
                <w:noProof/>
                <w:sz w:val="22"/>
              </w:rPr>
              <w:footnoteReference w:id="16"/>
            </w:r>
          </w:p>
        </w:tc>
        <w:tc>
          <w:tcPr>
            <w:tcW w:w="1548" w:type="dxa"/>
            <w:shd w:val="clear" w:color="auto" w:fill="auto"/>
            <w:vAlign w:val="center"/>
          </w:tcPr>
          <w:p>
            <w:pPr>
              <w:spacing w:before="60" w:after="60"/>
              <w:jc w:val="center"/>
              <w:rPr>
                <w:rFonts w:eastAsia="Times New Roman"/>
                <w:noProof/>
                <w:sz w:val="22"/>
              </w:rPr>
            </w:pPr>
            <w:r>
              <w:rPr>
                <w:noProof/>
                <w:sz w:val="22"/>
              </w:rPr>
              <w:t>Общо прогнозни разходи</w:t>
            </w:r>
            <w:r>
              <w:rPr>
                <w:rFonts w:eastAsia="Times New Roman"/>
                <w:noProof/>
                <w:sz w:val="22"/>
              </w:rPr>
              <w:br/>
            </w:r>
            <w:r>
              <w:rPr>
                <w:i/>
                <w:noProof/>
                <w:sz w:val="22"/>
              </w:rPr>
              <w:t>(EUR)</w:t>
            </w:r>
            <w:r>
              <w:rPr>
                <w:rStyle w:val="FootnoteReference"/>
                <w:i/>
                <w:noProof/>
                <w:sz w:val="22"/>
              </w:rPr>
              <w:footnoteReference w:id="17"/>
            </w:r>
            <w:r>
              <w:rPr>
                <w:i/>
                <w:noProof/>
                <w:sz w:val="22"/>
              </w:rPr>
              <w:t xml:space="preserve"> </w:t>
            </w:r>
          </w:p>
        </w:tc>
      </w:tr>
      <w:tr>
        <w:tc>
          <w:tcPr>
            <w:tcW w:w="9288" w:type="dxa"/>
            <w:gridSpan w:val="4"/>
            <w:shd w:val="clear" w:color="auto" w:fill="auto"/>
          </w:tcPr>
          <w:p>
            <w:pPr>
              <w:spacing w:before="60" w:after="60"/>
              <w:jc w:val="left"/>
              <w:rPr>
                <w:rFonts w:eastAsia="Times New Roman"/>
                <w:noProof/>
                <w:sz w:val="22"/>
              </w:rPr>
            </w:pPr>
            <w:r>
              <w:rPr>
                <w:noProof/>
                <w:sz w:val="22"/>
              </w:rPr>
              <w:t>Персонализирани услуги (действия по член 7, параграф 1, букви а) и в) от Регламента за ЕФПГ)</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Индивидуална ориентация</w:t>
            </w:r>
            <w:r>
              <w:rPr>
                <w:noProof/>
              </w:rPr>
              <w:br/>
              <w:t>(</w:t>
            </w:r>
            <w:r>
              <w:rPr>
                <w:i/>
                <w:noProof/>
              </w:rPr>
              <w:t>Servizio di orientamento individuale)</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1 610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112 700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Търсене на работа</w:t>
            </w:r>
            <w:r>
              <w:rPr>
                <w:noProof/>
              </w:rPr>
              <w:br/>
              <w:t>(</w:t>
            </w:r>
            <w:r>
              <w:rPr>
                <w:i/>
                <w:noProof/>
              </w:rPr>
              <w:t>Scouting de la domanda)</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105</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68 250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Обучение, преквалификация и професионално обучение</w:t>
            </w:r>
            <w:r>
              <w:rPr>
                <w:noProof/>
              </w:rPr>
              <w:br/>
              <w:t>(</w:t>
            </w:r>
            <w:r>
              <w:rPr>
                <w:i/>
                <w:noProof/>
              </w:rPr>
              <w:t>Formazione e riqualificazione professionale)</w:t>
            </w:r>
            <w:r>
              <w:rPr>
                <w:noProof/>
              </w:rPr>
              <w:t xml:space="preserve"> </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533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400 000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Ваучер за повторно наемане на работа</w:t>
            </w:r>
            <w:r>
              <w:rPr>
                <w:noProof/>
              </w:rPr>
              <w:br/>
              <w:t>(</w:t>
            </w:r>
            <w:r>
              <w:rPr>
                <w:i/>
                <w:noProof/>
              </w:rPr>
              <w:t>Assegno di ricollocazione)</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1 360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1 379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1 875 000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Подкрепа за предприемачеството</w:t>
            </w:r>
            <w:r>
              <w:rPr>
                <w:noProof/>
              </w:rPr>
              <w:br/>
              <w:t>(</w:t>
            </w:r>
            <w:r>
              <w:rPr>
                <w:i/>
                <w:noProof/>
              </w:rPr>
              <w:t>Servizio di supporto all'auto-impiego)</w:t>
            </w:r>
            <w:r>
              <w:rPr>
                <w:noProof/>
              </w:rPr>
              <w:t xml:space="preserve"> </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110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2 909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320 000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Помощ за започване на стопанска дейност</w:t>
            </w:r>
            <w:r>
              <w:rPr>
                <w:noProof/>
              </w:rPr>
              <w:br/>
              <w:t>(</w:t>
            </w:r>
            <w:r>
              <w:rPr>
                <w:i/>
                <w:noProof/>
              </w:rPr>
              <w:t>Incentivo per l'avvio di nuove imprese)</w:t>
            </w:r>
            <w:r>
              <w:rPr>
                <w:noProof/>
              </w:rPr>
              <w:t xml:space="preserve"> </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110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1 650 000</w:t>
            </w:r>
          </w:p>
        </w:tc>
      </w:tr>
      <w:tr>
        <w:trPr>
          <w:trHeight w:val="398"/>
        </w:trPr>
        <w:tc>
          <w:tcPr>
            <w:tcW w:w="4908" w:type="dxa"/>
            <w:vMerge w:val="restart"/>
            <w:shd w:val="clear" w:color="auto" w:fill="auto"/>
            <w:vAlign w:val="center"/>
          </w:tcPr>
          <w:p>
            <w:pPr>
              <w:spacing w:before="60" w:after="60"/>
              <w:jc w:val="right"/>
              <w:rPr>
                <w:rFonts w:eastAsia="Times New Roman"/>
                <w:noProof/>
                <w:sz w:val="22"/>
              </w:rPr>
            </w:pPr>
            <w:r>
              <w:rPr>
                <w:noProof/>
                <w:sz w:val="22"/>
              </w:rPr>
              <w:t>Междинен сбор (a):</w:t>
            </w:r>
          </w:p>
          <w:p>
            <w:pPr>
              <w:spacing w:before="60" w:after="60"/>
              <w:jc w:val="right"/>
              <w:rPr>
                <w:rFonts w:eastAsia="Times New Roman"/>
                <w:noProof/>
                <w:sz w:val="22"/>
              </w:rPr>
            </w:pPr>
            <w:r>
              <w:rPr>
                <w:noProof/>
                <w:sz w:val="22"/>
              </w:rPr>
              <w:t xml:space="preserve">Процент от пакета от персонализирани услуги </w:t>
            </w:r>
          </w:p>
        </w:tc>
        <w:tc>
          <w:tcPr>
            <w:tcW w:w="2832"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right"/>
              <w:rPr>
                <w:rFonts w:eastAsia="Times New Roman"/>
                <w:noProof/>
                <w:sz w:val="22"/>
              </w:rPr>
            </w:pPr>
            <w:r>
              <w:rPr>
                <w:noProof/>
              </w:rPr>
              <w:t>4 425 950</w:t>
            </w:r>
          </w:p>
        </w:tc>
      </w:tr>
      <w:tr>
        <w:trPr>
          <w:trHeight w:val="397"/>
        </w:trPr>
        <w:tc>
          <w:tcPr>
            <w:tcW w:w="4908" w:type="dxa"/>
            <w:vMerge/>
            <w:shd w:val="clear" w:color="auto" w:fill="auto"/>
            <w:vAlign w:val="center"/>
          </w:tcPr>
          <w:p>
            <w:pPr>
              <w:spacing w:before="60" w:after="60"/>
              <w:jc w:val="right"/>
              <w:rPr>
                <w:rFonts w:eastAsia="Times New Roman"/>
                <w:noProof/>
                <w:sz w:val="22"/>
              </w:rPr>
            </w:pPr>
          </w:p>
        </w:tc>
        <w:tc>
          <w:tcPr>
            <w:tcW w:w="2832"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right"/>
              <w:rPr>
                <w:rFonts w:eastAsia="Times New Roman"/>
                <w:noProof/>
                <w:sz w:val="22"/>
              </w:rPr>
            </w:pPr>
            <w:r>
              <w:rPr>
                <w:noProof/>
                <w:sz w:val="22"/>
              </w:rPr>
              <w:t>(</w:t>
            </w:r>
            <w:r>
              <w:rPr>
                <w:noProof/>
              </w:rPr>
              <w:t>82,6 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t>Помощи и стимули (действия по член 7, параграф 1, буква б) от Регламента за ЕФПГ)</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Възстановяване на разходите за лица, полагащи грижи за зависими лица (</w:t>
            </w:r>
            <w:r>
              <w:rPr>
                <w:i/>
                <w:noProof/>
              </w:rPr>
              <w:t>Misure di conciliazione)</w:t>
            </w:r>
            <w:r>
              <w:rPr>
                <w:noProof/>
              </w:rPr>
              <w:t xml:space="preserve"> </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1 700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680 000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Възстановяване на разходи за мобилност</w:t>
            </w:r>
            <w:r>
              <w:rPr>
                <w:noProof/>
              </w:rPr>
              <w:br/>
              <w:t>(</w:t>
            </w:r>
            <w:r>
              <w:rPr>
                <w:i/>
                <w:noProof/>
              </w:rPr>
              <w:t>Indemnità per la mobilità territoriale)</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250 000</w:t>
            </w:r>
          </w:p>
        </w:tc>
      </w:tr>
      <w:tr>
        <w:trPr>
          <w:trHeight w:val="203"/>
        </w:trPr>
        <w:tc>
          <w:tcPr>
            <w:tcW w:w="4908" w:type="dxa"/>
            <w:vMerge w:val="restart"/>
            <w:shd w:val="clear" w:color="auto" w:fill="auto"/>
            <w:vAlign w:val="center"/>
          </w:tcPr>
          <w:p>
            <w:pPr>
              <w:spacing w:before="60" w:after="60"/>
              <w:jc w:val="right"/>
              <w:rPr>
                <w:rFonts w:eastAsia="Times New Roman"/>
                <w:noProof/>
                <w:sz w:val="22"/>
              </w:rPr>
            </w:pPr>
            <w:r>
              <w:rPr>
                <w:noProof/>
                <w:sz w:val="22"/>
              </w:rPr>
              <w:t>Междинен сбор (б):</w:t>
            </w:r>
          </w:p>
          <w:p>
            <w:pPr>
              <w:spacing w:before="60" w:after="60"/>
              <w:jc w:val="right"/>
              <w:rPr>
                <w:rFonts w:eastAsia="Times New Roman"/>
                <w:noProof/>
                <w:sz w:val="22"/>
              </w:rPr>
            </w:pPr>
            <w:r>
              <w:rPr>
                <w:noProof/>
                <w:sz w:val="22"/>
              </w:rPr>
              <w:t>Процент от пакета от персонализирани услуги:</w:t>
            </w:r>
          </w:p>
        </w:tc>
        <w:tc>
          <w:tcPr>
            <w:tcW w:w="2832"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right"/>
              <w:rPr>
                <w:rFonts w:eastAsia="Times New Roman"/>
                <w:noProof/>
                <w:sz w:val="22"/>
              </w:rPr>
            </w:pPr>
            <w:r>
              <w:rPr>
                <w:noProof/>
              </w:rPr>
              <w:t>930 000</w:t>
            </w:r>
          </w:p>
        </w:tc>
      </w:tr>
      <w:tr>
        <w:trPr>
          <w:trHeight w:val="202"/>
        </w:trPr>
        <w:tc>
          <w:tcPr>
            <w:tcW w:w="4908" w:type="dxa"/>
            <w:vMerge/>
            <w:shd w:val="clear" w:color="auto" w:fill="auto"/>
            <w:vAlign w:val="center"/>
          </w:tcPr>
          <w:p>
            <w:pPr>
              <w:spacing w:before="60" w:after="60"/>
              <w:jc w:val="right"/>
              <w:rPr>
                <w:rFonts w:eastAsia="Times New Roman"/>
                <w:noProof/>
                <w:sz w:val="22"/>
              </w:rPr>
            </w:pPr>
          </w:p>
        </w:tc>
        <w:tc>
          <w:tcPr>
            <w:tcW w:w="2832"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right"/>
              <w:rPr>
                <w:rFonts w:eastAsia="Times New Roman"/>
                <w:noProof/>
                <w:sz w:val="22"/>
              </w:rPr>
            </w:pPr>
            <w:r>
              <w:rPr>
                <w:noProof/>
                <w:sz w:val="22"/>
              </w:rPr>
              <w:t>(</w:t>
            </w:r>
            <w:r>
              <w:rPr>
                <w:noProof/>
              </w:rPr>
              <w:t>17,4 </w:t>
            </w:r>
            <w:r>
              <w:rPr>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 xml:space="preserve"> Действия по член 7, параграф 4 от Регламента за ЕФПГ</w:t>
            </w:r>
          </w:p>
        </w:tc>
      </w:tr>
      <w:tr>
        <w:tc>
          <w:tcPr>
            <w:tcW w:w="4908" w:type="dxa"/>
            <w:shd w:val="clear" w:color="auto" w:fill="auto"/>
          </w:tcPr>
          <w:p>
            <w:pPr>
              <w:spacing w:before="60" w:after="60"/>
              <w:ind w:left="284"/>
              <w:jc w:val="left"/>
              <w:rPr>
                <w:rFonts w:eastAsia="Times New Roman"/>
                <w:noProof/>
                <w:sz w:val="22"/>
              </w:rPr>
            </w:pPr>
            <w:r>
              <w:rPr>
                <w:noProof/>
                <w:sz w:val="22"/>
              </w:rPr>
              <w:t>1. Подготвителни дейности</w:t>
            </w:r>
          </w:p>
        </w:tc>
        <w:tc>
          <w:tcPr>
            <w:tcW w:w="2832"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vAlign w:val="center"/>
          </w:tcPr>
          <w:p>
            <w:pPr>
              <w:spacing w:before="60" w:after="60"/>
              <w:jc w:val="right"/>
              <w:rPr>
                <w:rFonts w:eastAsia="Times New Roman"/>
                <w:noProof/>
                <w:sz w:val="22"/>
              </w:rPr>
            </w:pPr>
            <w:r>
              <w:rPr>
                <w:noProof/>
              </w:rPr>
              <w:t>15 000</w:t>
            </w:r>
          </w:p>
        </w:tc>
      </w:tr>
      <w:tr>
        <w:tc>
          <w:tcPr>
            <w:tcW w:w="4908" w:type="dxa"/>
            <w:shd w:val="clear" w:color="auto" w:fill="auto"/>
          </w:tcPr>
          <w:p>
            <w:pPr>
              <w:spacing w:before="60" w:after="60"/>
              <w:ind w:left="284"/>
              <w:jc w:val="left"/>
              <w:rPr>
                <w:rFonts w:eastAsia="Times New Roman"/>
                <w:noProof/>
                <w:sz w:val="22"/>
              </w:rPr>
            </w:pPr>
            <w:r>
              <w:rPr>
                <w:noProof/>
                <w:sz w:val="22"/>
              </w:rPr>
              <w:t>2. Управление</w:t>
            </w:r>
          </w:p>
        </w:tc>
        <w:tc>
          <w:tcPr>
            <w:tcW w:w="2832"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vAlign w:val="center"/>
          </w:tcPr>
          <w:p>
            <w:pPr>
              <w:spacing w:before="60" w:after="60"/>
              <w:jc w:val="right"/>
              <w:rPr>
                <w:rFonts w:eastAsia="Times New Roman"/>
                <w:noProof/>
                <w:sz w:val="22"/>
              </w:rPr>
            </w:pPr>
            <w:r>
              <w:rPr>
                <w:noProof/>
              </w:rPr>
              <w:t>115 000</w:t>
            </w:r>
          </w:p>
        </w:tc>
      </w:tr>
      <w:tr>
        <w:tc>
          <w:tcPr>
            <w:tcW w:w="4908" w:type="dxa"/>
            <w:shd w:val="clear" w:color="auto" w:fill="auto"/>
          </w:tcPr>
          <w:p>
            <w:pPr>
              <w:spacing w:before="60" w:after="60"/>
              <w:ind w:left="284"/>
              <w:jc w:val="left"/>
              <w:rPr>
                <w:rFonts w:eastAsia="Times New Roman"/>
                <w:noProof/>
                <w:sz w:val="22"/>
              </w:rPr>
            </w:pPr>
            <w:r>
              <w:rPr>
                <w:noProof/>
                <w:sz w:val="22"/>
              </w:rPr>
              <w:t>3. Информиране и публичност</w:t>
            </w:r>
          </w:p>
        </w:tc>
        <w:tc>
          <w:tcPr>
            <w:tcW w:w="2832"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vAlign w:val="center"/>
          </w:tcPr>
          <w:p>
            <w:pPr>
              <w:spacing w:before="60" w:after="60"/>
              <w:jc w:val="right"/>
              <w:rPr>
                <w:rFonts w:eastAsia="Times New Roman"/>
                <w:noProof/>
                <w:sz w:val="22"/>
              </w:rPr>
            </w:pPr>
            <w:r>
              <w:rPr>
                <w:noProof/>
              </w:rPr>
              <w:t>40 500</w:t>
            </w:r>
          </w:p>
        </w:tc>
      </w:tr>
      <w:tr>
        <w:tc>
          <w:tcPr>
            <w:tcW w:w="4908" w:type="dxa"/>
            <w:shd w:val="clear" w:color="auto" w:fill="auto"/>
          </w:tcPr>
          <w:p>
            <w:pPr>
              <w:spacing w:before="60" w:after="60"/>
              <w:ind w:left="284"/>
              <w:jc w:val="left"/>
              <w:rPr>
                <w:rFonts w:eastAsia="Times New Roman"/>
                <w:noProof/>
                <w:sz w:val="22"/>
              </w:rPr>
            </w:pPr>
            <w:r>
              <w:rPr>
                <w:noProof/>
                <w:sz w:val="22"/>
              </w:rPr>
              <w:t>4. Контрол и докладване</w:t>
            </w:r>
          </w:p>
        </w:tc>
        <w:tc>
          <w:tcPr>
            <w:tcW w:w="2832"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vAlign w:val="center"/>
          </w:tcPr>
          <w:p>
            <w:pPr>
              <w:spacing w:before="60" w:after="60"/>
              <w:jc w:val="right"/>
              <w:rPr>
                <w:rFonts w:eastAsia="Times New Roman"/>
                <w:noProof/>
                <w:sz w:val="22"/>
              </w:rPr>
            </w:pPr>
            <w:r>
              <w:rPr>
                <w:noProof/>
              </w:rPr>
              <w:t>52 500</w:t>
            </w:r>
          </w:p>
        </w:tc>
      </w:tr>
      <w:tr>
        <w:trPr>
          <w:trHeight w:val="203"/>
        </w:trPr>
        <w:tc>
          <w:tcPr>
            <w:tcW w:w="4908" w:type="dxa"/>
            <w:vMerge w:val="restart"/>
            <w:shd w:val="clear" w:color="auto" w:fill="auto"/>
            <w:vAlign w:val="center"/>
          </w:tcPr>
          <w:p>
            <w:pPr>
              <w:spacing w:before="60" w:after="60"/>
              <w:jc w:val="right"/>
              <w:rPr>
                <w:rFonts w:eastAsia="Times New Roman"/>
                <w:noProof/>
                <w:sz w:val="22"/>
              </w:rPr>
            </w:pPr>
            <w:r>
              <w:rPr>
                <w:noProof/>
                <w:sz w:val="22"/>
              </w:rPr>
              <w:t>Междинен сбор (в):</w:t>
            </w:r>
          </w:p>
          <w:p>
            <w:pPr>
              <w:spacing w:before="60" w:after="60"/>
              <w:jc w:val="right"/>
              <w:rPr>
                <w:rFonts w:eastAsia="Times New Roman"/>
                <w:noProof/>
                <w:sz w:val="22"/>
              </w:rPr>
            </w:pPr>
            <w:r>
              <w:rPr>
                <w:noProof/>
                <w:sz w:val="22"/>
              </w:rPr>
              <w:t>Процент от общите разходи:</w:t>
            </w:r>
          </w:p>
        </w:tc>
        <w:tc>
          <w:tcPr>
            <w:tcW w:w="2832"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right"/>
              <w:rPr>
                <w:rFonts w:eastAsia="Times New Roman"/>
                <w:noProof/>
                <w:sz w:val="22"/>
              </w:rPr>
            </w:pPr>
            <w:r>
              <w:rPr>
                <w:noProof/>
              </w:rPr>
              <w:t>223 000</w:t>
            </w:r>
          </w:p>
        </w:tc>
      </w:tr>
      <w:tr>
        <w:trPr>
          <w:trHeight w:val="202"/>
        </w:trPr>
        <w:tc>
          <w:tcPr>
            <w:tcW w:w="4908" w:type="dxa"/>
            <w:vMerge/>
            <w:shd w:val="clear" w:color="auto" w:fill="auto"/>
          </w:tcPr>
          <w:p>
            <w:pPr>
              <w:spacing w:before="0" w:after="0"/>
              <w:jc w:val="right"/>
              <w:rPr>
                <w:rFonts w:eastAsia="Times New Roman"/>
                <w:noProof/>
                <w:sz w:val="22"/>
              </w:rPr>
            </w:pPr>
          </w:p>
        </w:tc>
        <w:tc>
          <w:tcPr>
            <w:tcW w:w="2832"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right"/>
              <w:rPr>
                <w:rFonts w:eastAsia="Times New Roman"/>
                <w:noProof/>
                <w:sz w:val="22"/>
              </w:rPr>
            </w:pPr>
            <w:r>
              <w:rPr>
                <w:noProof/>
                <w:sz w:val="22"/>
              </w:rPr>
              <w:t>(</w:t>
            </w:r>
            <w:r>
              <w:rPr>
                <w:noProof/>
              </w:rPr>
              <w:t>4,0 </w:t>
            </w:r>
            <w:r>
              <w:rPr>
                <w:noProof/>
                <w:sz w:val="22"/>
              </w:rPr>
              <w:t>%)</w:t>
            </w:r>
          </w:p>
        </w:tc>
      </w:tr>
      <w:tr>
        <w:tc>
          <w:tcPr>
            <w:tcW w:w="4908" w:type="dxa"/>
            <w:shd w:val="clear" w:color="auto" w:fill="auto"/>
          </w:tcPr>
          <w:p>
            <w:pPr>
              <w:spacing w:before="60" w:after="60"/>
              <w:jc w:val="left"/>
              <w:rPr>
                <w:rFonts w:eastAsia="Times New Roman"/>
                <w:noProof/>
                <w:sz w:val="22"/>
              </w:rPr>
            </w:pPr>
            <w:r>
              <w:rPr>
                <w:noProof/>
                <w:sz w:val="22"/>
              </w:rPr>
              <w:t>Общо разходи (а + б + в):</w:t>
            </w:r>
          </w:p>
        </w:tc>
        <w:tc>
          <w:tcPr>
            <w:tcW w:w="2832"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vAlign w:val="center"/>
          </w:tcPr>
          <w:p>
            <w:pPr>
              <w:spacing w:before="60" w:after="60"/>
              <w:jc w:val="right"/>
              <w:rPr>
                <w:noProof/>
                <w:sz w:val="22"/>
              </w:rPr>
            </w:pPr>
            <w:r>
              <w:rPr>
                <w:noProof/>
              </w:rPr>
              <w:t>5 578 950</w:t>
            </w:r>
          </w:p>
        </w:tc>
      </w:tr>
      <w:tr>
        <w:tc>
          <w:tcPr>
            <w:tcW w:w="4908" w:type="dxa"/>
            <w:shd w:val="clear" w:color="auto" w:fill="auto"/>
          </w:tcPr>
          <w:p>
            <w:pPr>
              <w:spacing w:before="60" w:after="60"/>
              <w:jc w:val="left"/>
              <w:rPr>
                <w:rFonts w:eastAsia="Times New Roman"/>
                <w:noProof/>
                <w:sz w:val="22"/>
              </w:rPr>
            </w:pPr>
            <w:r>
              <w:rPr>
                <w:noProof/>
                <w:sz w:val="22"/>
              </w:rPr>
              <w:t>Финансово участие от ЕФПГ (60 % от общия размер на разходите)</w:t>
            </w:r>
          </w:p>
        </w:tc>
        <w:tc>
          <w:tcPr>
            <w:tcW w:w="2832"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vAlign w:val="center"/>
          </w:tcPr>
          <w:p>
            <w:pPr>
              <w:spacing w:before="60" w:after="60"/>
              <w:jc w:val="right"/>
              <w:rPr>
                <w:rFonts w:eastAsia="Times New Roman"/>
                <w:noProof/>
                <w:sz w:val="22"/>
              </w:rPr>
            </w:pPr>
            <w:r>
              <w:rPr>
                <w:noProof/>
              </w:rPr>
              <w:t>3 347 370</w:t>
            </w:r>
          </w:p>
        </w:tc>
      </w:tr>
    </w:tbl>
    <w:p>
      <w:pPr>
        <w:pStyle w:val="ManualNumPar1"/>
        <w:rPr>
          <w:noProof/>
          <w:szCs w:val="20"/>
        </w:rPr>
      </w:pPr>
      <w:r>
        <w:t>24.</w:t>
      </w:r>
      <w:r>
        <w:tab/>
      </w:r>
      <w:r>
        <w:rPr>
          <w:noProof/>
        </w:rPr>
        <w:t>Разходите за дейностите, определени в горната таблица като дейности по член 7, параграф 1, буква б) от Регламента за ЕФПГ, не надвишават 35 % от общия размер на разходите за съгласувания пакет от персонализирани услуги. Италия потвърди, че тези действия са обвързани с активното участие на избраните бенефициери в търсенето на работа или дейностите по обучение.</w:t>
      </w:r>
    </w:p>
    <w:p>
      <w:pPr>
        <w:pStyle w:val="ManualNumPar1"/>
        <w:rPr>
          <w:noProof/>
        </w:rPr>
      </w:pPr>
      <w:r>
        <w:t>25.</w:t>
      </w:r>
      <w:r>
        <w:tab/>
      </w:r>
      <w:r>
        <w:rPr>
          <w:noProof/>
        </w:rPr>
        <w:t>Италия потвърди, че разходите за инвестиции за самостоятелна заетост, започване на стопанска дейност и придобиване от служителите няма да надхвърлят сумата от 15 000 EUR на бенефициер.</w:t>
      </w:r>
    </w:p>
    <w:p>
      <w:pPr>
        <w:pStyle w:val="ManualHeading3"/>
        <w:rPr>
          <w:noProof/>
        </w:rPr>
      </w:pPr>
      <w:r>
        <w:rPr>
          <w:noProof/>
        </w:rPr>
        <w:t>Период на допустимост на разходите</w:t>
      </w:r>
    </w:p>
    <w:p>
      <w:pPr>
        <w:pStyle w:val="ManualNumPar1"/>
        <w:rPr>
          <w:noProof/>
        </w:rPr>
      </w:pPr>
      <w:r>
        <w:t>26.</w:t>
      </w:r>
      <w:r>
        <w:tab/>
      </w:r>
      <w:r>
        <w:rPr>
          <w:noProof/>
        </w:rPr>
        <w:t>Италия е започнала да предоставя персонализирани услуги на избраните бенефициери на 6 април 2017 г.</w:t>
      </w:r>
      <w:r>
        <w:rPr>
          <w:rStyle w:val="FootnoteReference"/>
          <w:noProof/>
        </w:rPr>
        <w:footnoteReference w:id="18"/>
      </w:r>
      <w:r>
        <w:rPr>
          <w:noProof/>
        </w:rPr>
        <w:t xml:space="preserve"> По тази причина разходите за действията са допустими за предоставяне на финансово участие от ЕФПГ в периода от 6 април 2017 г. до 9 май 2019 г.</w:t>
      </w:r>
    </w:p>
    <w:p>
      <w:pPr>
        <w:pStyle w:val="ManualNumPar1"/>
        <w:rPr>
          <w:noProof/>
        </w:rPr>
      </w:pPr>
      <w:r>
        <w:t>27.</w:t>
      </w:r>
      <w:r>
        <w:tab/>
      </w:r>
      <w:r>
        <w:rPr>
          <w:noProof/>
        </w:rPr>
        <w:t xml:space="preserve">Италия е започнала да извършва административни разходи по прилагането на ЕФПГ на 1 март 2017 г. По тази причина разходите за дейности по подготовка, управление, информация, публичност, контрол и докладване ще бъдат допустими за финансово участие от ЕФПГ в периода от 1 март 2017 г. до 9 ноември 2019 г. </w:t>
      </w:r>
    </w:p>
    <w:p>
      <w:pPr>
        <w:pStyle w:val="ManualHeading3"/>
        <w:rPr>
          <w:noProof/>
        </w:rPr>
      </w:pPr>
      <w:r>
        <w:rPr>
          <w:noProof/>
        </w:rPr>
        <w:t>Допълване с действия, финансирани с национални средства или със средства от Съюза</w:t>
      </w:r>
    </w:p>
    <w:p>
      <w:pPr>
        <w:pStyle w:val="ManualNumPar1"/>
        <w:rPr>
          <w:noProof/>
        </w:rPr>
      </w:pPr>
      <w:r>
        <w:t>28.</w:t>
      </w:r>
      <w:r>
        <w:tab/>
      </w:r>
      <w:r>
        <w:rPr>
          <w:noProof/>
        </w:rPr>
        <w:t>Източниците на национално предварително финансиране или съфинансиране са регионални ресурси, предоставени от Законодателен декрет № 2017/185 (24.9.2016 г.) и Фонда за професионалното обучение, управляван от ANPAL</w:t>
      </w:r>
      <w:r>
        <w:rPr>
          <w:rStyle w:val="FootnoteReference"/>
          <w:noProof/>
        </w:rPr>
        <w:footnoteReference w:id="19"/>
      </w:r>
      <w:r>
        <w:rPr>
          <w:noProof/>
        </w:rPr>
        <w:t>.</w:t>
      </w:r>
    </w:p>
    <w:p>
      <w:pPr>
        <w:pStyle w:val="ManualNumPar1"/>
        <w:rPr>
          <w:noProof/>
        </w:rPr>
      </w:pPr>
      <w:r>
        <w:t>29.</w:t>
      </w:r>
      <w:r>
        <w:tab/>
      </w:r>
      <w:r>
        <w:rPr>
          <w:noProof/>
        </w:rPr>
        <w:t xml:space="preserve">Италия е потвърдила, че за описаните по-горе мерки, за които се предоставя финансово участие от ЕФПГ, няма да получи финансова подкрепа от други финансови инструменти на Съюза. Финансовите стимули за работодатели, които представляват действие в рамките на регионалната оперативна програма на Лацио по ЕСФ за периода 2014—2020 г., допълват пакета от мерки по ЕФПГ, но не са част от него. </w:t>
      </w:r>
    </w:p>
    <w:p>
      <w:pPr>
        <w:pStyle w:val="ManualHeading3"/>
        <w:tabs>
          <w:tab w:val="clear" w:pos="850"/>
          <w:tab w:val="left" w:pos="0"/>
        </w:tabs>
        <w:ind w:left="0" w:firstLine="0"/>
        <w:rPr>
          <w:noProof/>
          <w:u w:val="single"/>
        </w:rPr>
      </w:pPr>
      <w:r>
        <w:rPr>
          <w:noProof/>
        </w:rPr>
        <w:t>Процедури за провеждане на консултации с избраните бенефициери, с техни представители или със социалните партньори, както и със съответните органи на местно и регионално равнище</w:t>
      </w:r>
    </w:p>
    <w:p>
      <w:pPr>
        <w:pStyle w:val="ManualNumPar1"/>
        <w:rPr>
          <w:noProof/>
        </w:rPr>
      </w:pPr>
      <w:r>
        <w:t>30.</w:t>
      </w:r>
      <w:r>
        <w:tab/>
      </w:r>
      <w:r>
        <w:rPr>
          <w:noProof/>
        </w:rPr>
        <w:t>Италия посочи, че е създадена комисия (съставена от Министерството на икономическото развитие (MiSE)</w:t>
      </w:r>
      <w:r>
        <w:rPr>
          <w:rStyle w:val="FootnoteReference"/>
          <w:noProof/>
        </w:rPr>
        <w:footnoteReference w:id="20"/>
      </w:r>
      <w:r>
        <w:rPr>
          <w:noProof/>
        </w:rPr>
        <w:t xml:space="preserve">, ANPAL, регион Лацио и синдикални организации), която да определи стратегията и намесите в подкрепа на бившите работници на Almaviva. Първите консултации са били проведени още на 16 януари 2017 г. (органи на регион Лацио и синдикални организации). На последващите срещи, и по-специално на срещата от 7 февруари 2017 г., е бил изготвен съгласуваният пакет от персонализирани услуги. </w:t>
      </w:r>
    </w:p>
    <w:p>
      <w:pPr>
        <w:pStyle w:val="ManualHeading2"/>
        <w:rPr>
          <w:noProof/>
        </w:rPr>
      </w:pPr>
      <w:r>
        <w:rPr>
          <w:noProof/>
        </w:rPr>
        <w:t>Системи за управление и контрол</w:t>
      </w:r>
    </w:p>
    <w:p>
      <w:pPr>
        <w:pStyle w:val="ManualNumPar1"/>
        <w:rPr>
          <w:noProof/>
        </w:rPr>
      </w:pPr>
      <w:r>
        <w:t>31.</w:t>
      </w:r>
      <w:r>
        <w:tab/>
      </w:r>
      <w:r>
        <w:rPr>
          <w:noProof/>
        </w:rPr>
        <w:t>В заявлението е описана системата за управление и контрол, в която са определени отговорностите на съответните органи. Италия е уведомила Комисията, че финансовото участие ще бъде управлявано от ANPAL, както следва: ANPAL — Divisione IV ще действа като управляващ орган, а ANPAL — Divisione VI като сертифициращ орган. Ministero del lavoro e delle politiche sociali-MLPS — — Secretariato Generale — Divisione II ще изпълнява ролята на одитен орган. Регион Лацио ще бъде междинното звено на управляващия орган.</w:t>
      </w:r>
    </w:p>
    <w:p>
      <w:pPr>
        <w:pStyle w:val="ManualHeading2"/>
        <w:rPr>
          <w:noProof/>
        </w:rPr>
      </w:pPr>
      <w:r>
        <w:rPr>
          <w:noProof/>
        </w:rPr>
        <w:t>Ангажименти, поети от засегнатата държава членка</w:t>
      </w:r>
    </w:p>
    <w:p>
      <w:pPr>
        <w:pStyle w:val="ManualNumPar1"/>
        <w:rPr>
          <w:noProof/>
        </w:rPr>
      </w:pPr>
      <w:r>
        <w:t>32.</w:t>
      </w:r>
      <w:r>
        <w:tab/>
      </w:r>
      <w:r>
        <w:rPr>
          <w:noProof/>
        </w:rPr>
        <w:t xml:space="preserve">Италия е предоставила всички необходими гаранции за това, че: </w:t>
      </w:r>
    </w:p>
    <w:p>
      <w:pPr>
        <w:pStyle w:val="Tiret1"/>
        <w:numPr>
          <w:ilvl w:val="0"/>
          <w:numId w:val="12"/>
        </w:numPr>
        <w:rPr>
          <w:noProof/>
        </w:rPr>
      </w:pPr>
      <w:r>
        <w:rPr>
          <w:noProof/>
        </w:rPr>
        <w:t>при достъпа до предложените действия и тяхното изпълнение ще се спазват принципите на равнопоставеност и недискриминация;</w:t>
      </w:r>
    </w:p>
    <w:p>
      <w:pPr>
        <w:pStyle w:val="Tiret1"/>
        <w:numPr>
          <w:ilvl w:val="0"/>
          <w:numId w:val="12"/>
        </w:numPr>
        <w:rPr>
          <w:noProof/>
        </w:rPr>
      </w:pPr>
      <w:r>
        <w:rPr>
          <w:noProof/>
        </w:rPr>
        <w:t>са спазени изискванията, определени в националното законодателство и в законодателството на ЕС относно колективните съкращения;</w:t>
      </w:r>
    </w:p>
    <w:p>
      <w:pPr>
        <w:pStyle w:val="Tiret1"/>
        <w:rPr>
          <w:noProof/>
        </w:rPr>
      </w:pPr>
      <w:r>
        <w:rPr>
          <w:noProof/>
        </w:rPr>
        <w:t>предприятието Almaviva Contact Spa, което е продължило дейността си след освобождаването на работниците, е спазило своите правни задължения във връзка със съкращенията и е предприело съответните действия във връзка с работниците си;</w:t>
      </w:r>
    </w:p>
    <w:p>
      <w:pPr>
        <w:pStyle w:val="Tiret1"/>
        <w:numPr>
          <w:ilvl w:val="0"/>
          <w:numId w:val="12"/>
        </w:numPr>
        <w:rPr>
          <w:noProof/>
        </w:rPr>
      </w:pPr>
      <w:r>
        <w:rPr>
          <w:noProof/>
        </w:rPr>
        <w:t>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w:t>
      </w:r>
    </w:p>
    <w:p>
      <w:pPr>
        <w:pStyle w:val="Tiret1"/>
        <w:numPr>
          <w:ilvl w:val="0"/>
          <w:numId w:val="12"/>
        </w:numPr>
        <w:rPr>
          <w:noProof/>
        </w:rPr>
      </w:pPr>
      <w:r>
        <w:rPr>
          <w:noProof/>
        </w:rPr>
        <w:t>предложените действия ще допълват действия, финансирани от структурните фондове;</w:t>
      </w:r>
    </w:p>
    <w:p>
      <w:pPr>
        <w:pStyle w:val="Tiret1"/>
        <w:numPr>
          <w:ilvl w:val="0"/>
          <w:numId w:val="12"/>
        </w:numPr>
        <w:rPr>
          <w:noProof/>
        </w:rPr>
      </w:pPr>
      <w:r>
        <w:rPr>
          <w:noProof/>
        </w:rPr>
        <w:t>финансовото участие от ЕФПГ ще бъде съобразено с процедурните и материалноправните разпоредби на Съюза относно държавните помощи.</w:t>
      </w:r>
    </w:p>
    <w:p>
      <w:pPr>
        <w:pStyle w:val="ManualHeading1"/>
        <w:rPr>
          <w:noProof/>
        </w:rPr>
      </w:pPr>
      <w:r>
        <w:rPr>
          <w:noProof/>
        </w:rPr>
        <w:t>ОТРАЖЕНИЕ ВЪРХУ БЮДЖЕТА</w:t>
      </w:r>
    </w:p>
    <w:p>
      <w:pPr>
        <w:pStyle w:val="ManualHeading2"/>
        <w:rPr>
          <w:noProof/>
        </w:rPr>
      </w:pPr>
      <w:r>
        <w:rPr>
          <w:noProof/>
        </w:rPr>
        <w:t>Бюджетно предложение</w:t>
      </w:r>
    </w:p>
    <w:p>
      <w:pPr>
        <w:pStyle w:val="ManualNumPar1"/>
        <w:rPr>
          <w:noProof/>
        </w:rPr>
      </w:pPr>
      <w:r>
        <w:t>33.</w:t>
      </w:r>
      <w:r>
        <w:tab/>
      </w:r>
      <w:r>
        <w:rPr>
          <w:noProof/>
        </w:rPr>
        <w:t>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2014—2020 ЕФПГ не може да надхвърля максимален годишен размер от 150 милиона евро (по цени от 2011 г.)</w:t>
      </w:r>
      <w:r>
        <w:rPr>
          <w:rStyle w:val="FootnoteReference"/>
          <w:noProof/>
        </w:rPr>
        <w:footnoteReference w:id="21"/>
      </w:r>
      <w:r>
        <w:rPr>
          <w:noProof/>
        </w:rPr>
        <w:t>.</w:t>
      </w:r>
    </w:p>
    <w:p>
      <w:pPr>
        <w:pStyle w:val="ManualNumPar1"/>
        <w:rPr>
          <w:rFonts w:eastAsia="Calibri"/>
          <w:noProof/>
        </w:rPr>
      </w:pPr>
      <w:r>
        <w:t>34.</w:t>
      </w:r>
      <w:r>
        <w:tab/>
      </w:r>
      <w:r>
        <w:rPr>
          <w:noProof/>
        </w:rPr>
        <w:t>След като проучи заявлението с оглед на условията, определени в член 13, параграф 1 от Регламента за ЕФПГ, и като отчете броя на избраните бенефициери, предложените действия и прогнозните разходи, Комисията предлага да бъдат мобилизирани средства от ЕФПГ в размер на 3 347 370 EUR, което представлява 60 % от общите разходи за предложените действия, за предоставяне на финансово участие по заявлението.</w:t>
      </w:r>
    </w:p>
    <w:p>
      <w:pPr>
        <w:pStyle w:val="ManualNumPar1"/>
        <w:rPr>
          <w:rFonts w:eastAsia="Times New Roman"/>
          <w:noProof/>
        </w:rPr>
      </w:pPr>
      <w:r>
        <w:t>35.</w:t>
      </w:r>
      <w:r>
        <w:tab/>
      </w:r>
      <w:r>
        <w:rPr>
          <w:noProof/>
        </w:rPr>
        <w:t>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2"/>
      </w:r>
      <w:r>
        <w:rPr>
          <w:noProof/>
        </w:rPr>
        <w:t>.</w:t>
      </w:r>
    </w:p>
    <w:p>
      <w:pPr>
        <w:pStyle w:val="ManualHeading2"/>
        <w:rPr>
          <w:noProof/>
        </w:rPr>
      </w:pPr>
      <w:r>
        <w:rPr>
          <w:noProof/>
        </w:rPr>
        <w:t>Свързани актове</w:t>
      </w:r>
    </w:p>
    <w:p>
      <w:pPr>
        <w:pStyle w:val="ManualNumPar1"/>
        <w:rPr>
          <w:noProof/>
        </w:rPr>
      </w:pPr>
      <w:r>
        <w:t>36.</w:t>
      </w:r>
      <w:r>
        <w:tab/>
      </w:r>
      <w:r>
        <w:rPr>
          <w:noProof/>
        </w:rPr>
        <w:t>Едновременно с представянето на настоящото предложение за решение за мобилизиране на средства от ЕФПГ Комисията ще представи на Европейския парламент и на Съвета предложение за прехвърляне на сумата от 3 347 370 EUR към съответните бюджетни редове.</w:t>
      </w:r>
    </w:p>
    <w:p>
      <w:pPr>
        <w:pStyle w:val="ManualNumPar1"/>
        <w:rPr>
          <w:noProof/>
        </w:rPr>
      </w:pPr>
      <w:r>
        <w:t>37.</w:t>
      </w:r>
      <w:r>
        <w:tab/>
      </w:r>
      <w:r>
        <w:rPr>
          <w:noProof/>
        </w:rPr>
        <w:t>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 който ще влезе в сила на датата, на която Европейският парламент и Съветът приемат предложеното решение за мобилизиране на средства от ЕФПГ.</w:t>
      </w:r>
    </w:p>
    <w:p>
      <w:pPr>
        <w:rPr>
          <w:noProof/>
        </w:rPr>
        <w:sectPr>
          <w:footerReference w:type="default" r:id="rId11"/>
          <w:footerReference w:type="first" r:id="rId12"/>
          <w:pgSz w:w="11907" w:h="16839"/>
          <w:pgMar w:top="960" w:right="1417" w:bottom="960" w:left="1417" w:header="709" w:footer="334" w:gutter="0"/>
          <w:cols w:space="708"/>
          <w:docGrid w:linePitch="360"/>
        </w:sectPr>
      </w:pP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мобилизиране на средства от Европейския фонд за приспособяване към глобализацията във връзка със заявление от Италия — EGF/2017/004 IT/Almaviva</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23"/>
      </w:r>
      <w:r>
        <w:rPr>
          <w:noProof/>
        </w:rPr>
        <w:t>, и по-специално член 15, параграф 4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4"/>
      </w:r>
      <w:r>
        <w:rPr>
          <w:noProof/>
        </w:rPr>
        <w:t>, и по-специално точка 13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Европейският фонд за приспособяване към глобализацията (ЕФПГ) е създаден с цел оказване на подкрепа на съкратени работници и самостоятелно заети лица, чиято дейност е прекратена в резултат на големи структурни промени в моделите на световната търговия вследствие на глобализацията, в резултат на продължаване на световната финансова и икономическа криза или в резултат на нова световна финансова и икономическа криза, както и с цел подпомагане на тяхната реинтеграция на пазара на труда.</w:t>
      </w:r>
    </w:p>
    <w:p>
      <w:pPr>
        <w:pStyle w:val="ManualConsidrant"/>
        <w:rPr>
          <w:noProof/>
        </w:rPr>
      </w:pPr>
      <w:r>
        <w:t>(2)</w:t>
      </w:r>
      <w:r>
        <w:tab/>
      </w:r>
      <w:r>
        <w:rPr>
          <w:noProof/>
        </w:rPr>
        <w:t>В съответствие с предвиденото в член 12 от Регламент (ЕС, Евратом) № 1311/2013 на Съвета</w:t>
      </w:r>
      <w:r>
        <w:rPr>
          <w:rStyle w:val="FootnoteReference"/>
          <w:noProof/>
        </w:rPr>
        <w:footnoteReference w:id="25"/>
      </w:r>
      <w:r>
        <w:rPr>
          <w:noProof/>
        </w:rPr>
        <w:t xml:space="preserve"> ЕФПГ не може да надхвърля максимален годишен размер от 150 милиона евро (по цени от 2011 г.).</w:t>
      </w:r>
    </w:p>
    <w:p>
      <w:pPr>
        <w:pStyle w:val="ManualConsidrant"/>
        <w:rPr>
          <w:noProof/>
        </w:rPr>
      </w:pPr>
      <w:r>
        <w:t>(3)</w:t>
      </w:r>
      <w:r>
        <w:tab/>
      </w:r>
      <w:r>
        <w:rPr>
          <w:noProof/>
        </w:rPr>
        <w:t>На 9 май 2017 г. Италия подаде заявление за мобилизиране на средства от ЕФПГ във връзка със съкращения в Almaviva Contact SpA в Италия. Към него беше предоставена допълнителна информация, както е предвидено в член 8, параграф 3 от Регламент (ЕС) № 1309/2013. Заявлението отговаря на изискванията за определяне на финансово участие от ЕФПГ, установени в член 13 от Регламент (ЕС) № 1309/2013.</w:t>
      </w:r>
    </w:p>
    <w:p>
      <w:pPr>
        <w:pStyle w:val="ManualConsidrant"/>
        <w:rPr>
          <w:noProof/>
        </w:rPr>
      </w:pPr>
      <w:r>
        <w:t>(4)</w:t>
      </w:r>
      <w:r>
        <w:tab/>
      </w:r>
      <w:r>
        <w:rPr>
          <w:noProof/>
        </w:rPr>
        <w:t>Поради това, за да бъде удовлетворено подаденото от Италия заявление, следва да бъдат мобилизирани средства за предоставяне на финансово участие от ЕФПГ в размер на 3 347 370 EUR.</w:t>
      </w:r>
    </w:p>
    <w:p>
      <w:pPr>
        <w:pStyle w:val="ManualConsidrant"/>
        <w:rPr>
          <w:noProof/>
        </w:rPr>
      </w:pPr>
      <w:r>
        <w:t>(5)</w:t>
      </w:r>
      <w:r>
        <w:tab/>
      </w:r>
      <w:r>
        <w:rPr>
          <w:noProof/>
        </w:rPr>
        <w:t>За да се сведе до минимум времето, необходимо за мобилизиране на средства от ЕФПГ, настоящото решение следва да се прилага от датата на приемането му,</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В рамките на общия бюджет на Съюза за финансовата 2017 година от Европейския фонд за приспособяване към глобализацията се мобилизират средства за предоставяне на сумата от 3 347 370 EUR под формата на бюджетни кредити за поети задължения и бюджетни кредити за плащания.</w:t>
      </w:r>
    </w:p>
    <w:p>
      <w:pPr>
        <w:pStyle w:val="Titrearticle"/>
        <w:rPr>
          <w:noProof/>
        </w:rPr>
      </w:pPr>
      <w:r>
        <w:rPr>
          <w:noProof/>
        </w:rPr>
        <w:t>Член 2</w:t>
      </w:r>
    </w:p>
    <w:p>
      <w:pPr>
        <w:keepNext/>
        <w:keepLines/>
        <w:rPr>
          <w:noProof/>
        </w:rPr>
      </w:pPr>
      <w:r>
        <w:rPr>
          <w:noProof/>
        </w:rPr>
        <w:t xml:space="preserve">Настоящото решение влиза в сила в деня на публикуването му в Официален вестник на Европейския съюз. Прилага се от </w:t>
      </w:r>
      <w:r>
        <w:rPr>
          <w:noProof/>
          <w:color w:val="FF0000"/>
        </w:rPr>
        <w:t>[</w:t>
      </w:r>
      <w:r>
        <w:rPr>
          <w:i/>
          <w:noProof/>
          <w:color w:val="FF0000"/>
        </w:rPr>
        <w:t>датата на приемането му</w:t>
      </w:r>
      <w:r>
        <w:rPr>
          <w:noProof/>
          <w:color w:val="FF0000"/>
        </w:rPr>
        <w:t>]</w:t>
      </w:r>
      <w:r>
        <w:rPr>
          <w:rStyle w:val="FootnoteReference"/>
        </w:rPr>
        <w:sym w:font="Symbol" w:char="F02A"/>
      </w:r>
      <w:r>
        <w:rPr>
          <w:noProof/>
        </w:rPr>
        <w:t>.</w:t>
      </w:r>
    </w:p>
    <w:p>
      <w:pPr>
        <w:pStyle w:val="Fait"/>
        <w:rPr>
          <w:noProof/>
        </w:rPr>
      </w:pPr>
      <w:r>
        <w:rPr>
          <w:noProof/>
        </w:rPr>
        <w:footnoteReference w:customMarkFollows="1" w:id="26"/>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20.12.2013 г., стр. 855.</w:t>
      </w:r>
    </w:p>
  </w:footnote>
  <w:footnote w:id="2">
    <w:p>
      <w:pPr>
        <w:pStyle w:val="FootnoteText"/>
      </w:pPr>
      <w:r>
        <w:rPr>
          <w:rStyle w:val="FootnoteReference"/>
        </w:rPr>
        <w:footnoteRef/>
      </w:r>
      <w:r>
        <w:tab/>
        <w:t>По смисъла на член 3 от Регламента за ЕФПГ.</w:t>
      </w:r>
    </w:p>
  </w:footnote>
  <w:footnote w:id="3">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4">
    <w:p>
      <w:pPr>
        <w:pStyle w:val="FootnoteText"/>
      </w:pPr>
      <w:r>
        <w:rPr>
          <w:rStyle w:val="FootnoteReference"/>
        </w:rPr>
        <w:footnoteRef/>
      </w:r>
      <w:r>
        <w:tab/>
        <w:t>OВ L 393, 30.12.2006 г., стр. 1.</w:t>
      </w:r>
    </w:p>
  </w:footnote>
  <w:footnote w:id="5">
    <w:p>
      <w:pPr>
        <w:pStyle w:val="FootnoteText"/>
      </w:pPr>
      <w:r>
        <w:rPr>
          <w:rStyle w:val="FootnoteReference"/>
        </w:rPr>
        <w:footnoteRef/>
      </w:r>
      <w:r>
        <w:tab/>
        <w:t>Съгласно член 7, параграф 4 от Регламент (EС) № 1309/2013.</w:t>
      </w:r>
    </w:p>
  </w:footnote>
  <w:footnote w:id="6">
    <w:p>
      <w:pPr>
        <w:pStyle w:val="FootnoteText"/>
      </w:pPr>
      <w:r>
        <w:rPr>
          <w:rStyle w:val="FootnoteReference"/>
        </w:rPr>
        <w:footnoteRef/>
      </w:r>
      <w:r>
        <w:tab/>
        <w:t xml:space="preserve">През референтния период в Almaviva SpA са съкратени 1 627 работници. По-късно обаче на 17 работници са били предложени работни места в друг работен център на същото предприятие. Тези 17 работници не се считат за съкратени за целите на настоящото заявление. </w:t>
      </w:r>
    </w:p>
  </w:footnote>
  <w:footnote w:id="7">
    <w:p>
      <w:pPr>
        <w:pStyle w:val="FootnoteText"/>
      </w:pPr>
      <w:r>
        <w:rPr>
          <w:rStyle w:val="FootnoteReference"/>
        </w:rPr>
        <w:footnoteRef/>
      </w:r>
      <w:r>
        <w:tab/>
        <w:t>Това се отнася за работниците, засегнати от забраната за уволнение (чл. 54 от Decreto Legislativo 151/2001), които ще бъдат съкратени в края на срока на закрила.</w:t>
      </w:r>
    </w:p>
    <w:p>
      <w:pPr>
        <w:pStyle w:val="FootnoteText"/>
      </w:pPr>
      <w:r>
        <w:tab/>
      </w:r>
      <w:hyperlink r:id="rId1">
        <w:r>
          <w:rPr>
            <w:rStyle w:val="Hyperlink"/>
          </w:rPr>
          <w:t>https://www.cliclavoro.gov.it/Normative/Decreto_Legislativo_26_marzo_2001_n.151.pdf</w:t>
        </w:r>
      </w:hyperlink>
    </w:p>
  </w:footnote>
  <w:footnote w:id="8">
    <w:p>
      <w:pPr>
        <w:pStyle w:val="FootnoteText"/>
        <w:jc w:val="left"/>
      </w:pPr>
      <w:r>
        <w:rPr>
          <w:rStyle w:val="FootnoteReference"/>
        </w:rPr>
        <w:footnoteRef/>
      </w:r>
      <w:r>
        <w:tab/>
        <w:t>Трудовите правоотношения в телефонните центрове в Италия.</w:t>
      </w:r>
      <w:r>
        <w:rPr>
          <w:rStyle w:val="Hyperlink"/>
        </w:rPr>
        <w:t xml:space="preserve"> (http://www.camera.it/leg17/824?tipo=C&amp;anno=2014&amp;mese=12&amp;giorno=11&amp;view=&amp;commissione=11&amp;pagina=#)</w:t>
      </w:r>
    </w:p>
  </w:footnote>
  <w:footnote w:id="9">
    <w:p>
      <w:pPr>
        <w:pStyle w:val="FootnoteText"/>
      </w:pPr>
      <w:r>
        <w:rPr>
          <w:rStyle w:val="FootnoteReference"/>
        </w:rPr>
        <w:footnoteRef/>
      </w:r>
      <w:r>
        <w:tab/>
        <w:t>Asso contact –Assoziazione nazionale dei contact center in outsourcing. Годишна среща през 2016 г.</w:t>
      </w:r>
      <w:r>
        <w:br/>
        <w:t>http://www.assocontact.it/Documenti/VERBALI_ASSEMBLEE/02-Presentazione-Urbano-Granata_DATABANK-CERVED.pdf</w:t>
      </w:r>
    </w:p>
  </w:footnote>
  <w:footnote w:id="10">
    <w:p>
      <w:pPr>
        <w:pStyle w:val="FootnoteText"/>
      </w:pPr>
      <w:r>
        <w:rPr>
          <w:rStyle w:val="FootnoteReference"/>
        </w:rPr>
        <w:footnoteRef/>
      </w:r>
      <w:r>
        <w:tab/>
        <w:t>Íbid.</w:t>
      </w:r>
    </w:p>
  </w:footnote>
  <w:footnote w:id="11">
    <w:p>
      <w:pPr>
        <w:pStyle w:val="FootnoteText"/>
      </w:pPr>
      <w:r>
        <w:rPr>
          <w:rStyle w:val="FootnoteReference"/>
        </w:rPr>
        <w:footnoteRef/>
      </w:r>
      <w:r>
        <w:tab/>
        <w:t>Трудовите правоотношения в телефонните центрове в Италия. Op. cit.</w:t>
      </w:r>
    </w:p>
  </w:footnote>
  <w:footnote w:id="12">
    <w:p>
      <w:pPr>
        <w:pStyle w:val="FootnoteText"/>
      </w:pPr>
      <w:r>
        <w:rPr>
          <w:rStyle w:val="FootnoteReference"/>
        </w:rPr>
        <w:footnoteRef/>
      </w:r>
      <w:r>
        <w:tab/>
        <w:t>Трудовите правоотношения в телефонните центрове в Италия. Op. cit.</w:t>
      </w:r>
    </w:p>
  </w:footnote>
  <w:footnote w:id="13">
    <w:p>
      <w:pPr>
        <w:pStyle w:val="FootnoteText"/>
      </w:pPr>
      <w:r>
        <w:rPr>
          <w:rStyle w:val="FootnoteReference"/>
        </w:rPr>
        <w:footnoteRef/>
      </w:r>
      <w:r>
        <w:tab/>
        <w:t>EGF/2012/001 IE Talk Talk Broadband Services Ltd. COM(2012) 423.</w:t>
      </w:r>
    </w:p>
  </w:footnote>
  <w:footnote w:id="14">
    <w:p>
      <w:pPr>
        <w:pStyle w:val="FootnoteText"/>
      </w:pPr>
      <w:r>
        <w:rPr>
          <w:rStyle w:val="FootnoteReference"/>
        </w:rPr>
        <w:footnoteRef/>
      </w:r>
      <w:r>
        <w:tab/>
        <w:t>Обединеното синдикално представителство в Италия (съкращение RSU) е колективен орган, представляващ всички работници, наети в едно и също публично или частно образувание, независимо от това в коя синдикална организация членуват.</w:t>
      </w:r>
    </w:p>
  </w:footnote>
  <w:footnote w:id="15">
    <w:p>
      <w:pPr>
        <w:pStyle w:val="FootnoteText"/>
      </w:pPr>
      <w:r>
        <w:rPr>
          <w:rStyle w:val="FootnoteReference"/>
        </w:rPr>
        <w:footnoteRef/>
      </w:r>
      <w:r>
        <w:tab/>
        <w:t>Действията в рамките на регионалната оперативна програма на Лацио по ЕСФ за периода 2014—2020 г.</w:t>
      </w:r>
    </w:p>
  </w:footnote>
  <w:footnote w:id="16">
    <w:p>
      <w:pPr>
        <w:pStyle w:val="FootnoteText"/>
      </w:pPr>
      <w:r>
        <w:rPr>
          <w:rStyle w:val="FootnoteReference"/>
        </w:rPr>
        <w:footnoteRef/>
      </w:r>
      <w:r>
        <w:tab/>
        <w:t>За да се избегне използването на десетични запетаи, прогнозните разходи за един работник са закръглени. Закръгляването обаче не влияе върху общите разходи за всяка мярка, които остават същите както в подаденото от Италия заявление.</w:t>
      </w:r>
    </w:p>
  </w:footnote>
  <w:footnote w:id="17">
    <w:p>
      <w:pPr>
        <w:pStyle w:val="FootnoteText"/>
      </w:pPr>
      <w:r>
        <w:rPr>
          <w:rStyle w:val="FootnoteReference"/>
        </w:rPr>
        <w:footnoteRef/>
      </w:r>
      <w:r>
        <w:tab/>
        <w:t>Общата сума не съвпада напълно поради закръгляването.</w:t>
      </w:r>
    </w:p>
  </w:footnote>
  <w:footnote w:id="18">
    <w:p>
      <w:pPr>
        <w:pStyle w:val="FootnoteText"/>
      </w:pPr>
      <w:r>
        <w:rPr>
          <w:rStyle w:val="FootnoteReference"/>
        </w:rPr>
        <w:footnoteRef/>
      </w:r>
      <w:r>
        <w:tab/>
        <w:t>Приемните сесии, представляващи действие, за което не е направено искане за съфинансиране от ЕФПГ, започнаха на 9 март 2017 г., а индивидуалната ориентация (действие, съфинансирано от ЕФПГ) започна на 6 април 2017 г.</w:t>
      </w:r>
    </w:p>
  </w:footnote>
  <w:footnote w:id="19">
    <w:p>
      <w:pPr>
        <w:pStyle w:val="FootnoteText"/>
        <w:rPr>
          <w:lang w:val="it-IT"/>
        </w:rPr>
      </w:pPr>
      <w:r>
        <w:rPr>
          <w:rStyle w:val="FootnoteReference"/>
        </w:rPr>
        <w:footnoteRef/>
      </w:r>
      <w:r>
        <w:tab/>
        <w:t>Agenzia Nazionale per le Politiche Attive del Lavoro (ANPAL).</w:t>
      </w:r>
    </w:p>
  </w:footnote>
  <w:footnote w:id="20">
    <w:p>
      <w:pPr>
        <w:pStyle w:val="FootnoteText"/>
        <w:rPr>
          <w:lang w:val="it-IT"/>
        </w:rPr>
      </w:pPr>
      <w:r>
        <w:rPr>
          <w:rStyle w:val="FootnoteReference"/>
        </w:rPr>
        <w:footnoteRef/>
      </w:r>
      <w:r>
        <w:tab/>
        <w:t>Ministero dello Sviluppo Economico (MiSE)</w:t>
      </w:r>
    </w:p>
  </w:footnote>
  <w:footnote w:id="21">
    <w:p>
      <w:pPr>
        <w:pStyle w:val="FootnoteText"/>
        <w:rPr>
          <w:lang w:val="it-IT"/>
        </w:rPr>
      </w:pPr>
      <w:r>
        <w:rPr>
          <w:rStyle w:val="FootnoteReference"/>
        </w:rPr>
        <w:footnoteRef/>
      </w:r>
      <w:r>
        <w:tab/>
        <w:t>ОВ L 347, 20.12.2013 г., стр. 884.</w:t>
      </w:r>
    </w:p>
  </w:footnote>
  <w:footnote w:id="22">
    <w:p>
      <w:pPr>
        <w:pStyle w:val="FootnoteText"/>
        <w:rPr>
          <w:lang w:val="it-IT"/>
        </w:rPr>
      </w:pPr>
      <w:r>
        <w:rPr>
          <w:rStyle w:val="FootnoteReference"/>
        </w:rPr>
        <w:footnoteRef/>
      </w:r>
      <w:r>
        <w:tab/>
        <w:t>ОВ С 373, 20.12.2013 г., стр. 1.</w:t>
      </w:r>
    </w:p>
  </w:footnote>
  <w:footnote w:id="23">
    <w:p>
      <w:pPr>
        <w:pStyle w:val="FootnoteText"/>
        <w:rPr>
          <w:lang w:val="it-IT"/>
        </w:rPr>
      </w:pPr>
      <w:r>
        <w:rPr>
          <w:rStyle w:val="FootnoteReference"/>
        </w:rPr>
        <w:footnoteRef/>
      </w:r>
      <w:r>
        <w:tab/>
        <w:t>ОВ L 347, 20.12.2013 г., стр. 855.</w:t>
      </w:r>
    </w:p>
  </w:footnote>
  <w:footnote w:id="24">
    <w:p>
      <w:pPr>
        <w:pStyle w:val="FootnoteText"/>
      </w:pPr>
      <w:r>
        <w:rPr>
          <w:rStyle w:val="FootnoteReference"/>
        </w:rPr>
        <w:footnoteRef/>
      </w:r>
      <w:r>
        <w:tab/>
        <w:t>ОВ С 373, 20.12.2013 г., стр. 1.</w:t>
      </w:r>
    </w:p>
  </w:footnote>
  <w:footnote w:id="25">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26">
    <w:p>
      <w:pPr>
        <w:pStyle w:val="FootnoteText"/>
        <w:rPr>
          <w:color w:val="FF0000"/>
        </w:rPr>
      </w:pPr>
      <w:r>
        <w:rPr>
          <w:rStyle w:val="FootnoteReference"/>
        </w:rPr>
        <w:sym w:font="Symbol" w:char="F02A"/>
      </w:r>
      <w:r>
        <w:rPr>
          <w:color w:val="FF0000"/>
        </w:rPr>
        <w:t xml:space="preserve"> </w:t>
      </w:r>
      <w:r>
        <w:tab/>
      </w:r>
      <w:r>
        <w:rPr>
          <w:color w:val="FF0000"/>
        </w:rPr>
        <w:t>Датата да се попълни от Парламента преди публикуването в 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ocumentProtection w:edit="forms" w:enforcement="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9 13:16:22"/>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FA9C1999F504A8486191D1A2C90B524"/>
    <w:docVar w:name="LW_CROSSREFERENCE" w:val="&lt;UNUSED&gt;"/>
    <w:docVar w:name="LW_DocType" w:val="COM"/>
    <w:docVar w:name="LW_EMISSION" w:val="26.9.2017"/>
    <w:docVar w:name="LW_EMISSION_ISODATE" w:val="2017-09-26"/>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96"/>
    <w:docVar w:name="LW_REF.INTERNE" w:val="&lt;UNUSED&gt;"/>
    <w:docVar w:name="LW_SOUS.TITRE.OBJ.CP" w:val="&lt;UNUSED&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u1074?\u1098?\u1074? \u1074?\u1088?\u1098?\u1079?\u1082?\u1072? \u1089?\u1098?\u1089? \u1079?\u1072?\u1103?\u1074?\u1083?\u1077?\u1085?\u1080?\u1077? \u1086?\u1090? \u1048?\u1090?\u1072?\u1083?\u1080?\u1103? \u8212? EGF/2017/004 IT/Almaviva"/>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liclavoro.gov.it/Normative/Decreto_Legislativo_26_marzo_2001_n.15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5B9A6-9A0B-4CF8-B10D-53C758F3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3710</Words>
  <Characters>20667</Characters>
  <Application>Microsoft Office Word</Application>
  <DocSecurity>0</DocSecurity>
  <Lines>558</Lines>
  <Paragraphs>286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2017-08-23T08:53:00Z</cp:lastPrinted>
  <dcterms:created xsi:type="dcterms:W3CDTF">2017-09-13T06:15:00Z</dcterms:created>
  <dcterms:modified xsi:type="dcterms:W3CDTF">2017-09-19T11:16:00Z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