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B54BD92E2804807AB0CE4D2042935DB" style="width:450.8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60"/>
        </w:sectPr>
      </w:pPr>
    </w:p>
    <w:p>
      <w:pPr>
        <w:rPr>
          <w:noProof/>
        </w:rPr>
      </w:pPr>
      <w:bookmarkStart w:id="1" w:name="_GoBack"/>
      <w:bookmarkEnd w:id="1"/>
    </w:p>
    <w:p>
      <w:pPr>
        <w:pStyle w:val="TOCHeading"/>
        <w:rPr>
          <w:noProof/>
        </w:rPr>
      </w:pPr>
      <w:r>
        <w:rPr>
          <w:noProof/>
        </w:rPr>
        <w:t>Съдържание</w:t>
      </w:r>
    </w:p>
    <w:p>
      <w:pPr>
        <w:pStyle w:val="TOC1"/>
        <w:rPr>
          <w:rFonts w:asciiTheme="minorHAnsi" w:eastAsiaTheme="minorEastAsia" w:hAnsiTheme="minorHAnsi" w:cstheme="minorBidi"/>
          <w:noProof/>
          <w:sz w:val="22"/>
          <w:lang w:val="en-GB" w:eastAsia="en-GB" w:bidi="ar-SA"/>
        </w:rPr>
      </w:pPr>
      <w:r>
        <w:rPr>
          <w:noProof/>
        </w:rPr>
        <w:fldChar w:fldCharType="begin"/>
      </w:r>
      <w:r>
        <w:rPr>
          <w:noProof/>
        </w:rPr>
        <w:instrText xml:space="preserve"> TOC \o "1-3" \h \z \u </w:instrText>
      </w:r>
      <w:r>
        <w:rPr>
          <w:noProof/>
        </w:rPr>
        <w:fldChar w:fldCharType="separate"/>
      </w:r>
      <w:hyperlink w:anchor="_Toc491943953" w:history="1">
        <w:r>
          <w:rPr>
            <w:rStyle w:val="Hyperlink"/>
            <w:b/>
            <w:smallCaps/>
            <w:noProof/>
          </w:rPr>
          <w:t>1.</w:t>
        </w:r>
        <w:r>
          <w:rPr>
            <w:rFonts w:asciiTheme="minorHAnsi" w:eastAsiaTheme="minorEastAsia" w:hAnsiTheme="minorHAnsi" w:cstheme="minorBidi"/>
            <w:noProof/>
            <w:sz w:val="22"/>
            <w:lang w:val="en-GB" w:eastAsia="en-GB" w:bidi="ar-SA"/>
          </w:rPr>
          <w:tab/>
        </w:r>
        <w:r>
          <w:rPr>
            <w:rStyle w:val="Hyperlink"/>
            <w:b/>
            <w:smallCaps/>
            <w:noProof/>
          </w:rPr>
          <w:t>Бюджетна процедура</w:t>
        </w:r>
        <w:r>
          <w:rPr>
            <w:noProof/>
            <w:webHidden/>
          </w:rPr>
          <w:tab/>
        </w:r>
        <w:r>
          <w:rPr>
            <w:noProof/>
            <w:webHidden/>
          </w:rPr>
          <w:fldChar w:fldCharType="begin"/>
        </w:r>
        <w:r>
          <w:rPr>
            <w:noProof/>
            <w:webHidden/>
          </w:rPr>
          <w:instrText xml:space="preserve"> PAGEREF _Toc491943953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91943954" w:history="1">
        <w:r>
          <w:rPr>
            <w:rStyle w:val="Hyperlink"/>
            <w:b/>
            <w:noProof/>
          </w:rPr>
          <w:t>1.1.</w:t>
        </w:r>
        <w:r>
          <w:rPr>
            <w:rFonts w:asciiTheme="minorHAnsi" w:eastAsiaTheme="minorEastAsia" w:hAnsiTheme="minorHAnsi" w:cstheme="minorBidi"/>
            <w:noProof/>
            <w:sz w:val="22"/>
            <w:lang w:val="en-GB" w:eastAsia="en-GB" w:bidi="ar-SA"/>
          </w:rPr>
          <w:tab/>
        </w:r>
        <w:r>
          <w:rPr>
            <w:rStyle w:val="Hyperlink"/>
            <w:b/>
            <w:noProof/>
          </w:rPr>
          <w:t>Финансова рамка</w:t>
        </w:r>
        <w:r>
          <w:rPr>
            <w:noProof/>
            <w:webHidden/>
          </w:rPr>
          <w:tab/>
        </w:r>
        <w:r>
          <w:rPr>
            <w:noProof/>
            <w:webHidden/>
          </w:rPr>
          <w:fldChar w:fldCharType="begin"/>
        </w:r>
        <w:r>
          <w:rPr>
            <w:noProof/>
            <w:webHidden/>
          </w:rPr>
          <w:instrText xml:space="preserve"> PAGEREF _Toc491943954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91943955" w:history="1">
        <w:r>
          <w:rPr>
            <w:rStyle w:val="Hyperlink"/>
            <w:b/>
            <w:noProof/>
          </w:rPr>
          <w:t>1.2.</w:t>
        </w:r>
        <w:r>
          <w:rPr>
            <w:rFonts w:asciiTheme="minorHAnsi" w:eastAsiaTheme="minorEastAsia" w:hAnsiTheme="minorHAnsi" w:cstheme="minorBidi"/>
            <w:noProof/>
            <w:sz w:val="22"/>
            <w:lang w:val="en-GB" w:eastAsia="en-GB" w:bidi="ar-SA"/>
          </w:rPr>
          <w:tab/>
        </w:r>
        <w:r>
          <w:rPr>
            <w:rStyle w:val="Hyperlink"/>
            <w:b/>
            <w:noProof/>
          </w:rPr>
          <w:t>Проектобюджет за 2016 г.</w:t>
        </w:r>
        <w:r>
          <w:rPr>
            <w:noProof/>
            <w:webHidden/>
          </w:rPr>
          <w:tab/>
        </w:r>
        <w:r>
          <w:rPr>
            <w:noProof/>
            <w:webHidden/>
          </w:rPr>
          <w:fldChar w:fldCharType="begin"/>
        </w:r>
        <w:r>
          <w:rPr>
            <w:noProof/>
            <w:webHidden/>
          </w:rPr>
          <w:instrText xml:space="preserve"> PAGEREF _Toc491943955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91943956" w:history="1">
        <w:r>
          <w:rPr>
            <w:rStyle w:val="Hyperlink"/>
            <w:b/>
            <w:noProof/>
          </w:rPr>
          <w:t>1.3.</w:t>
        </w:r>
        <w:r>
          <w:rPr>
            <w:rFonts w:asciiTheme="minorHAnsi" w:eastAsiaTheme="minorEastAsia" w:hAnsiTheme="minorHAnsi" w:cstheme="minorBidi"/>
            <w:noProof/>
            <w:sz w:val="22"/>
            <w:lang w:val="en-GB" w:eastAsia="en-GB" w:bidi="ar-SA"/>
          </w:rPr>
          <w:tab/>
        </w:r>
        <w:r>
          <w:rPr>
            <w:rStyle w:val="Hyperlink"/>
            <w:b/>
            <w:noProof/>
          </w:rPr>
          <w:t>Приемане на бюджета за 2016 г.</w:t>
        </w:r>
        <w:r>
          <w:rPr>
            <w:noProof/>
            <w:webHidden/>
          </w:rPr>
          <w:tab/>
        </w:r>
        <w:r>
          <w:rPr>
            <w:noProof/>
            <w:webHidden/>
          </w:rPr>
          <w:fldChar w:fldCharType="begin"/>
        </w:r>
        <w:r>
          <w:rPr>
            <w:noProof/>
            <w:webHidden/>
          </w:rPr>
          <w:instrText xml:space="preserve"> PAGEREF _Toc491943956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91943957" w:history="1">
        <w:r>
          <w:rPr>
            <w:rStyle w:val="Hyperlink"/>
            <w:b/>
            <w:noProof/>
          </w:rPr>
          <w:t>1.4.</w:t>
        </w:r>
        <w:r>
          <w:rPr>
            <w:rFonts w:asciiTheme="minorHAnsi" w:eastAsiaTheme="minorEastAsia" w:hAnsiTheme="minorHAnsi" w:cstheme="minorBidi"/>
            <w:noProof/>
            <w:sz w:val="22"/>
            <w:lang w:val="en-GB" w:eastAsia="en-GB" w:bidi="ar-SA"/>
          </w:rPr>
          <w:tab/>
        </w:r>
        <w:r>
          <w:rPr>
            <w:rStyle w:val="Hyperlink"/>
            <w:b/>
            <w:noProof/>
          </w:rPr>
          <w:t>Приемане на коригиращите бюджети</w:t>
        </w:r>
        <w:r>
          <w:rPr>
            <w:noProof/>
            <w:webHidden/>
          </w:rPr>
          <w:tab/>
        </w:r>
        <w:r>
          <w:rPr>
            <w:noProof/>
            <w:webHidden/>
          </w:rPr>
          <w:fldChar w:fldCharType="begin"/>
        </w:r>
        <w:r>
          <w:rPr>
            <w:noProof/>
            <w:webHidden/>
          </w:rPr>
          <w:instrText xml:space="preserve"> PAGEREF _Toc491943957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491943958" w:history="1">
        <w:r>
          <w:rPr>
            <w:rStyle w:val="Hyperlink"/>
            <w:b/>
            <w:smallCaps/>
            <w:noProof/>
          </w:rPr>
          <w:t>2.</w:t>
        </w:r>
        <w:r>
          <w:rPr>
            <w:rFonts w:asciiTheme="minorHAnsi" w:eastAsiaTheme="minorEastAsia" w:hAnsiTheme="minorHAnsi" w:cstheme="minorBidi"/>
            <w:noProof/>
            <w:sz w:val="22"/>
            <w:lang w:val="en-GB" w:eastAsia="en-GB" w:bidi="ar-SA"/>
          </w:rPr>
          <w:tab/>
        </w:r>
        <w:r>
          <w:rPr>
            <w:rStyle w:val="Hyperlink"/>
            <w:b/>
            <w:smallCaps/>
            <w:noProof/>
          </w:rPr>
          <w:t>Управление на бюджетните кредити</w:t>
        </w:r>
        <w:r>
          <w:rPr>
            <w:noProof/>
            <w:webHidden/>
          </w:rPr>
          <w:tab/>
        </w:r>
        <w:r>
          <w:rPr>
            <w:noProof/>
            <w:webHidden/>
          </w:rPr>
          <w:fldChar w:fldCharType="begin"/>
        </w:r>
        <w:r>
          <w:rPr>
            <w:noProof/>
            <w:webHidden/>
          </w:rPr>
          <w:instrText xml:space="preserve"> PAGEREF _Toc491943958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91943959" w:history="1">
        <w:r>
          <w:rPr>
            <w:rStyle w:val="Hyperlink"/>
            <w:b/>
            <w:noProof/>
          </w:rPr>
          <w:t>2.1.</w:t>
        </w:r>
        <w:r>
          <w:rPr>
            <w:rFonts w:asciiTheme="minorHAnsi" w:eastAsiaTheme="minorEastAsia" w:hAnsiTheme="minorHAnsi" w:cstheme="minorBidi"/>
            <w:noProof/>
            <w:sz w:val="22"/>
            <w:lang w:val="en-GB" w:eastAsia="en-GB" w:bidi="ar-SA"/>
          </w:rPr>
          <w:tab/>
        </w:r>
        <w:r>
          <w:rPr>
            <w:rStyle w:val="Hyperlink"/>
            <w:b/>
            <w:noProof/>
          </w:rPr>
          <w:t>Управление на бюджетните кредити за поети задължения</w:t>
        </w:r>
        <w:r>
          <w:rPr>
            <w:noProof/>
            <w:webHidden/>
          </w:rPr>
          <w:tab/>
        </w:r>
        <w:r>
          <w:rPr>
            <w:noProof/>
            <w:webHidden/>
          </w:rPr>
          <w:fldChar w:fldCharType="begin"/>
        </w:r>
        <w:r>
          <w:rPr>
            <w:noProof/>
            <w:webHidden/>
          </w:rPr>
          <w:instrText xml:space="preserve"> PAGEREF _Toc491943959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491943960" w:history="1">
        <w:r>
          <w:rPr>
            <w:rStyle w:val="Hyperlink"/>
            <w:i/>
            <w:noProof/>
          </w:rPr>
          <w:t>2.1.1.</w:t>
        </w:r>
        <w:r>
          <w:rPr>
            <w:rFonts w:asciiTheme="minorHAnsi" w:eastAsiaTheme="minorEastAsia" w:hAnsiTheme="minorHAnsi" w:cstheme="minorBidi"/>
            <w:noProof/>
            <w:sz w:val="22"/>
            <w:lang w:val="en-GB" w:eastAsia="en-GB" w:bidi="ar-SA"/>
          </w:rPr>
          <w:tab/>
        </w:r>
        <w:r>
          <w:rPr>
            <w:rStyle w:val="Hyperlink"/>
            <w:i/>
            <w:noProof/>
          </w:rPr>
          <w:t>Програми за развитие на селските райони по ЕЗФРСР</w:t>
        </w:r>
        <w:r>
          <w:rPr>
            <w:noProof/>
            <w:webHidden/>
          </w:rPr>
          <w:tab/>
        </w:r>
        <w:r>
          <w:rPr>
            <w:noProof/>
            <w:webHidden/>
          </w:rPr>
          <w:fldChar w:fldCharType="begin"/>
        </w:r>
        <w:r>
          <w:rPr>
            <w:noProof/>
            <w:webHidden/>
          </w:rPr>
          <w:instrText xml:space="preserve"> PAGEREF _Toc491943960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491943961" w:history="1">
        <w:r>
          <w:rPr>
            <w:rStyle w:val="Hyperlink"/>
            <w:i/>
            <w:noProof/>
          </w:rPr>
          <w:t>2.1.2.</w:t>
        </w:r>
        <w:r>
          <w:rPr>
            <w:rFonts w:asciiTheme="minorHAnsi" w:eastAsiaTheme="minorEastAsia" w:hAnsiTheme="minorHAnsi" w:cstheme="minorBidi"/>
            <w:noProof/>
            <w:sz w:val="22"/>
            <w:lang w:val="en-GB" w:eastAsia="en-GB" w:bidi="ar-SA"/>
          </w:rPr>
          <w:tab/>
        </w:r>
        <w:r>
          <w:rPr>
            <w:rStyle w:val="Hyperlink"/>
            <w:i/>
            <w:noProof/>
          </w:rPr>
          <w:t>Техническа помощ</w:t>
        </w:r>
        <w:r>
          <w:rPr>
            <w:noProof/>
            <w:webHidden/>
          </w:rPr>
          <w:tab/>
        </w:r>
        <w:r>
          <w:rPr>
            <w:noProof/>
            <w:webHidden/>
          </w:rPr>
          <w:fldChar w:fldCharType="begin"/>
        </w:r>
        <w:r>
          <w:rPr>
            <w:noProof/>
            <w:webHidden/>
          </w:rPr>
          <w:instrText xml:space="preserve"> PAGEREF _Toc491943961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91943962" w:history="1">
        <w:r>
          <w:rPr>
            <w:rStyle w:val="Hyperlink"/>
            <w:b/>
            <w:noProof/>
          </w:rPr>
          <w:t>2.2.</w:t>
        </w:r>
        <w:r>
          <w:rPr>
            <w:rFonts w:asciiTheme="minorHAnsi" w:eastAsiaTheme="minorEastAsia" w:hAnsiTheme="minorHAnsi" w:cstheme="minorBidi"/>
            <w:noProof/>
            <w:sz w:val="22"/>
            <w:lang w:val="en-GB" w:eastAsia="en-GB" w:bidi="ar-SA"/>
          </w:rPr>
          <w:tab/>
        </w:r>
        <w:r>
          <w:rPr>
            <w:rStyle w:val="Hyperlink"/>
            <w:b/>
            <w:noProof/>
          </w:rPr>
          <w:t>Управление на бюджетните кредити за плащания</w:t>
        </w:r>
        <w:r>
          <w:rPr>
            <w:noProof/>
            <w:webHidden/>
          </w:rPr>
          <w:tab/>
        </w:r>
        <w:r>
          <w:rPr>
            <w:noProof/>
            <w:webHidden/>
          </w:rPr>
          <w:fldChar w:fldCharType="begin"/>
        </w:r>
        <w:r>
          <w:rPr>
            <w:noProof/>
            <w:webHidden/>
          </w:rPr>
          <w:instrText xml:space="preserve"> PAGEREF _Toc491943962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491943963" w:history="1">
        <w:r>
          <w:rPr>
            <w:rStyle w:val="Hyperlink"/>
            <w:i/>
            <w:noProof/>
          </w:rPr>
          <w:t>2.2.1.</w:t>
        </w:r>
        <w:r>
          <w:rPr>
            <w:rFonts w:asciiTheme="minorHAnsi" w:eastAsiaTheme="minorEastAsia" w:hAnsiTheme="minorHAnsi" w:cstheme="minorBidi"/>
            <w:noProof/>
            <w:sz w:val="22"/>
            <w:lang w:val="en-GB" w:eastAsia="en-GB" w:bidi="ar-SA"/>
          </w:rPr>
          <w:tab/>
        </w:r>
        <w:r>
          <w:rPr>
            <w:rStyle w:val="Hyperlink"/>
            <w:i/>
            <w:noProof/>
          </w:rPr>
          <w:t>Програми за развитие на селските райони по ЕЗФРСР</w:t>
        </w:r>
        <w:r>
          <w:rPr>
            <w:noProof/>
            <w:webHidden/>
          </w:rPr>
          <w:tab/>
        </w:r>
        <w:r>
          <w:rPr>
            <w:noProof/>
            <w:webHidden/>
          </w:rPr>
          <w:fldChar w:fldCharType="begin"/>
        </w:r>
        <w:r>
          <w:rPr>
            <w:noProof/>
            <w:webHidden/>
          </w:rPr>
          <w:instrText xml:space="preserve"> PAGEREF _Toc491943963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491943964" w:history="1">
        <w:r>
          <w:rPr>
            <w:rStyle w:val="Hyperlink"/>
            <w:i/>
            <w:noProof/>
          </w:rPr>
          <w:t>2.2.2.</w:t>
        </w:r>
        <w:r>
          <w:rPr>
            <w:rFonts w:asciiTheme="minorHAnsi" w:eastAsiaTheme="minorEastAsia" w:hAnsiTheme="minorHAnsi" w:cstheme="minorBidi"/>
            <w:noProof/>
            <w:sz w:val="22"/>
            <w:lang w:val="en-GB" w:eastAsia="en-GB" w:bidi="ar-SA"/>
          </w:rPr>
          <w:tab/>
        </w:r>
        <w:r>
          <w:rPr>
            <w:rStyle w:val="Hyperlink"/>
            <w:i/>
            <w:noProof/>
          </w:rPr>
          <w:t>Техническа помощ</w:t>
        </w:r>
        <w:r>
          <w:rPr>
            <w:noProof/>
            <w:webHidden/>
          </w:rPr>
          <w:tab/>
        </w:r>
        <w:r>
          <w:rPr>
            <w:noProof/>
            <w:webHidden/>
          </w:rPr>
          <w:fldChar w:fldCharType="begin"/>
        </w:r>
        <w:r>
          <w:rPr>
            <w:noProof/>
            <w:webHidden/>
          </w:rPr>
          <w:instrText xml:space="preserve"> PAGEREF _Toc491943964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491943965" w:history="1">
        <w:r>
          <w:rPr>
            <w:rStyle w:val="Hyperlink"/>
            <w:b/>
            <w:smallCaps/>
            <w:noProof/>
          </w:rPr>
          <w:t>3.</w:t>
        </w:r>
        <w:r>
          <w:rPr>
            <w:rFonts w:asciiTheme="minorHAnsi" w:eastAsiaTheme="minorEastAsia" w:hAnsiTheme="minorHAnsi" w:cstheme="minorBidi"/>
            <w:noProof/>
            <w:sz w:val="22"/>
            <w:lang w:val="en-GB" w:eastAsia="en-GB" w:bidi="ar-SA"/>
          </w:rPr>
          <w:tab/>
        </w:r>
        <w:r>
          <w:rPr>
            <w:rStyle w:val="Hyperlink"/>
            <w:b/>
            <w:smallCaps/>
            <w:noProof/>
          </w:rPr>
          <w:t>Изпълнение на бюджета на ЕЗФРСР за 2016 г.</w:t>
        </w:r>
        <w:r>
          <w:rPr>
            <w:noProof/>
            <w:webHidden/>
          </w:rPr>
          <w:tab/>
        </w:r>
        <w:r>
          <w:rPr>
            <w:noProof/>
            <w:webHidden/>
          </w:rPr>
          <w:fldChar w:fldCharType="begin"/>
        </w:r>
        <w:r>
          <w:rPr>
            <w:noProof/>
            <w:webHidden/>
          </w:rPr>
          <w:instrText xml:space="preserve"> PAGEREF _Toc491943965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91943966" w:history="1">
        <w:r>
          <w:rPr>
            <w:rStyle w:val="Hyperlink"/>
            <w:b/>
            <w:noProof/>
          </w:rPr>
          <w:t>3.1.</w:t>
        </w:r>
        <w:r>
          <w:rPr>
            <w:rFonts w:asciiTheme="minorHAnsi" w:eastAsiaTheme="minorEastAsia" w:hAnsiTheme="minorHAnsi" w:cstheme="minorBidi"/>
            <w:noProof/>
            <w:sz w:val="22"/>
            <w:lang w:val="en-GB" w:eastAsia="en-GB" w:bidi="ar-SA"/>
          </w:rPr>
          <w:tab/>
        </w:r>
        <w:r>
          <w:rPr>
            <w:rStyle w:val="Hyperlink"/>
            <w:b/>
            <w:noProof/>
          </w:rPr>
          <w:t>Усвояване на бюджетните кредити за поети задължения</w:t>
        </w:r>
        <w:r>
          <w:rPr>
            <w:noProof/>
            <w:webHidden/>
          </w:rPr>
          <w:tab/>
        </w:r>
        <w:r>
          <w:rPr>
            <w:noProof/>
            <w:webHidden/>
          </w:rPr>
          <w:fldChar w:fldCharType="begin"/>
        </w:r>
        <w:r>
          <w:rPr>
            <w:noProof/>
            <w:webHidden/>
          </w:rPr>
          <w:instrText xml:space="preserve"> PAGEREF _Toc491943966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491943967" w:history="1">
        <w:r>
          <w:rPr>
            <w:rStyle w:val="Hyperlink"/>
            <w:i/>
            <w:noProof/>
          </w:rPr>
          <w:t>3.1.1.</w:t>
        </w:r>
        <w:r>
          <w:rPr>
            <w:rFonts w:asciiTheme="minorHAnsi" w:eastAsiaTheme="minorEastAsia" w:hAnsiTheme="minorHAnsi" w:cstheme="minorBidi"/>
            <w:noProof/>
            <w:sz w:val="22"/>
            <w:lang w:val="en-GB" w:eastAsia="en-GB" w:bidi="ar-SA"/>
          </w:rPr>
          <w:tab/>
        </w:r>
        <w:r>
          <w:rPr>
            <w:rStyle w:val="Hyperlink"/>
            <w:i/>
            <w:noProof/>
          </w:rPr>
          <w:t>Програми за развитие на селските райони по ЕЗФРСР</w:t>
        </w:r>
        <w:r>
          <w:rPr>
            <w:noProof/>
            <w:webHidden/>
          </w:rPr>
          <w:tab/>
        </w:r>
        <w:r>
          <w:rPr>
            <w:noProof/>
            <w:webHidden/>
          </w:rPr>
          <w:fldChar w:fldCharType="begin"/>
        </w:r>
        <w:r>
          <w:rPr>
            <w:noProof/>
            <w:webHidden/>
          </w:rPr>
          <w:instrText xml:space="preserve"> PAGEREF _Toc491943967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491943968" w:history="1">
        <w:r>
          <w:rPr>
            <w:rStyle w:val="Hyperlink"/>
            <w:i/>
            <w:noProof/>
          </w:rPr>
          <w:t>3.1.2.</w:t>
        </w:r>
        <w:r>
          <w:rPr>
            <w:rFonts w:asciiTheme="minorHAnsi" w:eastAsiaTheme="minorEastAsia" w:hAnsiTheme="minorHAnsi" w:cstheme="minorBidi"/>
            <w:noProof/>
            <w:sz w:val="22"/>
            <w:lang w:val="en-GB" w:eastAsia="en-GB" w:bidi="ar-SA"/>
          </w:rPr>
          <w:tab/>
        </w:r>
        <w:r>
          <w:rPr>
            <w:rStyle w:val="Hyperlink"/>
            <w:i/>
            <w:noProof/>
          </w:rPr>
          <w:t>Техническа помощ</w:t>
        </w:r>
        <w:r>
          <w:rPr>
            <w:noProof/>
            <w:webHidden/>
          </w:rPr>
          <w:tab/>
        </w:r>
        <w:r>
          <w:rPr>
            <w:noProof/>
            <w:webHidden/>
          </w:rPr>
          <w:fldChar w:fldCharType="begin"/>
        </w:r>
        <w:r>
          <w:rPr>
            <w:noProof/>
            <w:webHidden/>
          </w:rPr>
          <w:instrText xml:space="preserve"> PAGEREF _Toc491943968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91943969" w:history="1">
        <w:r>
          <w:rPr>
            <w:rStyle w:val="Hyperlink"/>
            <w:b/>
            <w:noProof/>
          </w:rPr>
          <w:t>3.2.</w:t>
        </w:r>
        <w:r>
          <w:rPr>
            <w:rFonts w:asciiTheme="minorHAnsi" w:eastAsiaTheme="minorEastAsia" w:hAnsiTheme="minorHAnsi" w:cstheme="minorBidi"/>
            <w:noProof/>
            <w:sz w:val="22"/>
            <w:lang w:val="en-GB" w:eastAsia="en-GB" w:bidi="ar-SA"/>
          </w:rPr>
          <w:tab/>
        </w:r>
        <w:r>
          <w:rPr>
            <w:rStyle w:val="Hyperlink"/>
            <w:b/>
            <w:noProof/>
          </w:rPr>
          <w:t>Усвояване на бюджетните кредити за плащания</w:t>
        </w:r>
        <w:r>
          <w:rPr>
            <w:noProof/>
            <w:webHidden/>
          </w:rPr>
          <w:tab/>
        </w:r>
        <w:r>
          <w:rPr>
            <w:noProof/>
            <w:webHidden/>
          </w:rPr>
          <w:fldChar w:fldCharType="begin"/>
        </w:r>
        <w:r>
          <w:rPr>
            <w:noProof/>
            <w:webHidden/>
          </w:rPr>
          <w:instrText xml:space="preserve"> PAGEREF _Toc491943969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491943970" w:history="1">
        <w:r>
          <w:rPr>
            <w:rStyle w:val="Hyperlink"/>
            <w:i/>
            <w:noProof/>
          </w:rPr>
          <w:t>3.2.1.</w:t>
        </w:r>
        <w:r>
          <w:rPr>
            <w:rFonts w:asciiTheme="minorHAnsi" w:eastAsiaTheme="minorEastAsia" w:hAnsiTheme="minorHAnsi" w:cstheme="minorBidi"/>
            <w:noProof/>
            <w:sz w:val="22"/>
            <w:lang w:val="en-GB" w:eastAsia="en-GB" w:bidi="ar-SA"/>
          </w:rPr>
          <w:tab/>
        </w:r>
        <w:r>
          <w:rPr>
            <w:rStyle w:val="Hyperlink"/>
            <w:i/>
            <w:noProof/>
          </w:rPr>
          <w:t>Програми за развитие на селските райони по ЕЗФРСР</w:t>
        </w:r>
        <w:r>
          <w:rPr>
            <w:noProof/>
            <w:webHidden/>
          </w:rPr>
          <w:tab/>
        </w:r>
        <w:r>
          <w:rPr>
            <w:noProof/>
            <w:webHidden/>
          </w:rPr>
          <w:fldChar w:fldCharType="begin"/>
        </w:r>
        <w:r>
          <w:rPr>
            <w:noProof/>
            <w:webHidden/>
          </w:rPr>
          <w:instrText xml:space="preserve"> PAGEREF _Toc491943970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491943971" w:history="1">
        <w:r>
          <w:rPr>
            <w:rStyle w:val="Hyperlink"/>
            <w:i/>
            <w:noProof/>
          </w:rPr>
          <w:t>3.2.2.</w:t>
        </w:r>
        <w:r>
          <w:rPr>
            <w:rFonts w:asciiTheme="minorHAnsi" w:eastAsiaTheme="minorEastAsia" w:hAnsiTheme="minorHAnsi" w:cstheme="minorBidi"/>
            <w:noProof/>
            <w:sz w:val="22"/>
            <w:lang w:val="en-GB" w:eastAsia="en-GB" w:bidi="ar-SA"/>
          </w:rPr>
          <w:tab/>
        </w:r>
        <w:r>
          <w:rPr>
            <w:rStyle w:val="Hyperlink"/>
            <w:i/>
            <w:noProof/>
          </w:rPr>
          <w:t>Техническа помощ</w:t>
        </w:r>
        <w:r>
          <w:rPr>
            <w:noProof/>
            <w:webHidden/>
          </w:rPr>
          <w:tab/>
        </w:r>
        <w:r>
          <w:rPr>
            <w:noProof/>
            <w:webHidden/>
          </w:rPr>
          <w:fldChar w:fldCharType="begin"/>
        </w:r>
        <w:r>
          <w:rPr>
            <w:noProof/>
            <w:webHidden/>
          </w:rPr>
          <w:instrText xml:space="preserve"> PAGEREF _Toc491943971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91943972" w:history="1">
        <w:r>
          <w:rPr>
            <w:rStyle w:val="Hyperlink"/>
            <w:b/>
            <w:noProof/>
          </w:rPr>
          <w:t>3.3.</w:t>
        </w:r>
        <w:r>
          <w:rPr>
            <w:rFonts w:asciiTheme="minorHAnsi" w:eastAsiaTheme="minorEastAsia" w:hAnsiTheme="minorHAnsi" w:cstheme="minorBidi"/>
            <w:noProof/>
            <w:sz w:val="22"/>
            <w:lang w:val="en-GB" w:eastAsia="en-GB" w:bidi="ar-SA"/>
          </w:rPr>
          <w:tab/>
        </w:r>
        <w:r>
          <w:rPr>
            <w:rStyle w:val="Hyperlink"/>
            <w:b/>
            <w:noProof/>
          </w:rPr>
          <w:t>Анализ на декларираните разходи по оси и/или по мерки</w:t>
        </w:r>
        <w:r>
          <w:rPr>
            <w:noProof/>
            <w:webHidden/>
          </w:rPr>
          <w:tab/>
        </w:r>
        <w:r>
          <w:rPr>
            <w:noProof/>
            <w:webHidden/>
          </w:rPr>
          <w:fldChar w:fldCharType="begin"/>
        </w:r>
        <w:r>
          <w:rPr>
            <w:noProof/>
            <w:webHidden/>
          </w:rPr>
          <w:instrText xml:space="preserve"> PAGEREF _Toc491943972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91943973" w:history="1">
        <w:r>
          <w:rPr>
            <w:rStyle w:val="Hyperlink"/>
            <w:b/>
            <w:noProof/>
          </w:rPr>
          <w:t>3.4.</w:t>
        </w:r>
        <w:r>
          <w:rPr>
            <w:rFonts w:asciiTheme="minorHAnsi" w:eastAsiaTheme="minorEastAsia" w:hAnsiTheme="minorHAnsi" w:cstheme="minorBidi"/>
            <w:noProof/>
            <w:sz w:val="22"/>
            <w:lang w:val="en-GB" w:eastAsia="en-GB" w:bidi="ar-SA"/>
          </w:rPr>
          <w:tab/>
        </w:r>
        <w:r>
          <w:rPr>
            <w:rStyle w:val="Hyperlink"/>
            <w:b/>
            <w:noProof/>
          </w:rPr>
          <w:t>Изпълнение на програмите по ЕЗФРСР</w:t>
        </w:r>
        <w:r>
          <w:rPr>
            <w:noProof/>
            <w:webHidden/>
          </w:rPr>
          <w:tab/>
        </w:r>
        <w:r>
          <w:rPr>
            <w:noProof/>
            <w:webHidden/>
          </w:rPr>
          <w:fldChar w:fldCharType="begin"/>
        </w:r>
        <w:r>
          <w:rPr>
            <w:noProof/>
            <w:webHidden/>
          </w:rPr>
          <w:instrText xml:space="preserve"> PAGEREF _Toc491943973 \h </w:instrText>
        </w:r>
        <w:r>
          <w:rPr>
            <w:noProof/>
            <w:webHidden/>
          </w:rPr>
        </w:r>
        <w:r>
          <w:rPr>
            <w:noProof/>
            <w:webHidden/>
          </w:rPr>
          <w:fldChar w:fldCharType="separate"/>
        </w:r>
        <w:r>
          <w:rPr>
            <w:noProof/>
            <w:webHidden/>
          </w:rPr>
          <w:t>22</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491943974" w:history="1">
        <w:r>
          <w:rPr>
            <w:rStyle w:val="Hyperlink"/>
            <w:i/>
            <w:noProof/>
          </w:rPr>
          <w:t>3.4.1.</w:t>
        </w:r>
        <w:r>
          <w:rPr>
            <w:rFonts w:asciiTheme="minorHAnsi" w:eastAsiaTheme="minorEastAsia" w:hAnsiTheme="minorHAnsi" w:cstheme="minorBidi"/>
            <w:noProof/>
            <w:sz w:val="22"/>
            <w:lang w:val="en-GB" w:eastAsia="en-GB" w:bidi="ar-SA"/>
          </w:rPr>
          <w:tab/>
        </w:r>
        <w:r>
          <w:rPr>
            <w:rStyle w:val="Hyperlink"/>
            <w:i/>
            <w:noProof/>
          </w:rPr>
          <w:t>Програмен период 2007—2013 г.</w:t>
        </w:r>
        <w:r>
          <w:rPr>
            <w:noProof/>
            <w:webHidden/>
          </w:rPr>
          <w:tab/>
        </w:r>
        <w:r>
          <w:rPr>
            <w:noProof/>
            <w:webHidden/>
          </w:rPr>
          <w:fldChar w:fldCharType="begin"/>
        </w:r>
        <w:r>
          <w:rPr>
            <w:noProof/>
            <w:webHidden/>
          </w:rPr>
          <w:instrText xml:space="preserve"> PAGEREF _Toc491943974 \h </w:instrText>
        </w:r>
        <w:r>
          <w:rPr>
            <w:noProof/>
            <w:webHidden/>
          </w:rPr>
        </w:r>
        <w:r>
          <w:rPr>
            <w:noProof/>
            <w:webHidden/>
          </w:rPr>
          <w:fldChar w:fldCharType="separate"/>
        </w:r>
        <w:r>
          <w:rPr>
            <w:noProof/>
            <w:webHidden/>
          </w:rPr>
          <w:t>22</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491943975" w:history="1">
        <w:r>
          <w:rPr>
            <w:rStyle w:val="Hyperlink"/>
            <w:i/>
            <w:noProof/>
          </w:rPr>
          <w:t>3.4.2.</w:t>
        </w:r>
        <w:r>
          <w:rPr>
            <w:rFonts w:asciiTheme="minorHAnsi" w:eastAsiaTheme="minorEastAsia" w:hAnsiTheme="minorHAnsi" w:cstheme="minorBidi"/>
            <w:noProof/>
            <w:sz w:val="22"/>
            <w:lang w:val="en-GB" w:eastAsia="en-GB" w:bidi="ar-SA"/>
          </w:rPr>
          <w:tab/>
        </w:r>
        <w:r>
          <w:rPr>
            <w:rStyle w:val="Hyperlink"/>
            <w:i/>
            <w:noProof/>
          </w:rPr>
          <w:t>Програмен период 2014—2020 г.</w:t>
        </w:r>
        <w:r>
          <w:rPr>
            <w:noProof/>
            <w:webHidden/>
          </w:rPr>
          <w:tab/>
        </w:r>
        <w:r>
          <w:rPr>
            <w:noProof/>
            <w:webHidden/>
          </w:rPr>
          <w:fldChar w:fldCharType="begin"/>
        </w:r>
        <w:r>
          <w:rPr>
            <w:noProof/>
            <w:webHidden/>
          </w:rPr>
          <w:instrText xml:space="preserve"> PAGEREF _Toc491943975 \h </w:instrText>
        </w:r>
        <w:r>
          <w:rPr>
            <w:noProof/>
            <w:webHidden/>
          </w:rPr>
        </w:r>
        <w:r>
          <w:rPr>
            <w:noProof/>
            <w:webHidden/>
          </w:rPr>
          <w:fldChar w:fldCharType="separate"/>
        </w:r>
        <w:r>
          <w:rPr>
            <w:noProof/>
            <w:webHidden/>
          </w:rPr>
          <w:t>22</w:t>
        </w:r>
        <w:r>
          <w:rPr>
            <w:noProof/>
            <w:webHidden/>
          </w:rPr>
          <w:fldChar w:fldCharType="end"/>
        </w:r>
      </w:hyperlink>
    </w:p>
    <w:p>
      <w:pPr>
        <w:rPr>
          <w:noProof/>
        </w:rPr>
      </w:pPr>
      <w:r>
        <w:rPr>
          <w:b/>
          <w:bCs/>
          <w:noProof/>
        </w:rPr>
        <w:fldChar w:fldCharType="end"/>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7" w:bottom="1134" w:left="1417" w:header="709" w:footer="709" w:gutter="0"/>
          <w:pgNumType w:start="2"/>
          <w:cols w:space="708"/>
          <w:docGrid w:linePitch="360"/>
        </w:sectPr>
      </w:pPr>
    </w:p>
    <w:p>
      <w:pPr>
        <w:keepNext/>
        <w:tabs>
          <w:tab w:val="left" w:pos="0"/>
          <w:tab w:val="left" w:pos="10080"/>
        </w:tabs>
        <w:spacing w:before="360" w:after="120" w:line="240" w:lineRule="auto"/>
        <w:ind w:left="850" w:hanging="850"/>
        <w:jc w:val="both"/>
        <w:outlineLvl w:val="0"/>
        <w:rPr>
          <w:rFonts w:ascii="Times New Roman" w:eastAsia="Times New Roman" w:hAnsi="Times New Roman"/>
          <w:b/>
          <w:smallCaps/>
          <w:noProof/>
          <w:sz w:val="24"/>
        </w:rPr>
      </w:pPr>
      <w:bookmarkStart w:id="2" w:name="_Toc491943953"/>
      <w:r>
        <w:rPr>
          <w:rFonts w:ascii="Times New Roman" w:hAnsi="Times New Roman"/>
          <w:b/>
          <w:smallCaps/>
          <w:noProof/>
          <w:sz w:val="24"/>
        </w:rPr>
        <w:t>1.</w:t>
      </w:r>
      <w:r>
        <w:rPr>
          <w:noProof/>
        </w:rPr>
        <w:tab/>
      </w:r>
      <w:r>
        <w:rPr>
          <w:rFonts w:ascii="Times New Roman" w:hAnsi="Times New Roman"/>
          <w:b/>
          <w:smallCaps/>
          <w:noProof/>
          <w:sz w:val="24"/>
        </w:rPr>
        <w:t>Бюджетна процедура</w:t>
      </w:r>
      <w:bookmarkEnd w:id="2"/>
    </w:p>
    <w:p>
      <w:pPr>
        <w:keepNext/>
        <w:tabs>
          <w:tab w:val="left" w:pos="0"/>
        </w:tabs>
        <w:spacing w:before="240" w:after="120" w:line="240" w:lineRule="auto"/>
        <w:ind w:left="850" w:hanging="850"/>
        <w:jc w:val="both"/>
        <w:outlineLvl w:val="1"/>
        <w:rPr>
          <w:rFonts w:ascii="Times New Roman" w:eastAsia="Times New Roman" w:hAnsi="Times New Roman"/>
          <w:b/>
          <w:noProof/>
          <w:sz w:val="24"/>
        </w:rPr>
      </w:pPr>
      <w:bookmarkStart w:id="3" w:name="_Toc491943954"/>
      <w:r>
        <w:rPr>
          <w:rFonts w:ascii="Times New Roman" w:hAnsi="Times New Roman"/>
          <w:b/>
          <w:noProof/>
          <w:sz w:val="24"/>
        </w:rPr>
        <w:t>1.1.</w:t>
      </w:r>
      <w:r>
        <w:rPr>
          <w:noProof/>
        </w:rPr>
        <w:tab/>
      </w:r>
      <w:r>
        <w:rPr>
          <w:rFonts w:ascii="Times New Roman" w:hAnsi="Times New Roman"/>
          <w:b/>
          <w:noProof/>
          <w:sz w:val="24"/>
        </w:rPr>
        <w:t>Финансова рамка</w:t>
      </w:r>
      <w:bookmarkEnd w:id="3"/>
      <w:r>
        <w:rPr>
          <w:rFonts w:ascii="Times New Roman" w:hAnsi="Times New Roman"/>
          <w:b/>
          <w:noProof/>
          <w:sz w:val="24"/>
        </w:rPr>
        <w:t xml:space="preserve"> </w:t>
      </w:r>
    </w:p>
    <w:p>
      <w:pPr>
        <w:spacing w:before="120" w:after="120" w:line="240" w:lineRule="auto"/>
        <w:ind w:left="840" w:right="-49"/>
        <w:jc w:val="both"/>
        <w:rPr>
          <w:rFonts w:ascii="Times New Roman" w:eastAsia="Times New Roman" w:hAnsi="Times New Roman"/>
          <w:noProof/>
          <w:sz w:val="24"/>
        </w:rPr>
      </w:pPr>
      <w:r>
        <w:rPr>
          <w:rFonts w:ascii="Times New Roman" w:hAnsi="Times New Roman"/>
          <w:noProof/>
          <w:sz w:val="24"/>
        </w:rPr>
        <w:t>Разходите за развитие на селските райони през 2016 г. се финансират в рамките на две многогодишни финансови рамки (МФР): 2007—2013 г. и 2014—2020 г. Финансовата рамка за периода 2014—2020 г. е предвидена в Регламент (ЕС) № 1311/2013 на Съвета. Разпределените средства за развитие на селските райони и разпределените средства за разходи, свързани с пазара, и за преки плащания след годишната техническа корекция на МФР са представени в таблица 1.</w:t>
      </w:r>
    </w:p>
    <w:p>
      <w:pPr>
        <w:tabs>
          <w:tab w:val="left" w:pos="0"/>
        </w:tabs>
        <w:spacing w:before="120" w:after="120" w:line="240" w:lineRule="auto"/>
        <w:jc w:val="both"/>
        <w:rPr>
          <w:rFonts w:ascii="Times New Roman" w:eastAsia="Times New Roman" w:hAnsi="Times New Roman"/>
          <w:noProof/>
          <w:sz w:val="24"/>
        </w:rPr>
      </w:pPr>
    </w:p>
    <w:p>
      <w:pPr>
        <w:tabs>
          <w:tab w:val="left" w:pos="0"/>
        </w:tabs>
        <w:spacing w:before="120" w:after="120" w:line="240" w:lineRule="auto"/>
        <w:jc w:val="both"/>
        <w:rPr>
          <w:rFonts w:ascii="Times New Roman" w:eastAsia="Times New Roman" w:hAnsi="Times New Roman"/>
          <w:noProof/>
          <w:sz w:val="24"/>
        </w:rPr>
      </w:pPr>
      <w:r>
        <w:rPr>
          <w:rFonts w:ascii="Times New Roman" w:hAnsi="Times New Roman"/>
          <w:noProof/>
          <w:sz w:val="24"/>
        </w:rPr>
        <w:t>Таблица 1 — Финансова рамка за периода 2014—2020 г.</w:t>
      </w:r>
    </w:p>
    <w:tbl>
      <w:tblPr>
        <w:tblW w:w="9273" w:type="dxa"/>
        <w:tblLayout w:type="fixed"/>
        <w:tblLook w:val="04A0" w:firstRow="1" w:lastRow="0" w:firstColumn="1" w:lastColumn="0" w:noHBand="0" w:noVBand="1"/>
      </w:tblPr>
      <w:tblGrid>
        <w:gridCol w:w="2857"/>
        <w:gridCol w:w="900"/>
        <w:gridCol w:w="900"/>
        <w:gridCol w:w="900"/>
        <w:gridCol w:w="900"/>
        <w:gridCol w:w="958"/>
        <w:gridCol w:w="958"/>
        <w:gridCol w:w="900"/>
      </w:tblGrid>
      <w:tr>
        <w:trPr>
          <w:trHeight w:val="270"/>
        </w:trPr>
        <w:tc>
          <w:tcPr>
            <w:tcW w:w="2857" w:type="dxa"/>
            <w:tcBorders>
              <w:top w:val="single" w:sz="8" w:space="0" w:color="auto"/>
              <w:left w:val="single" w:sz="8" w:space="0" w:color="auto"/>
              <w:right w:val="single" w:sz="8" w:space="0" w:color="auto"/>
            </w:tcBorders>
            <w:shd w:val="clear" w:color="000000" w:fill="FFFF99"/>
            <w:vAlign w:val="center"/>
          </w:tcPr>
          <w:p>
            <w:pPr>
              <w:spacing w:after="0" w:line="240" w:lineRule="auto"/>
              <w:rPr>
                <w:rFonts w:ascii="Times New Roman" w:eastAsia="Times New Roman" w:hAnsi="Times New Roman"/>
                <w:b/>
                <w:bCs/>
                <w:noProof/>
                <w:sz w:val="20"/>
                <w:szCs w:val="20"/>
              </w:rPr>
            </w:pPr>
            <w:r>
              <w:rPr>
                <w:rFonts w:ascii="Times New Roman" w:hAnsi="Times New Roman"/>
                <w:b/>
                <w:noProof/>
                <w:sz w:val="20"/>
              </w:rPr>
              <w:t>ФУНКЦИЯ 2.</w:t>
            </w:r>
          </w:p>
        </w:tc>
        <w:tc>
          <w:tcPr>
            <w:tcW w:w="6416" w:type="dxa"/>
            <w:gridSpan w:val="7"/>
            <w:tcBorders>
              <w:top w:val="single" w:sz="8" w:space="0" w:color="auto"/>
              <w:left w:val="nil"/>
              <w:bottom w:val="nil"/>
              <w:right w:val="single" w:sz="8" w:space="0" w:color="000000"/>
            </w:tcBorders>
            <w:shd w:val="clear" w:color="000000" w:fill="FFFF99"/>
            <w:vAlign w:val="center"/>
          </w:tcPr>
          <w:p>
            <w:pPr>
              <w:spacing w:after="0" w:line="240" w:lineRule="auto"/>
              <w:jc w:val="center"/>
              <w:rPr>
                <w:rFonts w:ascii="Times New Roman" w:eastAsia="Times New Roman" w:hAnsi="Times New Roman"/>
                <w:bCs/>
                <w:noProof/>
                <w:sz w:val="20"/>
                <w:szCs w:val="20"/>
              </w:rPr>
            </w:pPr>
            <w:r>
              <w:rPr>
                <w:rFonts w:ascii="Times New Roman" w:hAnsi="Times New Roman"/>
                <w:noProof/>
                <w:sz w:val="20"/>
              </w:rPr>
              <w:t>в млн. евро по текущи цени</w:t>
            </w:r>
          </w:p>
        </w:tc>
      </w:tr>
      <w:tr>
        <w:trPr>
          <w:trHeight w:val="510"/>
        </w:trPr>
        <w:tc>
          <w:tcPr>
            <w:tcW w:w="2857" w:type="dxa"/>
            <w:tcBorders>
              <w:top w:val="nil"/>
              <w:left w:val="single" w:sz="8" w:space="0" w:color="auto"/>
              <w:bottom w:val="single" w:sz="4" w:space="0" w:color="auto"/>
              <w:right w:val="single" w:sz="8" w:space="0" w:color="auto"/>
            </w:tcBorders>
            <w:shd w:val="clear" w:color="000000" w:fill="FFFF99"/>
            <w:vAlign w:val="center"/>
          </w:tcPr>
          <w:p>
            <w:pPr>
              <w:spacing w:after="0" w:line="240" w:lineRule="auto"/>
              <w:rPr>
                <w:rFonts w:ascii="Times New Roman" w:eastAsia="Times New Roman" w:hAnsi="Times New Roman"/>
                <w:b/>
                <w:bCs/>
                <w:noProof/>
                <w:sz w:val="18"/>
                <w:szCs w:val="18"/>
              </w:rPr>
            </w:pPr>
            <w:r>
              <w:rPr>
                <w:rFonts w:ascii="Times New Roman" w:hAnsi="Times New Roman"/>
                <w:b/>
                <w:noProof/>
                <w:sz w:val="18"/>
              </w:rPr>
              <w:t>Устойчив растеж: природни ресурси</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2014 г.</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2015 г.</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2016 г.</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2017 г.</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2018 г.</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2019 г.</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2020 г.</w:t>
            </w:r>
          </w:p>
        </w:tc>
      </w:tr>
      <w:tr>
        <w:trPr>
          <w:trHeight w:val="375"/>
        </w:trPr>
        <w:tc>
          <w:tcPr>
            <w:tcW w:w="2857" w:type="dxa"/>
            <w:tcBorders>
              <w:top w:val="single" w:sz="4" w:space="0" w:color="auto"/>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ОБЩО </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49 857</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64 692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64 262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60 191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60 267</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60 344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60 421</w:t>
            </w:r>
          </w:p>
        </w:tc>
      </w:tr>
      <w:tr>
        <w:trPr>
          <w:trHeight w:val="255"/>
        </w:trPr>
        <w:tc>
          <w:tcPr>
            <w:tcW w:w="9273" w:type="dxa"/>
            <w:gridSpan w:val="8"/>
            <w:tcBorders>
              <w:top w:val="dotted" w:sz="4" w:space="0" w:color="auto"/>
              <w:left w:val="single" w:sz="8" w:space="0" w:color="auto"/>
              <w:bottom w:val="dotted" w:sz="4" w:space="0" w:color="auto"/>
              <w:right w:val="single" w:sz="8" w:space="0" w:color="000000"/>
            </w:tcBorders>
            <w:shd w:val="clear" w:color="auto" w:fill="auto"/>
            <w:vAlign w:val="center"/>
          </w:tcPr>
          <w:p>
            <w:pPr>
              <w:spacing w:after="0" w:line="240" w:lineRule="auto"/>
              <w:jc w:val="both"/>
              <w:rPr>
                <w:rFonts w:ascii="Times New Roman" w:eastAsia="Times New Roman" w:hAnsi="Times New Roman"/>
                <w:noProof/>
                <w:sz w:val="18"/>
                <w:szCs w:val="18"/>
              </w:rPr>
            </w:pPr>
            <w:r>
              <w:rPr>
                <w:rFonts w:ascii="Times New Roman" w:hAnsi="Times New Roman"/>
                <w:noProof/>
                <w:sz w:val="18"/>
              </w:rPr>
              <w:t>от които:</w:t>
            </w:r>
          </w:p>
        </w:tc>
      </w:tr>
      <w:tr>
        <w:trPr>
          <w:trHeight w:val="540"/>
        </w:trPr>
        <w:tc>
          <w:tcPr>
            <w:tcW w:w="2857" w:type="dxa"/>
            <w:tcBorders>
              <w:top w:val="nil"/>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18"/>
                <w:szCs w:val="18"/>
              </w:rPr>
            </w:pPr>
            <w:r>
              <w:rPr>
                <w:rFonts w:ascii="Times New Roman" w:hAnsi="Times New Roman"/>
                <w:noProof/>
                <w:sz w:val="18"/>
              </w:rPr>
              <w:t>— за развитие на селските райони</w:t>
            </w:r>
            <w:r>
              <w:rPr>
                <w:rFonts w:ascii="Times New Roman" w:hAnsi="Times New Roman"/>
                <w:noProof/>
                <w:vertAlign w:val="superscript"/>
              </w:rPr>
              <w:t>а), б), в), г), д)</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5299</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18 184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18 684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14 371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14 381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14 330</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14 333</w:t>
            </w:r>
          </w:p>
        </w:tc>
      </w:tr>
      <w:tr>
        <w:trPr>
          <w:trHeight w:val="630"/>
        </w:trPr>
        <w:tc>
          <w:tcPr>
            <w:tcW w:w="2857"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18"/>
                <w:szCs w:val="18"/>
              </w:rPr>
            </w:pPr>
            <w:r>
              <w:rPr>
                <w:rFonts w:ascii="Times New Roman" w:hAnsi="Times New Roman"/>
                <w:noProof/>
                <w:sz w:val="18"/>
              </w:rPr>
              <w:t>— за разходи, свързани с пазара, и преки помощи</w:t>
            </w:r>
            <w:r>
              <w:rPr>
                <w:rFonts w:ascii="Times New Roman" w:hAnsi="Times New Roman"/>
                <w:noProof/>
                <w:vertAlign w:val="superscript"/>
              </w:rPr>
              <w:t>а), б), в), г)</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43 778</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44 190</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43 950</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44 146</w:t>
            </w:r>
          </w:p>
        </w:tc>
        <w:tc>
          <w:tcPr>
            <w:tcW w:w="958"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44 162</w:t>
            </w:r>
          </w:p>
        </w:tc>
        <w:tc>
          <w:tcPr>
            <w:tcW w:w="958"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44 241</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44 263</w:t>
            </w:r>
          </w:p>
        </w:tc>
      </w:tr>
      <w:tr>
        <w:trPr>
          <w:trHeight w:val="255"/>
        </w:trPr>
        <w:tc>
          <w:tcPr>
            <w:tcW w:w="2857"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rPr>
            </w:pPr>
            <w:r>
              <w:rPr>
                <w:rFonts w:ascii="Times New Roman" w:hAnsi="Times New Roman"/>
                <w:noProof/>
                <w:sz w:val="18"/>
              </w:rPr>
              <w:t>а) след нетно прехвърляне на 351,9 млн. евро между ЕФГЗ и ЕЗФРСР за финансовата 2014 година (вж. бележка е) за подробности)</w:t>
            </w:r>
          </w:p>
          <w:p>
            <w:pPr>
              <w:spacing w:after="0" w:line="240" w:lineRule="auto"/>
              <w:jc w:val="both"/>
              <w:rPr>
                <w:rFonts w:ascii="Times New Roman" w:eastAsia="Times New Roman" w:hAnsi="Times New Roman"/>
                <w:noProof/>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rPr>
            </w:pPr>
            <w:r>
              <w:rPr>
                <w:rFonts w:ascii="Times New Roman" w:hAnsi="Times New Roman"/>
                <w:noProof/>
                <w:sz w:val="18"/>
              </w:rPr>
              <w:t>б) след нетно прехвърляне на 51,6 млн. евро между ЕФГЗ и ЕЗФРСР за финансовата 2015 година (вж. бележка е) за подробности)</w:t>
            </w:r>
          </w:p>
          <w:p>
            <w:pPr>
              <w:spacing w:after="0" w:line="240" w:lineRule="auto"/>
              <w:jc w:val="both"/>
              <w:rPr>
                <w:rFonts w:ascii="Times New Roman" w:eastAsia="Times New Roman" w:hAnsi="Times New Roman"/>
                <w:noProof/>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rPr>
            </w:pPr>
            <w:r>
              <w:rPr>
                <w:rFonts w:ascii="Times New Roman" w:hAnsi="Times New Roman"/>
                <w:noProof/>
                <w:sz w:val="18"/>
              </w:rPr>
              <w:t xml:space="preserve">в) след нетно прехвърляне на 28 млн. евро между ЕФГЗ и ЕЗФРСР за финансовите 2014—2020 години (вж. бележка е) за подробности) </w:t>
            </w:r>
          </w:p>
          <w:p>
            <w:pPr>
              <w:spacing w:after="0" w:line="240" w:lineRule="auto"/>
              <w:jc w:val="both"/>
              <w:rPr>
                <w:rFonts w:ascii="Times New Roman" w:eastAsia="Times New Roman" w:hAnsi="Times New Roman"/>
                <w:noProof/>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rPr>
            </w:pPr>
            <w:r>
              <w:rPr>
                <w:rFonts w:ascii="Times New Roman" w:hAnsi="Times New Roman"/>
                <w:noProof/>
                <w:sz w:val="18"/>
              </w:rPr>
              <w:t>г) след нетно прехвърляне на 3577,2 млн. евро между ЕФГЗ и ЕЗФРСР за финансовите 2015—2020 години (вж. бележка е) за подробности)</w:t>
            </w:r>
          </w:p>
          <w:p>
            <w:pPr>
              <w:spacing w:after="0" w:line="240" w:lineRule="auto"/>
              <w:jc w:val="both"/>
              <w:rPr>
                <w:rFonts w:ascii="Times New Roman" w:eastAsia="Times New Roman" w:hAnsi="Times New Roman"/>
                <w:noProof/>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pStyle w:val="Default"/>
              <w:rPr>
                <w:rFonts w:ascii="Times New Roman" w:eastAsia="Times New Roman" w:hAnsi="Times New Roman"/>
                <w:noProof/>
                <w:sz w:val="18"/>
                <w:szCs w:val="18"/>
              </w:rPr>
            </w:pPr>
            <w:r>
              <w:rPr>
                <w:rFonts w:ascii="Times New Roman" w:hAnsi="Times New Roman"/>
                <w:noProof/>
                <w:sz w:val="18"/>
              </w:rPr>
              <w:t>д) след препрограмиране на разпределените средства по линия на ЕЗФРСР за 2014 година вследствие на прилагането на член 19 от Регламент (ЕС) № 1311/2013 за МФР, обща сума в размер на 8705 млн. евро — приспаднати поети задължения за 2014 г. — бе разпределена по равно към поетите задължения за 2015 и 2016 г.</w:t>
            </w: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rPr>
            </w:pPr>
          </w:p>
          <w:p>
            <w:pPr>
              <w:spacing w:after="0" w:line="240" w:lineRule="auto"/>
              <w:jc w:val="both"/>
              <w:rPr>
                <w:rFonts w:ascii="Times New Roman" w:eastAsia="Times New Roman" w:hAnsi="Times New Roman"/>
                <w:noProof/>
                <w:sz w:val="18"/>
                <w:szCs w:val="18"/>
              </w:rPr>
            </w:pPr>
            <w:r>
              <w:rPr>
                <w:rFonts w:ascii="Times New Roman" w:hAnsi="Times New Roman"/>
                <w:noProof/>
                <w:sz w:val="18"/>
              </w:rPr>
              <w:t>е) прехвърлянията за развитие на селските райони (към ЕЗФРСР), посочени в бележки а) — г) по-горе, включват: 4 млн. евро, прехвърляни годишно за целия период 2014—2020 г. от сектора на памука (EL) въз основа на член 66, параграф 1 от Регламент (ЕС) № 1307/2013, 296,3 млн. евро за доброволната корекция, прехвърлени за финансовата 2014 година (UK) въз основа на член 10б и член 10в, параграф 2 от Регламент (ЕО) № 73/2009, 51,6 млн. евро за неизползваните суми, прехвърляни всяка година за финансовите 2014 и 2015 години (SE и DE) въз основа на членове 136 и 136б от Регламент (ЕО) № 73/2009, и 3577,2 млн. евро за намаляването на плащанията и гъвкавостта между стълбовете, въз основа на</w:t>
            </w:r>
            <w:r>
              <w:rPr>
                <w:noProof/>
              </w:rPr>
              <w:t xml:space="preserve"> </w:t>
            </w:r>
            <w:r>
              <w:rPr>
                <w:rFonts w:ascii="Times New Roman" w:hAnsi="Times New Roman"/>
                <w:noProof/>
                <w:sz w:val="18"/>
              </w:rPr>
              <w:t>член 7, параграф 2 и член 14, параграф 1 от Регламент (ЕС) № 1307/2013</w:t>
            </w:r>
          </w:p>
          <w:p>
            <w:pPr>
              <w:spacing w:after="0" w:line="240" w:lineRule="auto"/>
              <w:jc w:val="both"/>
              <w:rPr>
                <w:rFonts w:ascii="Times New Roman" w:eastAsia="Times New Roman" w:hAnsi="Times New Roman"/>
                <w:noProof/>
                <w:sz w:val="18"/>
                <w:szCs w:val="18"/>
              </w:rPr>
            </w:pPr>
          </w:p>
        </w:tc>
      </w:tr>
    </w:tbl>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4" w:name="_Toc491943955"/>
      <w:r>
        <w:rPr>
          <w:rFonts w:ascii="Times New Roman" w:hAnsi="Times New Roman"/>
          <w:b/>
          <w:noProof/>
          <w:sz w:val="24"/>
        </w:rPr>
        <w:t>1.2.</w:t>
      </w:r>
      <w:r>
        <w:rPr>
          <w:noProof/>
        </w:rPr>
        <w:tab/>
      </w:r>
      <w:r>
        <w:rPr>
          <w:rFonts w:ascii="Times New Roman" w:hAnsi="Times New Roman"/>
          <w:b/>
          <w:noProof/>
          <w:sz w:val="24"/>
        </w:rPr>
        <w:t>Проектобюджет за 2016 г.</w:t>
      </w:r>
      <w:bookmarkEnd w:id="4"/>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Проектобюджетът (ПБ) за 2016 г. бе приет от Комисията и предложен на бюджетния орган на 24 юни 2015 г.</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Проектобюджетът включваше 3268 млн. евро бюджетни кредити за плащания за Европейския земеделски фонд за развитие на селските райони (ЕЗФРСР) за програмния период 2007—2013 г. Не бяха поискани бюджетни кредити за поети задължения за 2016 г., тъй като програмният период 2007—2013 г. приключи в края на 2013 г. За програмния период 2014—2020 г. ПБ за 2016 г. включваше 18 672 млн. евро бюджетни кредити за поети задължения и 8594 млн. евро бюджетни кредити за плащания.</w:t>
      </w:r>
    </w:p>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Таблица 2</w:t>
      </w:r>
    </w:p>
    <w:tbl>
      <w:tblPr>
        <w:tblW w:w="816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920"/>
        <w:gridCol w:w="1920"/>
      </w:tblGrid>
      <w:tr>
        <w:trPr>
          <w:trHeight w:val="464"/>
        </w:trPr>
        <w:tc>
          <w:tcPr>
            <w:tcW w:w="8160" w:type="dxa"/>
            <w:gridSpan w:val="3"/>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Проектобюджет за 2016 г.</w:t>
            </w:r>
          </w:p>
        </w:tc>
      </w:tr>
      <w:tr>
        <w:trPr>
          <w:trHeight w:val="763"/>
        </w:trPr>
        <w:tc>
          <w:tcPr>
            <w:tcW w:w="4320" w:type="dxa"/>
            <w:tcBorders>
              <w:bottom w:val="single" w:sz="4" w:space="0" w:color="auto"/>
            </w:tcBorders>
            <w:shd w:val="clear" w:color="auto" w:fill="FFFF99"/>
            <w:vAlign w:val="center"/>
          </w:tcPr>
          <w:p>
            <w:pPr>
              <w:autoSpaceDE w:val="0"/>
              <w:autoSpaceDN w:val="0"/>
              <w:adjustRightInd w:val="0"/>
              <w:spacing w:after="0" w:line="240" w:lineRule="auto"/>
              <w:rPr>
                <w:rFonts w:ascii="Times New Roman" w:eastAsia="Times New Roman" w:hAnsi="Times New Roman"/>
                <w:b/>
                <w:noProof/>
              </w:rPr>
            </w:pPr>
            <w:r>
              <w:rPr>
                <w:rFonts w:ascii="Times New Roman" w:hAnsi="Times New Roman"/>
                <w:b/>
                <w:noProof/>
              </w:rPr>
              <w:t>Бюджетна позиция</w:t>
            </w:r>
          </w:p>
        </w:tc>
        <w:tc>
          <w:tcPr>
            <w:tcW w:w="1920" w:type="dxa"/>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Бюджетни кредити за поети задължения</w:t>
            </w:r>
            <w:r>
              <w:rPr>
                <w:rFonts w:ascii="Times New Roman" w:eastAsia="Times New Roman" w:hAnsi="Times New Roman"/>
                <w:b/>
                <w:noProof/>
              </w:rPr>
              <w:br/>
            </w:r>
            <w:r>
              <w:rPr>
                <w:rFonts w:ascii="Times New Roman" w:hAnsi="Times New Roman"/>
                <w:noProof/>
                <w:sz w:val="18"/>
              </w:rPr>
              <w:t>(в евро)</w:t>
            </w:r>
          </w:p>
        </w:tc>
        <w:tc>
          <w:tcPr>
            <w:tcW w:w="1920" w:type="dxa"/>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Бюджетни кредити за плащания</w:t>
            </w:r>
            <w:r>
              <w:rPr>
                <w:rFonts w:ascii="Times New Roman" w:eastAsia="Times New Roman" w:hAnsi="Times New Roman"/>
                <w:b/>
                <w:noProof/>
              </w:rPr>
              <w:br/>
            </w:r>
            <w:r>
              <w:rPr>
                <w:rFonts w:ascii="Times New Roman" w:hAnsi="Times New Roman"/>
                <w:noProof/>
                <w:sz w:val="18"/>
              </w:rPr>
              <w:t>(в евро)</w:t>
            </w:r>
          </w:p>
        </w:tc>
      </w:tr>
      <w:tr>
        <w:trPr>
          <w:trHeight w:val="416"/>
        </w:trPr>
        <w:tc>
          <w:tcPr>
            <w:tcW w:w="8160" w:type="dxa"/>
            <w:gridSpan w:val="3"/>
            <w:shd w:val="clear" w:color="auto" w:fill="auto"/>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2007—2013 г.</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 xml:space="preserve">05.040501 (Програми за развитие на селските райони) </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3 268 000 000</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05.040502 (Оперативна техническа помощ)</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w:t>
            </w:r>
          </w:p>
        </w:tc>
      </w:tr>
      <w:tr>
        <w:trPr>
          <w:trHeight w:val="296"/>
        </w:trPr>
        <w:tc>
          <w:tcPr>
            <w:tcW w:w="8160" w:type="dxa"/>
            <w:gridSpan w:val="3"/>
            <w:shd w:val="clear" w:color="auto" w:fill="auto"/>
            <w:vAlign w:val="center"/>
          </w:tcPr>
          <w:p>
            <w:pPr>
              <w:autoSpaceDE w:val="0"/>
              <w:autoSpaceDN w:val="0"/>
              <w:adjustRightInd w:val="0"/>
              <w:spacing w:before="100" w:after="100" w:line="240" w:lineRule="auto"/>
              <w:jc w:val="center"/>
              <w:rPr>
                <w:noProof/>
              </w:rPr>
            </w:pPr>
            <w:r>
              <w:rPr>
                <w:rFonts w:ascii="Times New Roman" w:hAnsi="Times New Roman"/>
                <w:b/>
                <w:noProof/>
              </w:rPr>
              <w:t>2014—2020 г.</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05.046001 (Програми за развитие на селските райони)</w:t>
            </w:r>
          </w:p>
        </w:tc>
        <w:tc>
          <w:tcPr>
            <w:tcW w:w="1920" w:type="dxa"/>
            <w:shd w:val="clear" w:color="auto" w:fill="auto"/>
            <w:vAlign w:val="center"/>
          </w:tcPr>
          <w:p>
            <w:pPr>
              <w:autoSpaceDE w:val="0"/>
              <w:autoSpaceDN w:val="0"/>
              <w:adjustRightInd w:val="0"/>
              <w:spacing w:before="100" w:after="100" w:line="240" w:lineRule="auto"/>
              <w:jc w:val="right"/>
              <w:rPr>
                <w:noProof/>
              </w:rPr>
            </w:pPr>
            <w:r>
              <w:rPr>
                <w:rFonts w:ascii="Times New Roman" w:hAnsi="Times New Roman"/>
                <w:noProof/>
              </w:rPr>
              <w:t>18 650 559 495</w:t>
            </w:r>
          </w:p>
        </w:tc>
        <w:tc>
          <w:tcPr>
            <w:tcW w:w="1920" w:type="dxa"/>
            <w:shd w:val="clear" w:color="auto" w:fill="auto"/>
            <w:vAlign w:val="center"/>
          </w:tcPr>
          <w:p>
            <w:pPr>
              <w:autoSpaceDE w:val="0"/>
              <w:autoSpaceDN w:val="0"/>
              <w:adjustRightInd w:val="0"/>
              <w:spacing w:before="100" w:after="100" w:line="240" w:lineRule="auto"/>
              <w:jc w:val="right"/>
              <w:rPr>
                <w:noProof/>
              </w:rPr>
            </w:pPr>
            <w:r>
              <w:rPr>
                <w:rFonts w:ascii="Times New Roman" w:hAnsi="Times New Roman"/>
                <w:noProof/>
              </w:rPr>
              <w:t>8 574 000 000</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05.046002 (Оперативна техническа помощ)</w:t>
            </w:r>
          </w:p>
        </w:tc>
        <w:tc>
          <w:tcPr>
            <w:tcW w:w="1920" w:type="dxa"/>
            <w:shd w:val="clear" w:color="auto" w:fill="auto"/>
            <w:vAlign w:val="center"/>
          </w:tcPr>
          <w:p>
            <w:pPr>
              <w:autoSpaceDE w:val="0"/>
              <w:autoSpaceDN w:val="0"/>
              <w:adjustRightInd w:val="0"/>
              <w:spacing w:before="100" w:after="100" w:line="240" w:lineRule="auto"/>
              <w:jc w:val="right"/>
              <w:rPr>
                <w:noProof/>
              </w:rPr>
            </w:pPr>
            <w:r>
              <w:rPr>
                <w:rFonts w:ascii="Times New Roman" w:hAnsi="Times New Roman"/>
                <w:noProof/>
              </w:rPr>
              <w:t>21 363 000</w:t>
            </w:r>
          </w:p>
        </w:tc>
        <w:tc>
          <w:tcPr>
            <w:tcW w:w="1920" w:type="dxa"/>
            <w:shd w:val="clear" w:color="auto" w:fill="auto"/>
            <w:vAlign w:val="center"/>
          </w:tcPr>
          <w:p>
            <w:pPr>
              <w:autoSpaceDE w:val="0"/>
              <w:autoSpaceDN w:val="0"/>
              <w:adjustRightInd w:val="0"/>
              <w:spacing w:before="100" w:after="100" w:line="240" w:lineRule="auto"/>
              <w:jc w:val="right"/>
              <w:rPr>
                <w:noProof/>
              </w:rPr>
            </w:pPr>
            <w:r>
              <w:rPr>
                <w:rFonts w:ascii="Times New Roman" w:hAnsi="Times New Roman"/>
                <w:noProof/>
              </w:rPr>
              <w:t>20 025 443</w:t>
            </w:r>
          </w:p>
        </w:tc>
      </w:tr>
    </w:tbl>
    <w:p>
      <w:pPr>
        <w:spacing w:before="120" w:after="120" w:line="240" w:lineRule="auto"/>
        <w:ind w:left="850" w:right="749"/>
        <w:jc w:val="both"/>
        <w:rPr>
          <w:rFonts w:ascii="Times New Roman" w:eastAsia="Times New Roman" w:hAnsi="Times New Roman"/>
          <w:noProof/>
          <w:sz w:val="24"/>
        </w:rPr>
      </w:pP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Съветът прие своята позиция относно проектобюджета за 2016 г. на 4 септември 2015 г., а Европейският парламент прие позицията си на 28 октомври 2015 г. Наложи се да бъде свикан Помирителният комитет, който постигна споразумение по общ проект в рамките на срока от 21 дни. Съветът одобри общия проект на 24 ноември 2015 г., а Европейският парламент го одобри на 25 ноември 2015 г.</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Бюджетът за 2016 г. беше окончателно приет на 25 ноември 2015 г. Той предвиждаше намаляване на бюджетните кредити за плащания за ЕЗФРСР със 120 млн. евро, от които 33 млн. евро за програмния период 2007—2013 г. и 87 млн. евро за периода 2014—2020 г.</w:t>
      </w: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5" w:name="_Toc491943956"/>
      <w:r>
        <w:rPr>
          <w:rFonts w:ascii="Times New Roman" w:hAnsi="Times New Roman"/>
          <w:b/>
          <w:noProof/>
          <w:sz w:val="24"/>
        </w:rPr>
        <w:t>1.3.</w:t>
      </w:r>
      <w:r>
        <w:rPr>
          <w:noProof/>
        </w:rPr>
        <w:tab/>
      </w:r>
      <w:r>
        <w:rPr>
          <w:rFonts w:ascii="Times New Roman" w:hAnsi="Times New Roman"/>
          <w:b/>
          <w:noProof/>
          <w:sz w:val="24"/>
        </w:rPr>
        <w:t>Приемане на бюджета за 2016 г.</w:t>
      </w:r>
      <w:bookmarkEnd w:id="5"/>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По отношение на ЕЗФРСР одобреният на 25 ноември 2015 г. бюджет за 2016 г. включваше в глава 05 04 сума в размер на 3235 млн. евро бюджетни кредити за плащания за програмния период 2007—2013 г. и суми в размер на 18 672 млн. евро бюджетни кредити за поети задължения и 8507 млн. евро бюджетни кредити за плащания за периода 2014—2020 г.</w:t>
      </w:r>
    </w:p>
    <w:p>
      <w:pPr>
        <w:spacing w:before="120" w:after="120" w:line="240" w:lineRule="auto"/>
        <w:ind w:left="850" w:right="71"/>
        <w:jc w:val="both"/>
        <w:rPr>
          <w:rFonts w:ascii="Times New Roman" w:eastAsia="Times New Roman" w:hAnsi="Times New Roman"/>
          <w:noProof/>
          <w:sz w:val="24"/>
        </w:rPr>
      </w:pPr>
      <w:r>
        <w:rPr>
          <w:noProof/>
        </w:rPr>
        <w:br w:type="page"/>
      </w:r>
      <w:r>
        <w:rPr>
          <w:rFonts w:ascii="Times New Roman" w:hAnsi="Times New Roman"/>
          <w:noProof/>
          <w:sz w:val="24"/>
        </w:rPr>
        <w:t>Таблица 3</w:t>
      </w:r>
    </w:p>
    <w:tbl>
      <w:tblPr>
        <w:tblW w:w="8148"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8"/>
        <w:gridCol w:w="1780"/>
        <w:gridCol w:w="20"/>
        <w:gridCol w:w="2020"/>
      </w:tblGrid>
      <w:tr>
        <w:trPr>
          <w:trHeight w:val="763"/>
        </w:trPr>
        <w:tc>
          <w:tcPr>
            <w:tcW w:w="8148" w:type="dxa"/>
            <w:gridSpan w:val="4"/>
            <w:shd w:val="clear" w:color="auto" w:fill="FFFF99"/>
            <w:vAlign w:val="center"/>
          </w:tcPr>
          <w:p>
            <w:pPr>
              <w:keepNext/>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Приет бюджет за 2016 г.</w:t>
            </w:r>
          </w:p>
        </w:tc>
      </w:tr>
      <w:tr>
        <w:trPr>
          <w:trHeight w:val="763"/>
        </w:trPr>
        <w:tc>
          <w:tcPr>
            <w:tcW w:w="4328" w:type="dxa"/>
            <w:tcBorders>
              <w:bottom w:val="single" w:sz="4" w:space="0" w:color="auto"/>
            </w:tcBorders>
            <w:shd w:val="clear" w:color="auto" w:fill="FFFF99"/>
            <w:vAlign w:val="center"/>
          </w:tcPr>
          <w:p>
            <w:pPr>
              <w:autoSpaceDE w:val="0"/>
              <w:autoSpaceDN w:val="0"/>
              <w:adjustRightInd w:val="0"/>
              <w:spacing w:after="0" w:line="240" w:lineRule="auto"/>
              <w:rPr>
                <w:rFonts w:ascii="Times New Roman" w:eastAsia="Times New Roman" w:hAnsi="Times New Roman"/>
                <w:b/>
                <w:noProof/>
              </w:rPr>
            </w:pPr>
            <w:r>
              <w:rPr>
                <w:rFonts w:ascii="Times New Roman" w:hAnsi="Times New Roman"/>
                <w:b/>
                <w:noProof/>
              </w:rPr>
              <w:t>Бюджетна позиция</w:t>
            </w:r>
          </w:p>
        </w:tc>
        <w:tc>
          <w:tcPr>
            <w:tcW w:w="1780" w:type="dxa"/>
            <w:tcBorders>
              <w:bottom w:val="single" w:sz="4" w:space="0" w:color="auto"/>
            </w:tcBorders>
            <w:shd w:val="clear" w:color="auto" w:fill="FFFF99"/>
            <w:vAlign w:val="center"/>
          </w:tcPr>
          <w:p>
            <w:pPr>
              <w:keepNext/>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Бюджетни кредити за поети задължения</w:t>
            </w:r>
            <w:r>
              <w:rPr>
                <w:rFonts w:ascii="Times New Roman" w:eastAsia="Times New Roman" w:hAnsi="Times New Roman"/>
                <w:b/>
                <w:noProof/>
              </w:rPr>
              <w:br/>
            </w:r>
            <w:r>
              <w:rPr>
                <w:rFonts w:ascii="Times New Roman" w:hAnsi="Times New Roman"/>
                <w:noProof/>
                <w:sz w:val="18"/>
              </w:rPr>
              <w:t>(в евро)</w:t>
            </w:r>
          </w:p>
        </w:tc>
        <w:tc>
          <w:tcPr>
            <w:tcW w:w="2040" w:type="dxa"/>
            <w:gridSpan w:val="2"/>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Бюджетни кредити за плащания</w:t>
            </w:r>
            <w:r>
              <w:rPr>
                <w:rFonts w:ascii="Times New Roman" w:eastAsia="Times New Roman" w:hAnsi="Times New Roman"/>
                <w:b/>
                <w:noProof/>
              </w:rPr>
              <w:br/>
            </w:r>
            <w:r>
              <w:rPr>
                <w:rFonts w:ascii="Times New Roman" w:hAnsi="Times New Roman"/>
                <w:noProof/>
                <w:sz w:val="18"/>
              </w:rPr>
              <w:t>(в евро)</w:t>
            </w:r>
          </w:p>
        </w:tc>
      </w:tr>
      <w:tr>
        <w:trPr>
          <w:trHeight w:val="452"/>
        </w:trPr>
        <w:tc>
          <w:tcPr>
            <w:tcW w:w="8148" w:type="dxa"/>
            <w:gridSpan w:val="4"/>
            <w:shd w:val="clear" w:color="auto" w:fill="auto"/>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2007—2013 г.</w:t>
            </w:r>
          </w:p>
        </w:tc>
      </w:tr>
      <w:tr>
        <w:tc>
          <w:tcPr>
            <w:tcW w:w="4328"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 xml:space="preserve">05.040501 (Програми за развитие на селските райони) </w:t>
            </w:r>
          </w:p>
        </w:tc>
        <w:tc>
          <w:tcPr>
            <w:tcW w:w="1780" w:type="dxa"/>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 xml:space="preserve">— </w:t>
            </w:r>
          </w:p>
        </w:tc>
        <w:tc>
          <w:tcPr>
            <w:tcW w:w="2040" w:type="dxa"/>
            <w:gridSpan w:val="2"/>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3 235 000 000</w:t>
            </w:r>
          </w:p>
        </w:tc>
      </w:tr>
      <w:tr>
        <w:tc>
          <w:tcPr>
            <w:tcW w:w="4328"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05.040502 (Оперативна техническа помощ)</w:t>
            </w:r>
          </w:p>
        </w:tc>
        <w:tc>
          <w:tcPr>
            <w:tcW w:w="1780" w:type="dxa"/>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 xml:space="preserve">— </w:t>
            </w:r>
          </w:p>
        </w:tc>
        <w:tc>
          <w:tcPr>
            <w:tcW w:w="2040" w:type="dxa"/>
            <w:gridSpan w:val="2"/>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w:t>
            </w:r>
          </w:p>
        </w:tc>
      </w:tr>
      <w:tr>
        <w:tc>
          <w:tcPr>
            <w:tcW w:w="8148" w:type="dxa"/>
            <w:gridSpan w:val="4"/>
            <w:shd w:val="clear" w:color="auto" w:fill="auto"/>
            <w:vAlign w:val="center"/>
          </w:tcPr>
          <w:p>
            <w:pPr>
              <w:autoSpaceDE w:val="0"/>
              <w:autoSpaceDN w:val="0"/>
              <w:adjustRightInd w:val="0"/>
              <w:spacing w:before="100" w:after="100" w:line="240" w:lineRule="auto"/>
              <w:jc w:val="center"/>
              <w:rPr>
                <w:rFonts w:ascii="Times New Roman" w:eastAsia="Times New Roman" w:hAnsi="Times New Roman"/>
                <w:noProof/>
              </w:rPr>
            </w:pPr>
            <w:r>
              <w:rPr>
                <w:rFonts w:ascii="Times New Roman" w:hAnsi="Times New Roman"/>
                <w:b/>
                <w:noProof/>
              </w:rPr>
              <w:t>2014—2020 г.</w:t>
            </w:r>
          </w:p>
        </w:tc>
      </w:tr>
      <w:tr>
        <w:tc>
          <w:tcPr>
            <w:tcW w:w="4328"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05.046001 (Програми за развитие на селските райони)</w:t>
            </w:r>
          </w:p>
        </w:tc>
        <w:tc>
          <w:tcPr>
            <w:tcW w:w="1800" w:type="dxa"/>
            <w:gridSpan w:val="2"/>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18 650 559 495</w:t>
            </w:r>
          </w:p>
        </w:tc>
        <w:tc>
          <w:tcPr>
            <w:tcW w:w="20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8 487 000 000</w:t>
            </w:r>
          </w:p>
        </w:tc>
      </w:tr>
      <w:tr>
        <w:tc>
          <w:tcPr>
            <w:tcW w:w="4328"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05.046002 (Оперативна техническа помощ)</w:t>
            </w:r>
          </w:p>
        </w:tc>
        <w:tc>
          <w:tcPr>
            <w:tcW w:w="1800" w:type="dxa"/>
            <w:gridSpan w:val="2"/>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21 363 000</w:t>
            </w:r>
          </w:p>
        </w:tc>
        <w:tc>
          <w:tcPr>
            <w:tcW w:w="20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20 025 443</w:t>
            </w:r>
          </w:p>
        </w:tc>
      </w:tr>
    </w:tbl>
    <w:p>
      <w:pPr>
        <w:spacing w:before="120" w:after="120" w:line="240" w:lineRule="auto"/>
        <w:ind w:left="850"/>
        <w:jc w:val="both"/>
        <w:rPr>
          <w:rFonts w:ascii="Times New Roman" w:eastAsia="Times New Roman" w:hAnsi="Times New Roman"/>
          <w:noProof/>
          <w:sz w:val="24"/>
        </w:rPr>
      </w:pP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6" w:name="_Toc491943957"/>
      <w:r>
        <w:rPr>
          <w:rFonts w:ascii="Times New Roman" w:hAnsi="Times New Roman"/>
          <w:b/>
          <w:noProof/>
          <w:sz w:val="24"/>
        </w:rPr>
        <w:t>1.4.</w:t>
      </w:r>
      <w:r>
        <w:rPr>
          <w:noProof/>
        </w:rPr>
        <w:tab/>
      </w:r>
      <w:r>
        <w:rPr>
          <w:rFonts w:ascii="Times New Roman" w:hAnsi="Times New Roman"/>
          <w:b/>
          <w:noProof/>
          <w:sz w:val="24"/>
        </w:rPr>
        <w:t>Приемане на коригиращите бюджети</w:t>
      </w:r>
      <w:bookmarkEnd w:id="6"/>
    </w:p>
    <w:p>
      <w:pPr>
        <w:spacing w:before="120" w:after="120" w:line="240" w:lineRule="auto"/>
        <w:ind w:left="850"/>
        <w:jc w:val="both"/>
        <w:rPr>
          <w:rFonts w:ascii="Times New Roman" w:eastAsia="Times New Roman" w:hAnsi="Times New Roman"/>
          <w:noProof/>
          <w:sz w:val="24"/>
          <w:highlight w:val="yellow"/>
        </w:rPr>
      </w:pPr>
      <w:r>
        <w:rPr>
          <w:rFonts w:ascii="Times New Roman" w:hAnsi="Times New Roman"/>
          <w:noProof/>
          <w:sz w:val="24"/>
        </w:rPr>
        <w:t>Нито един от коригиращите бюджети не засягаше ЕЗФРСР.</w:t>
      </w:r>
    </w:p>
    <w:p>
      <w:pPr>
        <w:keepNext/>
        <w:tabs>
          <w:tab w:val="left" w:pos="850"/>
        </w:tabs>
        <w:spacing w:before="360" w:after="120" w:line="240" w:lineRule="auto"/>
        <w:ind w:left="850" w:hanging="850"/>
        <w:jc w:val="both"/>
        <w:outlineLvl w:val="0"/>
        <w:rPr>
          <w:rFonts w:ascii="Times New Roman" w:eastAsia="Times New Roman" w:hAnsi="Times New Roman"/>
          <w:b/>
          <w:smallCaps/>
          <w:noProof/>
          <w:sz w:val="24"/>
        </w:rPr>
      </w:pPr>
      <w:bookmarkStart w:id="7" w:name="_Toc491943958"/>
      <w:r>
        <w:rPr>
          <w:rFonts w:ascii="Times New Roman" w:hAnsi="Times New Roman"/>
          <w:b/>
          <w:smallCaps/>
          <w:noProof/>
          <w:sz w:val="24"/>
        </w:rPr>
        <w:t>2.</w:t>
      </w:r>
      <w:r>
        <w:rPr>
          <w:noProof/>
        </w:rPr>
        <w:tab/>
      </w:r>
      <w:r>
        <w:rPr>
          <w:rFonts w:ascii="Times New Roman" w:hAnsi="Times New Roman"/>
          <w:b/>
          <w:smallCaps/>
          <w:noProof/>
          <w:sz w:val="24"/>
        </w:rPr>
        <w:t>Управление на бюджетните кредити</w:t>
      </w:r>
      <w:bookmarkEnd w:id="7"/>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8" w:name="_Toc491943959"/>
      <w:r>
        <w:rPr>
          <w:rFonts w:ascii="Times New Roman" w:hAnsi="Times New Roman"/>
          <w:b/>
          <w:noProof/>
          <w:sz w:val="24"/>
        </w:rPr>
        <w:t>2.1.</w:t>
      </w:r>
      <w:r>
        <w:rPr>
          <w:noProof/>
        </w:rPr>
        <w:tab/>
      </w:r>
      <w:r>
        <w:rPr>
          <w:rFonts w:ascii="Times New Roman" w:hAnsi="Times New Roman"/>
          <w:b/>
          <w:noProof/>
          <w:sz w:val="24"/>
        </w:rPr>
        <w:t>Управление на бюджетните кредити за поети задължения</w:t>
      </w:r>
      <w:bookmarkEnd w:id="8"/>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9" w:name="_Toc491943960"/>
      <w:r>
        <w:rPr>
          <w:rFonts w:ascii="Times New Roman" w:hAnsi="Times New Roman"/>
          <w:i/>
          <w:noProof/>
          <w:sz w:val="24"/>
        </w:rPr>
        <w:t>2.1.1.</w:t>
      </w:r>
      <w:r>
        <w:rPr>
          <w:noProof/>
        </w:rPr>
        <w:tab/>
      </w:r>
      <w:r>
        <w:rPr>
          <w:rFonts w:ascii="Times New Roman" w:hAnsi="Times New Roman"/>
          <w:i/>
          <w:noProof/>
          <w:sz w:val="24"/>
        </w:rPr>
        <w:t>Програми за развитие на селските райони по ЕЗФРСР</w:t>
      </w:r>
      <w:bookmarkEnd w:id="9"/>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По отношение на бюджетните кредити за поети задължения одобреният бюджет за 2016 г. възлизаше на 18 651 млн. евро, всичките свързани с програмите за периода 2014—2020 г.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Бюджетът за 2016 г. не включваше бюджетни кредити за поети задължения за програмите по ЕЗФРСР за периода 2007—2013 г.</w:t>
      </w:r>
    </w:p>
    <w:p>
      <w:pPr>
        <w:keepNext/>
        <w:keepLines/>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Таблица 4</w:t>
      </w:r>
    </w:p>
    <w:tbl>
      <w:tblPr>
        <w:tblW w:w="8341"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1920"/>
        <w:gridCol w:w="1861"/>
      </w:tblGrid>
      <w:tr>
        <w:trPr>
          <w:trHeight w:val="763"/>
        </w:trPr>
        <w:tc>
          <w:tcPr>
            <w:tcW w:w="4560" w:type="dxa"/>
            <w:shd w:val="clear" w:color="auto" w:fill="FFFF99"/>
            <w:vAlign w:val="center"/>
          </w:tcPr>
          <w:p>
            <w:pPr>
              <w:keepNext/>
              <w:keepLines/>
              <w:autoSpaceDE w:val="0"/>
              <w:autoSpaceDN w:val="0"/>
              <w:adjustRightInd w:val="0"/>
              <w:spacing w:before="120" w:after="0" w:line="240" w:lineRule="auto"/>
              <w:jc w:val="center"/>
              <w:rPr>
                <w:rFonts w:ascii="Times New Roman" w:eastAsia="Times New Roman" w:hAnsi="Times New Roman"/>
                <w:b/>
                <w:noProof/>
              </w:rPr>
            </w:pPr>
            <w:r>
              <w:rPr>
                <w:rFonts w:ascii="Times New Roman" w:hAnsi="Times New Roman"/>
                <w:b/>
                <w:noProof/>
              </w:rPr>
              <w:t>Управление на бюджетните кредити за поети задължения през 2016 г. — ЕЗФРСР</w:t>
            </w:r>
          </w:p>
        </w:tc>
        <w:tc>
          <w:tcPr>
            <w:tcW w:w="1920" w:type="dxa"/>
            <w:shd w:val="clear" w:color="auto" w:fill="FFFF99"/>
            <w:vAlign w:val="center"/>
          </w:tcPr>
          <w:p>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Бюджетна позиция</w:t>
            </w:r>
          </w:p>
          <w:p>
            <w:pPr>
              <w:keepNext/>
              <w:keepLines/>
              <w:autoSpaceDE w:val="0"/>
              <w:autoSpaceDN w:val="0"/>
              <w:adjustRightInd w:val="0"/>
              <w:spacing w:after="0" w:line="240" w:lineRule="auto"/>
              <w:jc w:val="center"/>
              <w:rPr>
                <w:rFonts w:ascii="Times New Roman" w:eastAsia="Times New Roman" w:hAnsi="Times New Roman"/>
                <w:b/>
                <w:noProof/>
                <w:sz w:val="20"/>
              </w:rPr>
            </w:pPr>
            <w:r>
              <w:rPr>
                <w:rFonts w:ascii="Times New Roman" w:hAnsi="Times New Roman"/>
                <w:b/>
                <w:noProof/>
                <w:sz w:val="20"/>
              </w:rPr>
              <w:t>05.040501</w:t>
            </w:r>
          </w:p>
          <w:p>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sz w:val="20"/>
              </w:rPr>
              <w:t>(суми в евро)</w:t>
            </w:r>
          </w:p>
        </w:tc>
        <w:tc>
          <w:tcPr>
            <w:tcW w:w="1861" w:type="dxa"/>
            <w:shd w:val="clear" w:color="auto" w:fill="FFFF99"/>
          </w:tcPr>
          <w:p>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Бюджетна позиция</w:t>
            </w:r>
          </w:p>
          <w:p>
            <w:pPr>
              <w:keepNext/>
              <w:keepLines/>
              <w:autoSpaceDE w:val="0"/>
              <w:autoSpaceDN w:val="0"/>
              <w:adjustRightInd w:val="0"/>
              <w:spacing w:after="0" w:line="240" w:lineRule="auto"/>
              <w:jc w:val="center"/>
              <w:rPr>
                <w:rFonts w:ascii="Times New Roman" w:eastAsia="Times New Roman" w:hAnsi="Times New Roman"/>
                <w:b/>
                <w:noProof/>
                <w:sz w:val="20"/>
              </w:rPr>
            </w:pPr>
            <w:r>
              <w:rPr>
                <w:rFonts w:ascii="Times New Roman" w:hAnsi="Times New Roman"/>
                <w:b/>
                <w:noProof/>
                <w:sz w:val="20"/>
              </w:rPr>
              <w:t>05.046001</w:t>
            </w:r>
          </w:p>
          <w:p>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sz w:val="20"/>
              </w:rPr>
              <w:t>(суми в евро)</w:t>
            </w:r>
          </w:p>
        </w:tc>
      </w:tr>
      <w:tr>
        <w:tc>
          <w:tcPr>
            <w:tcW w:w="4560" w:type="dxa"/>
            <w:shd w:val="clear" w:color="auto" w:fill="auto"/>
            <w:vAlign w:val="center"/>
          </w:tcPr>
          <w:p>
            <w:pPr>
              <w:keepNext/>
              <w:keepLines/>
              <w:autoSpaceDE w:val="0"/>
              <w:autoSpaceDN w:val="0"/>
              <w:adjustRightInd w:val="0"/>
              <w:spacing w:before="120" w:after="0" w:line="240" w:lineRule="auto"/>
              <w:rPr>
                <w:rFonts w:ascii="Times New Roman" w:eastAsia="Times New Roman" w:hAnsi="Times New Roman"/>
                <w:noProof/>
              </w:rPr>
            </w:pPr>
            <w:r>
              <w:rPr>
                <w:rFonts w:ascii="Times New Roman" w:hAnsi="Times New Roman"/>
                <w:noProof/>
              </w:rPr>
              <w:t>Бюджетни кредити в началото на 2016 г.</w:t>
            </w:r>
          </w:p>
        </w:tc>
        <w:tc>
          <w:tcPr>
            <w:tcW w:w="1920" w:type="dxa"/>
            <w:shd w:val="clear" w:color="auto" w:fill="auto"/>
            <w:vAlign w:val="center"/>
          </w:tcPr>
          <w:p>
            <w:pPr>
              <w:keepNext/>
              <w:keepLines/>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w:t>
            </w:r>
          </w:p>
        </w:tc>
        <w:tc>
          <w:tcPr>
            <w:tcW w:w="1861" w:type="dxa"/>
          </w:tcPr>
          <w:p>
            <w:pPr>
              <w:keepNext/>
              <w:keepLines/>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18 650 559 495</w:t>
            </w:r>
          </w:p>
        </w:tc>
      </w:tr>
      <w:tr>
        <w:tc>
          <w:tcPr>
            <w:tcW w:w="4560" w:type="dxa"/>
            <w:shd w:val="clear" w:color="auto" w:fill="auto"/>
            <w:vAlign w:val="center"/>
          </w:tcPr>
          <w:p>
            <w:pPr>
              <w:autoSpaceDE w:val="0"/>
              <w:autoSpaceDN w:val="0"/>
              <w:adjustRightInd w:val="0"/>
              <w:spacing w:before="120" w:after="0" w:line="240" w:lineRule="auto"/>
              <w:rPr>
                <w:rFonts w:ascii="Times New Roman" w:eastAsia="Times New Roman" w:hAnsi="Times New Roman"/>
                <w:b/>
                <w:noProof/>
              </w:rPr>
            </w:pPr>
            <w:r>
              <w:rPr>
                <w:rFonts w:ascii="Times New Roman" w:hAnsi="Times New Roman"/>
                <w:b/>
                <w:noProof/>
              </w:rPr>
              <w:t>Налични бюджетни кредити през 2016 г.</w:t>
            </w:r>
          </w:p>
        </w:tc>
        <w:tc>
          <w:tcPr>
            <w:tcW w:w="1920" w:type="dxa"/>
            <w:shd w:val="clear" w:color="auto" w:fill="auto"/>
          </w:tcPr>
          <w:p>
            <w:pPr>
              <w:autoSpaceDE w:val="0"/>
              <w:autoSpaceDN w:val="0"/>
              <w:adjustRightInd w:val="0"/>
              <w:spacing w:before="120" w:after="0" w:line="240" w:lineRule="auto"/>
              <w:jc w:val="right"/>
              <w:rPr>
                <w:rFonts w:ascii="Times New Roman" w:eastAsia="Times New Roman" w:hAnsi="Times New Roman"/>
                <w:b/>
                <w:noProof/>
              </w:rPr>
            </w:pPr>
            <w:r>
              <w:rPr>
                <w:rFonts w:ascii="Times New Roman" w:hAnsi="Times New Roman"/>
                <w:b/>
                <w:noProof/>
              </w:rPr>
              <w:t>—</w:t>
            </w:r>
          </w:p>
        </w:tc>
        <w:tc>
          <w:tcPr>
            <w:tcW w:w="1861" w:type="dxa"/>
          </w:tcPr>
          <w:p>
            <w:pPr>
              <w:autoSpaceDE w:val="0"/>
              <w:autoSpaceDN w:val="0"/>
              <w:adjustRightInd w:val="0"/>
              <w:spacing w:before="120" w:after="0" w:line="240" w:lineRule="auto"/>
              <w:jc w:val="right"/>
              <w:rPr>
                <w:rFonts w:ascii="Times New Roman" w:eastAsia="Times New Roman" w:hAnsi="Times New Roman"/>
                <w:b/>
                <w:noProof/>
              </w:rPr>
            </w:pPr>
            <w:r>
              <w:rPr>
                <w:rFonts w:ascii="Times New Roman" w:hAnsi="Times New Roman"/>
                <w:b/>
                <w:noProof/>
              </w:rPr>
              <w:t>18 650 559 495</w:t>
            </w:r>
          </w:p>
        </w:tc>
      </w:tr>
      <w:tr>
        <w:tc>
          <w:tcPr>
            <w:tcW w:w="4560" w:type="dxa"/>
            <w:shd w:val="clear" w:color="auto" w:fill="auto"/>
            <w:vAlign w:val="center"/>
          </w:tcPr>
          <w:p>
            <w:pPr>
              <w:autoSpaceDE w:val="0"/>
              <w:autoSpaceDN w:val="0"/>
              <w:adjustRightInd w:val="0"/>
              <w:spacing w:before="120" w:after="0" w:line="240" w:lineRule="auto"/>
              <w:rPr>
                <w:rFonts w:ascii="Times New Roman" w:eastAsia="Times New Roman" w:hAnsi="Times New Roman"/>
                <w:noProof/>
              </w:rPr>
            </w:pPr>
            <w:r>
              <w:rPr>
                <w:rFonts w:ascii="Times New Roman" w:hAnsi="Times New Roman"/>
                <w:noProof/>
              </w:rPr>
              <w:t>Усвоени бюджетни кредити през 2016 г.</w:t>
            </w:r>
            <w:r>
              <w:rPr>
                <w:rStyle w:val="FootnoteReference"/>
                <w:rFonts w:ascii="Times New Roman" w:hAnsi="Times New Roman"/>
                <w:noProof/>
              </w:rPr>
              <w:footnoteReference w:id="2"/>
            </w:r>
          </w:p>
        </w:tc>
        <w:tc>
          <w:tcPr>
            <w:tcW w:w="1920" w:type="dxa"/>
            <w:shd w:val="clear" w:color="auto" w:fill="auto"/>
          </w:tcPr>
          <w:p>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w:t>
            </w:r>
          </w:p>
        </w:tc>
        <w:tc>
          <w:tcPr>
            <w:tcW w:w="1861" w:type="dxa"/>
          </w:tcPr>
          <w:p>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18 649 599 495</w:t>
            </w:r>
          </w:p>
        </w:tc>
      </w:tr>
    </w:tbl>
    <w:p>
      <w:pPr>
        <w:spacing w:before="120" w:after="120" w:line="240" w:lineRule="auto"/>
        <w:ind w:left="850"/>
        <w:jc w:val="both"/>
        <w:rPr>
          <w:rFonts w:ascii="Times New Roman" w:eastAsia="Times New Roman" w:hAnsi="Times New Roman"/>
          <w:noProof/>
          <w:sz w:val="24"/>
        </w:rPr>
      </w:pPr>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10" w:name="_Toc491943961"/>
      <w:r>
        <w:rPr>
          <w:rFonts w:ascii="Times New Roman" w:hAnsi="Times New Roman"/>
          <w:i/>
          <w:noProof/>
          <w:sz w:val="24"/>
        </w:rPr>
        <w:t>2.1.2.</w:t>
      </w:r>
      <w:r>
        <w:rPr>
          <w:noProof/>
        </w:rPr>
        <w:tab/>
      </w:r>
      <w:r>
        <w:rPr>
          <w:rFonts w:ascii="Times New Roman" w:hAnsi="Times New Roman"/>
          <w:i/>
          <w:noProof/>
          <w:sz w:val="24"/>
        </w:rPr>
        <w:t>Техническа помощ</w:t>
      </w:r>
      <w:bookmarkEnd w:id="10"/>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Съгласно член 51, параграф 1 от Регламент (ЕС) № 1305/2013 ЕЗФРСР може да използва до 0,25 % от годишните си средства за финансиране на действия за техническа помощ по инициатива на Комисията. Първоначалната сума, налична за тази цел в бюджета за 2016 г., беше 4,4 млн. евро за неоперативна техническа помощ и 21,4 млн. евро за оперативна техническа помощ.</w:t>
      </w: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11" w:name="_Toc491943962"/>
      <w:r>
        <w:rPr>
          <w:rFonts w:ascii="Times New Roman" w:hAnsi="Times New Roman"/>
          <w:b/>
          <w:noProof/>
          <w:sz w:val="24"/>
        </w:rPr>
        <w:t>2.2.</w:t>
      </w:r>
      <w:r>
        <w:rPr>
          <w:noProof/>
        </w:rPr>
        <w:tab/>
      </w:r>
      <w:r>
        <w:rPr>
          <w:rFonts w:ascii="Times New Roman" w:hAnsi="Times New Roman"/>
          <w:b/>
          <w:noProof/>
          <w:sz w:val="24"/>
        </w:rPr>
        <w:t>Управление на бюджетните кредити за плащания</w:t>
      </w:r>
      <w:bookmarkEnd w:id="11"/>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12" w:name="_Toc491943963"/>
      <w:r>
        <w:rPr>
          <w:rFonts w:ascii="Times New Roman" w:hAnsi="Times New Roman"/>
          <w:i/>
          <w:noProof/>
          <w:sz w:val="24"/>
        </w:rPr>
        <w:t>2.2.1.</w:t>
      </w:r>
      <w:r>
        <w:rPr>
          <w:noProof/>
        </w:rPr>
        <w:tab/>
      </w:r>
      <w:r>
        <w:rPr>
          <w:rFonts w:ascii="Times New Roman" w:hAnsi="Times New Roman"/>
          <w:i/>
          <w:noProof/>
          <w:sz w:val="24"/>
        </w:rPr>
        <w:t>Програми за развитие на селските райони по ЕЗФРСР</w:t>
      </w:r>
      <w:bookmarkEnd w:id="12"/>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В одобрения бюджет за 2016 г. бюджетните кредити за плащания, предназначени за програмите за развитие на селските райони за периода 2014—2020 г., възлизаха на 8487 млн. евро. Средствата за бюджетни кредити за плащания бяха увеличени с прехвърлянето на 1,0 млн. евро от бюджетния ред за приключване на финансирането на развитието на селските райони от секция „Гарантиране“ на ФЕОГА (позиция 05.040114), където не бяха необходими бюджетни кредити. От друга страна бюджетните кредити за плащания бяха намалени с две прехвърляния на обща стойност 32,1 млн. евро, които бяха прехвърлени към секция „Ориентиране“ на ФЕОГА за периода 2000—2006 г., за да се приключи една от старите програми по цел 1. Освен това 646,1 млн. евро бяха прехвърлени за покриване на спешните нужди, свързани с приключването на програми по ЕЗФРСР за периода 2007—2013 г. Като се вземат предвид всички прехвърляния, общият размер на бюджетните кредити за плащания, налични през 2016 г., възлизаше на 7809,9 млн. евро. Всички бюджетни кредити за 2016 г. бяха усвоени през годината.</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В одобрения бюджет за 2016 г. бюджетните кредити за плащания, предназначени за програмите за развитие на селските райони за периода 2007—2013 г., възлизаха на 3235 млн. евро. Освен това наличните целеви приходи, пренесени от 2015 г. или събрани през годината, възлязоха на 359,1 млн. евро. В края на годината бяха необходими допълнителни бюджетни кредити за плащания за приключването на 64-те програми. Те бяха частично осигурени с прехвърляне от бюджетния ред за програмите по ЕЗФРСР за периода 2014—2020 г. (646,1 млн. евро), бюджетния ред за техническа помощ (3,0 млн. евро) и прехвърлянето в края на годината (264,7 млн. евро). Общият размер на бюджетните кредити за плащания, налични през 2016 г., възлизаше на 4507,9 млн. евро. От тази сума бяха автоматично пренесени към 2017 г. целеви приходи в размер на 12,1 млн. евро.</w:t>
      </w:r>
    </w:p>
    <w:p>
      <w:pPr>
        <w:keepNext/>
        <w:keepLines/>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Таблица 5</w:t>
      </w:r>
    </w:p>
    <w:tbl>
      <w:tblPr>
        <w:tblW w:w="7752" w:type="dxa"/>
        <w:tblInd w:w="948" w:type="dxa"/>
        <w:tblLook w:val="04A0" w:firstRow="1" w:lastRow="0" w:firstColumn="1" w:lastColumn="0" w:noHBand="0" w:noVBand="1"/>
      </w:tblPr>
      <w:tblGrid>
        <w:gridCol w:w="4992"/>
        <w:gridCol w:w="2760"/>
      </w:tblGrid>
      <w:tr>
        <w:trPr>
          <w:trHeight w:val="285"/>
        </w:trPr>
        <w:tc>
          <w:tcPr>
            <w:tcW w:w="7752" w:type="dxa"/>
            <w:gridSpan w:val="2"/>
            <w:tcBorders>
              <w:top w:val="single" w:sz="8" w:space="0" w:color="auto"/>
              <w:left w:val="single" w:sz="8" w:space="0" w:color="auto"/>
              <w:bottom w:val="nil"/>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Управление на бюджетните кредити за плащания през 2016 г.</w:t>
            </w:r>
          </w:p>
        </w:tc>
      </w:tr>
      <w:tr>
        <w:trPr>
          <w:trHeight w:val="300"/>
        </w:trPr>
        <w:tc>
          <w:tcPr>
            <w:tcW w:w="7752" w:type="dxa"/>
            <w:gridSpan w:val="2"/>
            <w:tcBorders>
              <w:top w:val="nil"/>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(в евро)</w:t>
            </w:r>
          </w:p>
        </w:tc>
      </w:tr>
      <w:tr>
        <w:trPr>
          <w:trHeight w:val="178"/>
        </w:trPr>
        <w:tc>
          <w:tcPr>
            <w:tcW w:w="77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rPr>
            </w:pPr>
            <w:r>
              <w:rPr>
                <w:rFonts w:ascii="Times New Roman" w:hAnsi="Times New Roman"/>
                <w:noProof/>
              </w:rPr>
              <w:t> </w:t>
            </w:r>
          </w:p>
        </w:tc>
      </w:tr>
      <w:tr>
        <w:trPr>
          <w:trHeight w:val="285"/>
        </w:trPr>
        <w:tc>
          <w:tcPr>
            <w:tcW w:w="7752" w:type="dxa"/>
            <w:gridSpan w:val="2"/>
            <w:tcBorders>
              <w:top w:val="single" w:sz="8" w:space="0" w:color="auto"/>
              <w:left w:val="single" w:sz="8" w:space="0" w:color="auto"/>
              <w:bottom w:val="nil"/>
              <w:right w:val="single" w:sz="8" w:space="0" w:color="000000"/>
            </w:tcBorders>
            <w:shd w:val="pct50" w:color="FFFF00" w:fill="FFFF9C"/>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ЕЗФРСР (2014—2020 г.)</w:t>
            </w:r>
          </w:p>
        </w:tc>
      </w:tr>
      <w:tr>
        <w:trPr>
          <w:trHeight w:val="300"/>
        </w:trPr>
        <w:tc>
          <w:tcPr>
            <w:tcW w:w="7752" w:type="dxa"/>
            <w:gridSpan w:val="2"/>
            <w:tcBorders>
              <w:top w:val="nil"/>
              <w:left w:val="single" w:sz="8" w:space="0" w:color="auto"/>
              <w:bottom w:val="single" w:sz="8" w:space="0" w:color="auto"/>
              <w:right w:val="single" w:sz="8" w:space="0" w:color="000000"/>
            </w:tcBorders>
            <w:shd w:val="pct50" w:color="FFFF00" w:fill="FFFF9C"/>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Бюджетна позиция — 05.046001</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Бюджетни кредити в началото на 2016 г.</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8 487 000 000</w:t>
            </w:r>
          </w:p>
        </w:tc>
      </w:tr>
      <w:tr>
        <w:trPr>
          <w:trHeight w:val="6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Прехвърляне към секция „Ориентиране“ на ФЕОГА — региони в обхвата на цел 1 (2000—2006 г.)</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-5 124 931</w:t>
            </w:r>
          </w:p>
        </w:tc>
      </w:tr>
      <w:tr>
        <w:trPr>
          <w:trHeight w:val="6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Прехвърляне към секция „Ориентиране“ на ФЕОГА — региони в обхвата на цел 1 (2000—2006 г.)</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-26 940 235</w:t>
            </w:r>
          </w:p>
        </w:tc>
      </w:tr>
      <w:tr>
        <w:trPr>
          <w:trHeight w:val="394"/>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Прехвърляне от секция „Гарантиране“ на ФЕОГА 2000—2006 г.</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1 006 524</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Прехвърляне към ЕЗФРСР 2007—2013 г.</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-646 066 430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b/>
                <w:bCs/>
                <w:noProof/>
              </w:rPr>
            </w:pPr>
            <w:r>
              <w:rPr>
                <w:rFonts w:ascii="Times New Roman" w:hAnsi="Times New Roman"/>
                <w:b/>
                <w:noProof/>
              </w:rPr>
              <w:t>Налични бюджетни кредити през 2016 г.</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rPr>
            </w:pPr>
            <w:r>
              <w:rPr>
                <w:rFonts w:ascii="Times New Roman" w:hAnsi="Times New Roman"/>
                <w:b/>
                <w:noProof/>
              </w:rPr>
              <w:t>7 809 874 928</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Усвоени бюджетни кредити през 2016 г.</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7 809 874 920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rPr>
            </w:pPr>
          </w:p>
          <w:p>
            <w:pPr>
              <w:spacing w:after="0" w:line="240" w:lineRule="auto"/>
              <w:rPr>
                <w:rFonts w:ascii="Times New Roman" w:eastAsia="Times New Roman" w:hAnsi="Times New Roman"/>
                <w:noProof/>
              </w:rPr>
            </w:pPr>
          </w:p>
        </w:tc>
        <w:tc>
          <w:tcPr>
            <w:tcW w:w="276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rPr>
            </w:pPr>
          </w:p>
        </w:tc>
      </w:tr>
      <w:tr>
        <w:trPr>
          <w:trHeight w:val="315"/>
        </w:trPr>
        <w:tc>
          <w:tcPr>
            <w:tcW w:w="7752" w:type="dxa"/>
            <w:gridSpan w:val="2"/>
            <w:tcBorders>
              <w:top w:val="single" w:sz="8" w:space="0" w:color="auto"/>
              <w:left w:val="single" w:sz="8" w:space="0" w:color="auto"/>
              <w:bottom w:val="nil"/>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ЕЗФРСР (2007—2013 г.)</w:t>
            </w:r>
          </w:p>
        </w:tc>
      </w:tr>
      <w:tr>
        <w:trPr>
          <w:trHeight w:val="285"/>
        </w:trPr>
        <w:tc>
          <w:tcPr>
            <w:tcW w:w="7752" w:type="dxa"/>
            <w:gridSpan w:val="2"/>
            <w:tcBorders>
              <w:top w:val="nil"/>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 xml:space="preserve">Бюджетна позиция — </w:t>
            </w:r>
            <w:r>
              <w:rPr>
                <w:rFonts w:ascii="Times New Roman" w:hAnsi="Times New Roman"/>
                <w:b/>
                <w:noProof/>
                <w:sz w:val="20"/>
              </w:rPr>
              <w:t>05.040501</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Бюджетни кредити в началото на 2016 г.</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3 235 000 000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Целеви приходи, пренесени от 2015 г.</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22 697 504</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Целеви приходи, събрани през 2016 г.</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336 400 606</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 xml:space="preserve">Прехвърляне от ЕЗФРСР за периода 2014—2020 г. </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646 066 430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Прехвърляне от бюджетния ред за техническа помощ по ЕЗФРСР за периода 2014—2020 г.</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3 000 000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Прехвърляне в края на годината</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264 739 750</w:t>
            </w:r>
          </w:p>
        </w:tc>
      </w:tr>
      <w:tr>
        <w:trPr>
          <w:trHeight w:val="300"/>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b/>
                <w:bCs/>
                <w:noProof/>
              </w:rPr>
            </w:pPr>
            <w:r>
              <w:rPr>
                <w:rFonts w:ascii="Times New Roman" w:hAnsi="Times New Roman"/>
                <w:b/>
                <w:noProof/>
              </w:rPr>
              <w:t>Налични бюджетни кредити през 2016 г.</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rPr>
            </w:pPr>
            <w:r>
              <w:rPr>
                <w:rFonts w:ascii="Times New Roman" w:hAnsi="Times New Roman"/>
                <w:b/>
                <w:noProof/>
              </w:rPr>
              <w:t>4 507 904 290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Усвоени бюджетни кредити през 2016 г.</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4 495 770 025</w:t>
            </w:r>
          </w:p>
        </w:tc>
      </w:tr>
    </w:tbl>
    <w:p>
      <w:pPr>
        <w:spacing w:before="120" w:after="120" w:line="240" w:lineRule="auto"/>
        <w:ind w:left="850"/>
        <w:jc w:val="both"/>
        <w:rPr>
          <w:rFonts w:ascii="Times New Roman" w:eastAsia="Times New Roman" w:hAnsi="Times New Roman"/>
          <w:noProof/>
          <w:sz w:val="24"/>
        </w:rPr>
      </w:pPr>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13" w:name="_Toc491943964"/>
      <w:r>
        <w:rPr>
          <w:rFonts w:ascii="Times New Roman" w:hAnsi="Times New Roman"/>
          <w:i/>
          <w:noProof/>
          <w:sz w:val="24"/>
        </w:rPr>
        <w:t>2.2.2.</w:t>
      </w:r>
      <w:r>
        <w:rPr>
          <w:noProof/>
        </w:rPr>
        <w:tab/>
      </w:r>
      <w:r>
        <w:rPr>
          <w:rFonts w:ascii="Times New Roman" w:hAnsi="Times New Roman"/>
          <w:i/>
          <w:noProof/>
          <w:sz w:val="24"/>
        </w:rPr>
        <w:t>Техническа помощ</w:t>
      </w:r>
      <w:bookmarkEnd w:id="13"/>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По отношение на ЕЗФРСР общият размер на бюджетните кредити за плащания в бюджета за 2016 г. възлизаше на 20,0 млн. евро. 3,0 млн. евро бяха прехвърлени към бюджетния ред за програмите по ЕЗФРСР за периода 2007—2013 г., за да бъде покрито приключването на тези програми по ЕЗФРСР за периода 2007—2013 г. Окончателните бюджетни кредити за плащания бяха в размер на 17,0 млн. евро. Общият размер на плащанията достигна 12,8 млн. евро.</w:t>
      </w:r>
    </w:p>
    <w:p>
      <w:pPr>
        <w:keepNext/>
        <w:tabs>
          <w:tab w:val="left" w:pos="850"/>
        </w:tabs>
        <w:spacing w:before="360" w:after="120" w:line="240" w:lineRule="auto"/>
        <w:ind w:left="850" w:right="749" w:hanging="850"/>
        <w:jc w:val="both"/>
        <w:outlineLvl w:val="0"/>
        <w:rPr>
          <w:rFonts w:ascii="Times New Roman" w:eastAsia="Times New Roman" w:hAnsi="Times New Roman"/>
          <w:b/>
          <w:smallCaps/>
          <w:noProof/>
          <w:sz w:val="24"/>
        </w:rPr>
      </w:pPr>
      <w:bookmarkStart w:id="14" w:name="_Toc491943965"/>
      <w:r>
        <w:rPr>
          <w:rFonts w:ascii="Times New Roman" w:hAnsi="Times New Roman"/>
          <w:b/>
          <w:smallCaps/>
          <w:noProof/>
          <w:sz w:val="24"/>
        </w:rPr>
        <w:t>3.</w:t>
      </w:r>
      <w:r>
        <w:rPr>
          <w:noProof/>
        </w:rPr>
        <w:tab/>
      </w:r>
      <w:r>
        <w:rPr>
          <w:rFonts w:ascii="Times New Roman" w:hAnsi="Times New Roman"/>
          <w:b/>
          <w:smallCaps/>
          <w:noProof/>
          <w:sz w:val="24"/>
        </w:rPr>
        <w:t>Изпълнение на бюджета на ЕЗФРСР за 2016 г.</w:t>
      </w:r>
      <w:bookmarkEnd w:id="14"/>
    </w:p>
    <w:p>
      <w:pPr>
        <w:keepNext/>
        <w:tabs>
          <w:tab w:val="left" w:pos="850"/>
        </w:tabs>
        <w:spacing w:before="240" w:after="120" w:line="240" w:lineRule="auto"/>
        <w:ind w:left="850" w:right="749" w:hanging="850"/>
        <w:jc w:val="both"/>
        <w:outlineLvl w:val="1"/>
        <w:rPr>
          <w:rFonts w:ascii="Times New Roman" w:eastAsia="Times New Roman" w:hAnsi="Times New Roman"/>
          <w:b/>
          <w:noProof/>
          <w:sz w:val="24"/>
        </w:rPr>
      </w:pPr>
      <w:bookmarkStart w:id="15" w:name="_Toc491943966"/>
      <w:r>
        <w:rPr>
          <w:rFonts w:ascii="Times New Roman" w:hAnsi="Times New Roman"/>
          <w:b/>
          <w:noProof/>
          <w:sz w:val="24"/>
        </w:rPr>
        <w:t>3.1.</w:t>
      </w:r>
      <w:r>
        <w:rPr>
          <w:noProof/>
        </w:rPr>
        <w:tab/>
      </w:r>
      <w:r>
        <w:rPr>
          <w:rFonts w:ascii="Times New Roman" w:hAnsi="Times New Roman"/>
          <w:b/>
          <w:noProof/>
          <w:sz w:val="24"/>
        </w:rPr>
        <w:t>Усвояване на бюджетните кредити за поети задължения</w:t>
      </w:r>
      <w:bookmarkEnd w:id="15"/>
    </w:p>
    <w:p>
      <w:pPr>
        <w:keepNext/>
        <w:tabs>
          <w:tab w:val="left" w:pos="850"/>
          <w:tab w:val="right" w:pos="8322"/>
        </w:tabs>
        <w:spacing w:before="240" w:after="120" w:line="240" w:lineRule="auto"/>
        <w:ind w:left="850" w:right="749" w:hanging="850"/>
        <w:jc w:val="both"/>
        <w:outlineLvl w:val="2"/>
        <w:rPr>
          <w:rFonts w:ascii="Times New Roman" w:eastAsia="Times New Roman" w:hAnsi="Times New Roman"/>
          <w:i/>
          <w:noProof/>
          <w:sz w:val="24"/>
        </w:rPr>
      </w:pPr>
      <w:bookmarkStart w:id="16" w:name="_Toc491943967"/>
      <w:r>
        <w:rPr>
          <w:rFonts w:ascii="Times New Roman" w:hAnsi="Times New Roman"/>
          <w:i/>
          <w:noProof/>
          <w:sz w:val="24"/>
        </w:rPr>
        <w:t>3.1.1.</w:t>
      </w:r>
      <w:r>
        <w:rPr>
          <w:noProof/>
        </w:rPr>
        <w:tab/>
      </w:r>
      <w:r>
        <w:rPr>
          <w:rFonts w:ascii="Times New Roman" w:hAnsi="Times New Roman"/>
          <w:i/>
          <w:noProof/>
          <w:sz w:val="24"/>
        </w:rPr>
        <w:t>Програми за развитие на селските райони по ЕЗФРСР</w:t>
      </w:r>
      <w:bookmarkEnd w:id="16"/>
      <w:r>
        <w:rPr>
          <w:noProof/>
        </w:rPr>
        <w:tab/>
      </w:r>
    </w:p>
    <w:p>
      <w:pPr>
        <w:spacing w:before="120" w:after="240" w:line="240" w:lineRule="auto"/>
        <w:ind w:left="850" w:right="71"/>
        <w:jc w:val="both"/>
        <w:rPr>
          <w:rFonts w:ascii="Times New Roman" w:eastAsia="Times New Roman" w:hAnsi="Times New Roman"/>
          <w:noProof/>
          <w:sz w:val="24"/>
        </w:rPr>
      </w:pPr>
      <w:r>
        <w:rPr>
          <w:rFonts w:ascii="Times New Roman" w:hAnsi="Times New Roman"/>
          <w:noProof/>
          <w:sz w:val="24"/>
        </w:rPr>
        <w:t>От общия размер на наличните в бюджета за 2016 г. бюджетни кредити за поети задължения, предназначени за програмите по ЕЗФРСР за периода 2014—2020 г. (18 650,6 млн. евро), бяха поети задължения за 18 649,6 млн. евро. Незначителната сума, за която не бяха поети задължения (0,96 млн. евро), се дължеше на изменение в разпределението за Обединеното кралство, посочено в приложение I към Регламент (ЕС) № 1305/2013</w:t>
      </w:r>
      <w:r>
        <w:rPr>
          <w:rStyle w:val="FootnoteReference"/>
          <w:rFonts w:ascii="Times New Roman" w:hAnsi="Times New Roman"/>
          <w:noProof/>
          <w:sz w:val="24"/>
        </w:rPr>
        <w:footnoteReference w:id="3"/>
      </w:r>
      <w:r>
        <w:rPr>
          <w:rFonts w:ascii="Times New Roman" w:hAnsi="Times New Roman"/>
          <w:noProof/>
          <w:sz w:val="24"/>
        </w:rPr>
        <w:t xml:space="preserve"> (вж. бележка под линия 1).</w:t>
      </w:r>
    </w:p>
    <w:p>
      <w:pPr>
        <w:spacing w:before="120" w:after="240" w:line="240" w:lineRule="auto"/>
        <w:ind w:left="850" w:right="71"/>
        <w:jc w:val="both"/>
        <w:rPr>
          <w:rFonts w:ascii="Times New Roman" w:eastAsia="Times New Roman" w:hAnsi="Times New Roman"/>
          <w:noProof/>
          <w:sz w:val="24"/>
        </w:rPr>
      </w:pPr>
      <w:r>
        <w:rPr>
          <w:rFonts w:ascii="Times New Roman" w:hAnsi="Times New Roman"/>
          <w:noProof/>
          <w:sz w:val="24"/>
        </w:rPr>
        <w:t>Таблица 6 показва (по държави членки) разпределението, установено с Регламент (ЕС) № 1305/2013 от 17.12.2013 г., последно изменен с Делегиран регламент (ЕС) 2016/142 на Комисията от 2.12.2015 г.</w:t>
      </w:r>
      <w:r>
        <w:rPr>
          <w:rStyle w:val="FootnoteReference"/>
          <w:rFonts w:ascii="Times New Roman" w:hAnsi="Times New Roman"/>
          <w:noProof/>
          <w:sz w:val="24"/>
        </w:rPr>
        <w:t>1</w:t>
      </w:r>
      <w:r>
        <w:rPr>
          <w:rFonts w:ascii="Times New Roman" w:hAnsi="Times New Roman"/>
          <w:noProof/>
          <w:sz w:val="24"/>
        </w:rPr>
        <w:t>, и сумите, за които са поети задължения през 2016 г.</w:t>
      </w:r>
    </w:p>
    <w:p>
      <w:pPr>
        <w:keepNext/>
        <w:keepLines/>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Таблица 6</w:t>
      </w:r>
    </w:p>
    <w:tbl>
      <w:tblPr>
        <w:tblW w:w="5960" w:type="dxa"/>
        <w:tblInd w:w="720" w:type="dxa"/>
        <w:tblLook w:val="04A0" w:firstRow="1" w:lastRow="0" w:firstColumn="1" w:lastColumn="0" w:noHBand="0" w:noVBand="1"/>
      </w:tblPr>
      <w:tblGrid>
        <w:gridCol w:w="1700"/>
        <w:gridCol w:w="2280"/>
        <w:gridCol w:w="1980"/>
      </w:tblGrid>
      <w:tr>
        <w:trPr>
          <w:trHeight w:val="615"/>
        </w:trPr>
        <w:tc>
          <w:tcPr>
            <w:tcW w:w="5960"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pPr>
              <w:keepNext/>
              <w:keepLines/>
              <w:spacing w:after="0" w:line="240" w:lineRule="auto"/>
              <w:rPr>
                <w:rFonts w:ascii="Times New Roman" w:eastAsia="Times New Roman" w:hAnsi="Times New Roman"/>
                <w:b/>
                <w:bCs/>
                <w:i/>
                <w:iCs/>
                <w:noProof/>
              </w:rPr>
            </w:pPr>
            <w:r>
              <w:rPr>
                <w:rFonts w:ascii="Times New Roman" w:hAnsi="Times New Roman"/>
                <w:b/>
                <w:i/>
                <w:noProof/>
              </w:rPr>
              <w:t>Регламент (ЕС) № 1305/2013 (с измененията) спрямо сумите, за които са поети задължения до края на 2016 г.</w:t>
            </w:r>
          </w:p>
        </w:tc>
      </w:tr>
      <w:tr>
        <w:trPr>
          <w:trHeight w:val="270"/>
        </w:trPr>
        <w:tc>
          <w:tcPr>
            <w:tcW w:w="3980" w:type="dxa"/>
            <w:gridSpan w:val="2"/>
            <w:tcBorders>
              <w:top w:val="single" w:sz="8" w:space="0" w:color="auto"/>
              <w:left w:val="single" w:sz="8" w:space="0" w:color="auto"/>
              <w:bottom w:val="single" w:sz="8" w:space="0" w:color="auto"/>
              <w:right w:val="nil"/>
            </w:tcBorders>
            <w:shd w:val="clear" w:color="auto" w:fill="auto"/>
            <w:noWrap/>
            <w:vAlign w:val="center"/>
            <w:hideMark/>
          </w:tcPr>
          <w:p>
            <w:pPr>
              <w:keepNext/>
              <w:keepLines/>
              <w:spacing w:after="0" w:line="240" w:lineRule="auto"/>
              <w:rPr>
                <w:rFonts w:ascii="Times New Roman" w:eastAsia="Times New Roman" w:hAnsi="Times New Roman"/>
                <w:b/>
                <w:bCs/>
                <w:noProof/>
                <w:sz w:val="20"/>
                <w:szCs w:val="20"/>
              </w:rPr>
            </w:pPr>
            <w:r>
              <w:rPr>
                <w:rFonts w:ascii="Times New Roman" w:hAnsi="Times New Roman"/>
                <w:b/>
                <w:noProof/>
                <w:sz w:val="20"/>
              </w:rPr>
              <w:t>Бюджетна позиция: 05.046001</w:t>
            </w:r>
          </w:p>
        </w:tc>
        <w:tc>
          <w:tcPr>
            <w:tcW w:w="1980" w:type="dxa"/>
            <w:tcBorders>
              <w:top w:val="nil"/>
              <w:left w:val="nil"/>
              <w:bottom w:val="single" w:sz="8" w:space="0" w:color="auto"/>
              <w:right w:val="single" w:sz="8" w:space="0" w:color="auto"/>
            </w:tcBorders>
            <w:shd w:val="clear" w:color="auto" w:fill="auto"/>
            <w:vAlign w:val="center"/>
            <w:hideMark/>
          </w:tcPr>
          <w:p>
            <w:pPr>
              <w:keepNext/>
              <w:keepLines/>
              <w:spacing w:after="0" w:line="240" w:lineRule="auto"/>
              <w:jc w:val="center"/>
              <w:rPr>
                <w:rFonts w:ascii="Times New Roman" w:eastAsia="Times New Roman" w:hAnsi="Times New Roman"/>
                <w:i/>
                <w:iCs/>
                <w:noProof/>
                <w:sz w:val="20"/>
                <w:szCs w:val="20"/>
              </w:rPr>
            </w:pPr>
            <w:r>
              <w:rPr>
                <w:rFonts w:ascii="Times New Roman" w:hAnsi="Times New Roman"/>
                <w:i/>
                <w:noProof/>
                <w:sz w:val="20"/>
              </w:rPr>
              <w:t>(в евро)</w:t>
            </w:r>
          </w:p>
        </w:tc>
      </w:tr>
      <w:tr>
        <w:trPr>
          <w:trHeight w:val="510"/>
        </w:trPr>
        <w:tc>
          <w:tcPr>
            <w:tcW w:w="1700" w:type="dxa"/>
            <w:vMerge w:val="restart"/>
            <w:tcBorders>
              <w:top w:val="nil"/>
              <w:left w:val="single" w:sz="8" w:space="0" w:color="auto"/>
              <w:bottom w:val="single" w:sz="8" w:space="0" w:color="000000"/>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ДЧ</w:t>
            </w:r>
          </w:p>
        </w:tc>
        <w:tc>
          <w:tcPr>
            <w:tcW w:w="2280" w:type="dxa"/>
            <w:tcBorders>
              <w:top w:val="nil"/>
              <w:left w:val="nil"/>
              <w:bottom w:val="nil"/>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20"/>
                <w:szCs w:val="20"/>
              </w:rPr>
            </w:pPr>
            <w:r>
              <w:rPr>
                <w:rFonts w:ascii="Times New Roman" w:hAnsi="Times New Roman"/>
                <w:b/>
                <w:noProof/>
                <w:sz w:val="20"/>
              </w:rPr>
              <w:t>Регламент (ЕС) № 1305/2013</w:t>
            </w:r>
          </w:p>
        </w:tc>
        <w:tc>
          <w:tcPr>
            <w:tcW w:w="1980" w:type="dxa"/>
            <w:vMerge w:val="restart"/>
            <w:tcBorders>
              <w:top w:val="nil"/>
              <w:left w:val="single" w:sz="8" w:space="0" w:color="auto"/>
              <w:bottom w:val="single" w:sz="8" w:space="0" w:color="000000"/>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20"/>
                <w:szCs w:val="20"/>
              </w:rPr>
            </w:pPr>
            <w:r>
              <w:rPr>
                <w:rFonts w:ascii="Times New Roman" w:hAnsi="Times New Roman"/>
                <w:b/>
                <w:noProof/>
                <w:sz w:val="20"/>
              </w:rPr>
              <w:t>Суми, за които са поети задължения през 2016 г.</w:t>
            </w:r>
          </w:p>
        </w:tc>
      </w:tr>
      <w:tr>
        <w:trPr>
          <w:trHeight w:val="270"/>
        </w:trPr>
        <w:tc>
          <w:tcPr>
            <w:tcW w:w="1700" w:type="dxa"/>
            <w:vMerge/>
            <w:tcBorders>
              <w:top w:val="nil"/>
              <w:left w:val="single" w:sz="8" w:space="0" w:color="auto"/>
              <w:bottom w:val="single" w:sz="8" w:space="0" w:color="000000"/>
              <w:right w:val="single" w:sz="8" w:space="0" w:color="auto"/>
            </w:tcBorders>
            <w:vAlign w:val="center"/>
            <w:hideMark/>
          </w:tcPr>
          <w:p>
            <w:pPr>
              <w:keepNext/>
              <w:keepLines/>
              <w:spacing w:after="0" w:line="240" w:lineRule="auto"/>
              <w:rPr>
                <w:rFonts w:ascii="Times New Roman" w:eastAsia="Times New Roman" w:hAnsi="Times New Roman"/>
                <w:b/>
                <w:bCs/>
                <w:noProof/>
                <w:sz w:val="20"/>
                <w:szCs w:val="20"/>
              </w:rPr>
            </w:pPr>
          </w:p>
        </w:tc>
        <w:tc>
          <w:tcPr>
            <w:tcW w:w="2280" w:type="dxa"/>
            <w:tcBorders>
              <w:top w:val="nil"/>
              <w:left w:val="nil"/>
              <w:bottom w:val="single" w:sz="8" w:space="0" w:color="auto"/>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20"/>
                <w:szCs w:val="20"/>
              </w:rPr>
            </w:pPr>
            <w:r>
              <w:rPr>
                <w:rFonts w:ascii="Times New Roman" w:hAnsi="Times New Roman"/>
                <w:b/>
                <w:noProof/>
                <w:sz w:val="20"/>
              </w:rPr>
              <w:t xml:space="preserve"> Разпределение за 2016 г.</w:t>
            </w:r>
          </w:p>
        </w:tc>
        <w:tc>
          <w:tcPr>
            <w:tcW w:w="1980" w:type="dxa"/>
            <w:vMerge/>
            <w:tcBorders>
              <w:top w:val="nil"/>
              <w:left w:val="single" w:sz="8" w:space="0" w:color="auto"/>
              <w:bottom w:val="single" w:sz="8" w:space="0" w:color="000000"/>
              <w:right w:val="single" w:sz="8" w:space="0" w:color="auto"/>
            </w:tcBorders>
            <w:vAlign w:val="center"/>
            <w:hideMark/>
          </w:tcPr>
          <w:p>
            <w:pPr>
              <w:keepNext/>
              <w:keepLines/>
              <w:spacing w:after="0" w:line="240" w:lineRule="auto"/>
              <w:rPr>
                <w:rFonts w:ascii="Times New Roman" w:eastAsia="Times New Roman" w:hAnsi="Times New Roman"/>
                <w:b/>
                <w:bCs/>
                <w:noProof/>
                <w:sz w:val="20"/>
                <w:szCs w:val="20"/>
              </w:rPr>
            </w:pPr>
          </w:p>
        </w:tc>
      </w:tr>
      <w:tr>
        <w:trPr>
          <w:trHeight w:val="270"/>
        </w:trPr>
        <w:tc>
          <w:tcPr>
            <w:tcW w:w="1700" w:type="dxa"/>
            <w:tcBorders>
              <w:top w:val="nil"/>
              <w:left w:val="single" w:sz="8" w:space="0" w:color="auto"/>
              <w:bottom w:val="single" w:sz="8" w:space="0" w:color="auto"/>
              <w:right w:val="single" w:sz="8" w:space="0" w:color="auto"/>
            </w:tcBorders>
            <w:shd w:val="clear" w:color="000000" w:fill="FFFF99"/>
            <w:vAlign w:val="center"/>
            <w:hideMark/>
          </w:tcPr>
          <w:p>
            <w:pPr>
              <w:keepNext/>
              <w:keepLines/>
              <w:spacing w:after="0" w:line="240" w:lineRule="auto"/>
              <w:rPr>
                <w:rFonts w:eastAsia="Times New Roman" w:cs="Calibri"/>
                <w:noProof/>
                <w:sz w:val="20"/>
                <w:szCs w:val="20"/>
              </w:rPr>
            </w:pPr>
            <w:r>
              <w:rPr>
                <w:noProof/>
                <w:sz w:val="20"/>
              </w:rPr>
              <w:t> </w:t>
            </w:r>
          </w:p>
        </w:tc>
        <w:tc>
          <w:tcPr>
            <w:tcW w:w="2280" w:type="dxa"/>
            <w:tcBorders>
              <w:top w:val="nil"/>
              <w:left w:val="nil"/>
              <w:bottom w:val="single" w:sz="8" w:space="0" w:color="auto"/>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(а)</w:t>
            </w:r>
          </w:p>
        </w:tc>
        <w:tc>
          <w:tcPr>
            <w:tcW w:w="1980" w:type="dxa"/>
            <w:tcBorders>
              <w:top w:val="nil"/>
              <w:left w:val="nil"/>
              <w:bottom w:val="single" w:sz="8" w:space="0" w:color="auto"/>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(б)</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keepNext/>
              <w:keepLines/>
              <w:spacing w:after="0" w:line="240" w:lineRule="auto"/>
              <w:jc w:val="center"/>
              <w:rPr>
                <w:rFonts w:ascii="Times New Roman" w:eastAsia="Times New Roman" w:hAnsi="Times New Roman"/>
                <w:noProof/>
                <w:sz w:val="18"/>
                <w:szCs w:val="18"/>
              </w:rPr>
            </w:pPr>
            <w:r>
              <w:rPr>
                <w:rFonts w:ascii="Times New Roman" w:hAnsi="Times New Roman"/>
                <w:noProof/>
                <w:sz w:val="18"/>
              </w:rPr>
              <w:t>AT</w:t>
            </w:r>
          </w:p>
        </w:tc>
        <w:tc>
          <w:tcPr>
            <w:tcW w:w="2280" w:type="dxa"/>
            <w:tcBorders>
              <w:top w:val="nil"/>
              <w:left w:val="nil"/>
              <w:bottom w:val="single" w:sz="8" w:space="0" w:color="auto"/>
              <w:right w:val="single" w:sz="8" w:space="0" w:color="auto"/>
            </w:tcBorders>
            <w:shd w:val="clear" w:color="auto" w:fill="auto"/>
            <w:noWrap/>
            <w:vAlign w:val="center"/>
            <w:hideMark/>
          </w:tcPr>
          <w:p>
            <w:pPr>
              <w:keepNext/>
              <w:keepLines/>
              <w:spacing w:after="0" w:line="240" w:lineRule="auto"/>
              <w:jc w:val="right"/>
              <w:rPr>
                <w:rFonts w:ascii="Times New Roman" w:eastAsia="Times New Roman" w:hAnsi="Times New Roman"/>
                <w:noProof/>
                <w:sz w:val="20"/>
                <w:szCs w:val="20"/>
              </w:rPr>
            </w:pPr>
            <w:r>
              <w:rPr>
                <w:rFonts w:ascii="Times New Roman" w:hAnsi="Times New Roman"/>
                <w:noProof/>
                <w:sz w:val="20"/>
              </w:rPr>
              <w:t>560 883 465</w:t>
            </w:r>
          </w:p>
        </w:tc>
        <w:tc>
          <w:tcPr>
            <w:tcW w:w="1980" w:type="dxa"/>
            <w:tcBorders>
              <w:top w:val="nil"/>
              <w:left w:val="nil"/>
              <w:bottom w:val="single" w:sz="8" w:space="0" w:color="auto"/>
              <w:right w:val="single" w:sz="8" w:space="0" w:color="auto"/>
            </w:tcBorders>
            <w:shd w:val="clear" w:color="auto" w:fill="auto"/>
            <w:noWrap/>
            <w:vAlign w:val="center"/>
            <w:hideMark/>
          </w:tcPr>
          <w:p>
            <w:pPr>
              <w:keepNext/>
              <w:keepLines/>
              <w:spacing w:after="0" w:line="240" w:lineRule="auto"/>
              <w:jc w:val="right"/>
              <w:rPr>
                <w:rFonts w:ascii="Times New Roman" w:eastAsia="Times New Roman" w:hAnsi="Times New Roman"/>
                <w:noProof/>
                <w:sz w:val="20"/>
                <w:szCs w:val="20"/>
              </w:rPr>
            </w:pPr>
            <w:r>
              <w:rPr>
                <w:rFonts w:ascii="Times New Roman" w:hAnsi="Times New Roman"/>
                <w:noProof/>
                <w:sz w:val="20"/>
              </w:rPr>
              <w:t>560 883 465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keepNext/>
              <w:keepLines/>
              <w:spacing w:after="0" w:line="240" w:lineRule="auto"/>
              <w:jc w:val="center"/>
              <w:rPr>
                <w:rFonts w:ascii="Times New Roman" w:eastAsia="Times New Roman" w:hAnsi="Times New Roman"/>
                <w:noProof/>
                <w:sz w:val="18"/>
                <w:szCs w:val="18"/>
              </w:rPr>
            </w:pPr>
            <w:r>
              <w:rPr>
                <w:rFonts w:ascii="Times New Roman" w:hAnsi="Times New Roman"/>
                <w:noProof/>
                <w:sz w:val="18"/>
              </w:rPr>
              <w:t>BE</w:t>
            </w:r>
          </w:p>
        </w:tc>
        <w:tc>
          <w:tcPr>
            <w:tcW w:w="2280" w:type="dxa"/>
            <w:tcBorders>
              <w:top w:val="nil"/>
              <w:left w:val="nil"/>
              <w:bottom w:val="single" w:sz="8" w:space="0" w:color="auto"/>
              <w:right w:val="single" w:sz="8" w:space="0" w:color="auto"/>
            </w:tcBorders>
            <w:shd w:val="clear" w:color="auto" w:fill="auto"/>
            <w:noWrap/>
            <w:vAlign w:val="center"/>
            <w:hideMark/>
          </w:tcPr>
          <w:p>
            <w:pPr>
              <w:keepNext/>
              <w:keepLines/>
              <w:spacing w:after="0" w:line="240" w:lineRule="auto"/>
              <w:jc w:val="right"/>
              <w:rPr>
                <w:rFonts w:ascii="Times New Roman" w:eastAsia="Times New Roman" w:hAnsi="Times New Roman"/>
                <w:noProof/>
                <w:sz w:val="20"/>
                <w:szCs w:val="20"/>
              </w:rPr>
            </w:pPr>
            <w:r>
              <w:rPr>
                <w:rFonts w:ascii="Times New Roman" w:hAnsi="Times New Roman"/>
                <w:noProof/>
                <w:sz w:val="20"/>
              </w:rPr>
              <w:t>109 821 794</w:t>
            </w:r>
          </w:p>
        </w:tc>
        <w:tc>
          <w:tcPr>
            <w:tcW w:w="1980" w:type="dxa"/>
            <w:tcBorders>
              <w:top w:val="nil"/>
              <w:left w:val="nil"/>
              <w:bottom w:val="single" w:sz="8" w:space="0" w:color="auto"/>
              <w:right w:val="single" w:sz="8" w:space="0" w:color="auto"/>
            </w:tcBorders>
            <w:shd w:val="clear" w:color="auto" w:fill="auto"/>
            <w:noWrap/>
            <w:vAlign w:val="center"/>
            <w:hideMark/>
          </w:tcPr>
          <w:p>
            <w:pPr>
              <w:keepNext/>
              <w:keepLines/>
              <w:spacing w:after="0" w:line="240" w:lineRule="auto"/>
              <w:jc w:val="right"/>
              <w:rPr>
                <w:rFonts w:ascii="Times New Roman" w:eastAsia="Times New Roman" w:hAnsi="Times New Roman"/>
                <w:noProof/>
                <w:sz w:val="20"/>
                <w:szCs w:val="20"/>
              </w:rPr>
            </w:pPr>
            <w:r>
              <w:rPr>
                <w:rFonts w:ascii="Times New Roman" w:hAnsi="Times New Roman"/>
                <w:noProof/>
                <w:sz w:val="20"/>
              </w:rPr>
              <w:t>109 821 794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BG</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505 020 057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505 020 057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CY</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28 345 126</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28 345 126</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CZ</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503 130 504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503 130 504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DE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1 685 574 112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1 685 574 112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DK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136 397 742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136 397 742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EE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111 192 345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111 192 345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ES</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1 780 403 445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1 780 403 445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FI</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338 456 263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338 456 263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FR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2 363 567 980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2 363 567 980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GR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1 007 736 821</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1 007 736 821</w:t>
            </w:r>
          </w:p>
        </w:tc>
      </w:tr>
      <w:tr>
        <w:trPr>
          <w:trHeight w:val="315"/>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HR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448 426 250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448 426 250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HU</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737 099 981</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737 099 981</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IE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469 724 442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469 724 442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IT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2 231 599 688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2 231 599 688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LT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230 431 887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230 431 887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LU</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21 432 133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21 432 133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LV</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153 066 059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153 066 059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MT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20 878 690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20 878 690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NL</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118 496 585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118 496 585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PL</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1 193 429 059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1 193 429 059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PT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578 913 888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578 913 888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RO</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1 751 613 412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1 751 613 412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SE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378 153 207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378 153 207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SI</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119 342 187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119 342 187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SK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215 603 053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215 603 053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UK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850 859 320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850 859 320</w:t>
            </w:r>
          </w:p>
        </w:tc>
      </w:tr>
      <w:tr>
        <w:trPr>
          <w:trHeight w:val="270"/>
        </w:trPr>
        <w:tc>
          <w:tcPr>
            <w:tcW w:w="170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Общо</w:t>
            </w:r>
          </w:p>
        </w:tc>
        <w:tc>
          <w:tcPr>
            <w:tcW w:w="22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 xml:space="preserve">18 649 599 495  </w:t>
            </w:r>
          </w:p>
        </w:tc>
        <w:tc>
          <w:tcPr>
            <w:tcW w:w="19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18 649 599 495</w:t>
            </w:r>
          </w:p>
        </w:tc>
      </w:tr>
    </w:tbl>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17" w:name="_Toc491943968"/>
      <w:r>
        <w:rPr>
          <w:rFonts w:ascii="Times New Roman" w:hAnsi="Times New Roman"/>
          <w:i/>
          <w:noProof/>
          <w:sz w:val="24"/>
        </w:rPr>
        <w:t>3.1.2.</w:t>
      </w:r>
      <w:r>
        <w:rPr>
          <w:noProof/>
        </w:rPr>
        <w:tab/>
      </w:r>
      <w:r>
        <w:rPr>
          <w:rFonts w:ascii="Times New Roman" w:hAnsi="Times New Roman"/>
          <w:i/>
          <w:noProof/>
          <w:sz w:val="24"/>
        </w:rPr>
        <w:t>Техническа помощ</w:t>
      </w:r>
      <w:bookmarkEnd w:id="17"/>
    </w:p>
    <w:p>
      <w:pPr>
        <w:spacing w:before="120" w:after="240" w:line="240" w:lineRule="auto"/>
        <w:ind w:left="851" w:right="71"/>
        <w:jc w:val="both"/>
        <w:rPr>
          <w:rFonts w:ascii="Times New Roman" w:eastAsia="Times New Roman" w:hAnsi="Times New Roman"/>
          <w:noProof/>
          <w:sz w:val="24"/>
        </w:rPr>
      </w:pPr>
      <w:r>
        <w:rPr>
          <w:rFonts w:ascii="Times New Roman" w:hAnsi="Times New Roman"/>
          <w:noProof/>
          <w:sz w:val="24"/>
        </w:rPr>
        <w:t>За програмния период 2014—2020 г. размерът на бюджетните кредити за поети задължения за оперативна техническа помощ в бюджета за 2016 г. беше 21,4 млн. евро. Средствата по този бюджетен ред бяха увеличени с 1,0 млн. евро, прехвърлени от бюджетния ред за програмите по ЕЗФРСР за периода 2014—2020 г. с цел покриване на нуждите, свързани с вноската на ЕЗФРСР в Европейския корпус за солидарност. В таблица 7 е показано усвояването на бюджетните кредити за поети задължения, налични за техническа помощ през 2016 г. Най-голямата част се отнася до Техническата експертна платформа за финансови инструменти и до Европейската мрежа за развитие на селските райони.</w:t>
      </w:r>
    </w:p>
    <w:p>
      <w:pPr>
        <w:keepNext/>
        <w:keepLines/>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Таблица 7</w:t>
      </w:r>
    </w:p>
    <w:tbl>
      <w:tblPr>
        <w:tblW w:w="7760" w:type="dxa"/>
        <w:tblInd w:w="864" w:type="dxa"/>
        <w:tblLook w:val="04A0" w:firstRow="1" w:lastRow="0" w:firstColumn="1" w:lastColumn="0" w:noHBand="0" w:noVBand="1"/>
      </w:tblPr>
      <w:tblGrid>
        <w:gridCol w:w="6255"/>
        <w:gridCol w:w="1505"/>
      </w:tblGrid>
      <w:tr>
        <w:trPr>
          <w:trHeight w:val="315"/>
        </w:trPr>
        <w:tc>
          <w:tcPr>
            <w:tcW w:w="7760"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b/>
                <w:bCs/>
                <w:i/>
                <w:iCs/>
                <w:noProof/>
              </w:rPr>
            </w:pPr>
            <w:r>
              <w:rPr>
                <w:rFonts w:ascii="Times New Roman" w:hAnsi="Times New Roman"/>
                <w:b/>
                <w:i/>
                <w:noProof/>
              </w:rPr>
              <w:t>Техническа помощ — усвояване на бюджетните кредити за поети задължения</w:t>
            </w:r>
          </w:p>
        </w:tc>
      </w:tr>
      <w:tr>
        <w:trPr>
          <w:trHeight w:val="315"/>
        </w:trPr>
        <w:tc>
          <w:tcPr>
            <w:tcW w:w="6255"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Бюджетна позиция: 05.046002</w:t>
            </w:r>
          </w:p>
        </w:tc>
        <w:tc>
          <w:tcPr>
            <w:tcW w:w="1505"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rPr>
            </w:pPr>
            <w:r>
              <w:rPr>
                <w:rFonts w:ascii="Times New Roman" w:hAnsi="Times New Roman"/>
                <w:i/>
                <w:noProof/>
                <w:sz w:val="20"/>
              </w:rPr>
              <w:t xml:space="preserve"> (в евро) </w:t>
            </w:r>
          </w:p>
        </w:tc>
      </w:tr>
      <w:tr>
        <w:trPr>
          <w:trHeight w:val="315"/>
        </w:trPr>
        <w:tc>
          <w:tcPr>
            <w:tcW w:w="6255"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Описание</w:t>
            </w:r>
          </w:p>
        </w:tc>
        <w:tc>
          <w:tcPr>
            <w:tcW w:w="1505"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 xml:space="preserve"> Сума, за която са поети задължения </w:t>
            </w:r>
          </w:p>
        </w:tc>
      </w:tr>
      <w:tr>
        <w:trPr>
          <w:trHeight w:val="346"/>
        </w:trPr>
        <w:tc>
          <w:tcPr>
            <w:tcW w:w="62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Техническа експертна платформа за финансови инструменти</w:t>
            </w:r>
          </w:p>
        </w:tc>
        <w:tc>
          <w:tcPr>
            <w:tcW w:w="150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4 800 000</w:t>
            </w:r>
          </w:p>
        </w:tc>
      </w:tr>
      <w:tr>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Европейска мрежа за развитие на селските райони</w:t>
            </w:r>
          </w:p>
        </w:tc>
        <w:tc>
          <w:tcPr>
            <w:tcW w:w="150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4 455 468</w:t>
            </w:r>
          </w:p>
        </w:tc>
      </w:tr>
      <w:tr>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Информационни технологии*</w:t>
            </w:r>
          </w:p>
        </w:tc>
        <w:tc>
          <w:tcPr>
            <w:tcW w:w="150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3 094 064</w:t>
            </w:r>
          </w:p>
        </w:tc>
      </w:tr>
      <w:tr>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Институционална комуникация</w:t>
            </w:r>
          </w:p>
        </w:tc>
        <w:tc>
          <w:tcPr>
            <w:tcW w:w="150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2 600 000</w:t>
            </w:r>
          </w:p>
        </w:tc>
      </w:tr>
      <w:tr>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Европейско партньорство за иновации</w:t>
            </w:r>
          </w:p>
        </w:tc>
        <w:tc>
          <w:tcPr>
            <w:tcW w:w="150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2 570 801</w:t>
            </w:r>
          </w:p>
        </w:tc>
      </w:tr>
      <w:tr>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Европейска мрежа за оценка</w:t>
            </w:r>
          </w:p>
        </w:tc>
        <w:tc>
          <w:tcPr>
            <w:tcW w:w="150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1 845 650</w:t>
            </w:r>
          </w:p>
        </w:tc>
      </w:tr>
      <w:tr>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Европейски корпус за солидарност</w:t>
            </w:r>
          </w:p>
        </w:tc>
        <w:tc>
          <w:tcPr>
            <w:tcW w:w="150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1 300 000</w:t>
            </w:r>
          </w:p>
        </w:tc>
      </w:tr>
      <w:tr>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Одит и контрол</w:t>
            </w:r>
          </w:p>
        </w:tc>
        <w:tc>
          <w:tcPr>
            <w:tcW w:w="150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1 269 555</w:t>
            </w:r>
          </w:p>
        </w:tc>
      </w:tr>
      <w:tr>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Защита на символи</w:t>
            </w:r>
          </w:p>
        </w:tc>
        <w:tc>
          <w:tcPr>
            <w:tcW w:w="150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57 093</w:t>
            </w:r>
          </w:p>
        </w:tc>
      </w:tr>
      <w:tr>
        <w:trPr>
          <w:trHeight w:val="315"/>
        </w:trPr>
        <w:tc>
          <w:tcPr>
            <w:tcW w:w="6255"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Общо</w:t>
            </w:r>
          </w:p>
        </w:tc>
        <w:tc>
          <w:tcPr>
            <w:tcW w:w="1505"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21 992 630</w:t>
            </w:r>
          </w:p>
        </w:tc>
      </w:tr>
    </w:tbl>
    <w:p>
      <w:pPr>
        <w:spacing w:after="0" w:line="240" w:lineRule="auto"/>
        <w:ind w:firstLine="720"/>
        <w:rPr>
          <w:rFonts w:ascii="Times New Roman" w:eastAsia="Times New Roman" w:hAnsi="Times New Roman"/>
          <w:noProof/>
          <w:sz w:val="20"/>
          <w:szCs w:val="20"/>
        </w:rPr>
      </w:pPr>
      <w:r>
        <w:rPr>
          <w:rFonts w:ascii="Times New Roman" w:hAnsi="Times New Roman"/>
          <w:noProof/>
          <w:sz w:val="20"/>
        </w:rPr>
        <w:t xml:space="preserve">  * Включително СШД (службите по широколентов достъп).</w:t>
      </w: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18" w:name="_Toc491943969"/>
      <w:r>
        <w:rPr>
          <w:rFonts w:ascii="Times New Roman" w:hAnsi="Times New Roman"/>
          <w:b/>
          <w:noProof/>
          <w:sz w:val="24"/>
        </w:rPr>
        <w:t>3.2.</w:t>
      </w:r>
      <w:r>
        <w:rPr>
          <w:noProof/>
        </w:rPr>
        <w:tab/>
      </w:r>
      <w:r>
        <w:rPr>
          <w:rFonts w:ascii="Times New Roman" w:hAnsi="Times New Roman"/>
          <w:b/>
          <w:noProof/>
          <w:sz w:val="24"/>
        </w:rPr>
        <w:t>Усвояване на бюджетните кредити за плащания</w:t>
      </w:r>
      <w:bookmarkEnd w:id="18"/>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19" w:name="_Toc491943970"/>
      <w:r>
        <w:rPr>
          <w:rFonts w:ascii="Times New Roman" w:hAnsi="Times New Roman"/>
          <w:i/>
          <w:noProof/>
          <w:sz w:val="24"/>
        </w:rPr>
        <w:t>3.2.1.</w:t>
      </w:r>
      <w:r>
        <w:rPr>
          <w:noProof/>
        </w:rPr>
        <w:tab/>
      </w:r>
      <w:r>
        <w:rPr>
          <w:rFonts w:ascii="Times New Roman" w:hAnsi="Times New Roman"/>
          <w:i/>
          <w:noProof/>
          <w:sz w:val="24"/>
        </w:rPr>
        <w:t>Програми за развитие на селските райони по ЕЗФРСР</w:t>
      </w:r>
      <w:bookmarkEnd w:id="19"/>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За програмния период 2014—2020 г. бяха използвани почти всички налични след прехвърлянията бюджетни кредити за плащания (7810 млн. евро), от които 1001 млн. евро — за предварително финансиране.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За програмния период 2007—2013 г. бяха усвоени всички налични в бюджета бюджетни кредити за плащания (3235 млн. евро). Бяха извършени допълнителни плащания в размер на 1261 млн. евро с бюджетни кредити от бюджетния ред за програмите по ЕЗФРСР за периода 2014—2020 г., бюджетния ред за оперативна техническа помощ, целевите приходи и прехвърлянето в края на годината. В края на 2016 г. общият размер на изплатените средства по програмите на ЕЗФРСР за периода 2007—2013 г., включително приключването на 64 програми, беше 4496 млн. евро. </w:t>
      </w:r>
    </w:p>
    <w:p>
      <w:pPr>
        <w:spacing w:before="120" w:after="120" w:line="240" w:lineRule="auto"/>
        <w:ind w:left="840" w:right="71"/>
        <w:jc w:val="both"/>
        <w:rPr>
          <w:rFonts w:ascii="Times New Roman" w:eastAsia="Times New Roman" w:hAnsi="Times New Roman"/>
          <w:noProof/>
          <w:sz w:val="24"/>
        </w:rPr>
      </w:pPr>
      <w:r>
        <w:rPr>
          <w:rFonts w:ascii="Times New Roman" w:hAnsi="Times New Roman"/>
          <w:noProof/>
          <w:sz w:val="24"/>
        </w:rPr>
        <w:t>В таблица 8 е показано разпределението на плащанията, извършени през 2016 г., по периоди на деклариране:</w:t>
      </w:r>
    </w:p>
    <w:p>
      <w:pPr>
        <w:pStyle w:val="Text1"/>
        <w:ind w:right="749"/>
        <w:rPr>
          <w:noProof/>
        </w:rPr>
      </w:pPr>
      <w:r>
        <w:rPr>
          <w:noProof/>
        </w:rPr>
        <w:t>Таблица 8</w:t>
      </w:r>
    </w:p>
    <w:tbl>
      <w:tblPr>
        <w:tblW w:w="8400" w:type="dxa"/>
        <w:tblInd w:w="708" w:type="dxa"/>
        <w:tblLook w:val="04A0" w:firstRow="1" w:lastRow="0" w:firstColumn="1" w:lastColumn="0" w:noHBand="0" w:noVBand="1"/>
      </w:tblPr>
      <w:tblGrid>
        <w:gridCol w:w="4440"/>
        <w:gridCol w:w="1920"/>
        <w:gridCol w:w="2040"/>
      </w:tblGrid>
      <w:tr>
        <w:trPr>
          <w:trHeight w:val="603"/>
        </w:trPr>
        <w:tc>
          <w:tcPr>
            <w:tcW w:w="4440" w:type="dxa"/>
            <w:tcBorders>
              <w:top w:val="single" w:sz="8" w:space="0" w:color="auto"/>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rPr>
            </w:pPr>
            <w:r>
              <w:rPr>
                <w:rFonts w:ascii="Times New Roman" w:hAnsi="Times New Roman"/>
                <w:b/>
                <w:i/>
                <w:noProof/>
              </w:rPr>
              <w:t>Плащания за 2016 г. за програмите за развитие на селските райони по ЕЗФРСР (в млн. евро)</w:t>
            </w:r>
          </w:p>
        </w:tc>
        <w:tc>
          <w:tcPr>
            <w:tcW w:w="1920"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rPr>
            </w:pPr>
            <w:r>
              <w:rPr>
                <w:rFonts w:ascii="Times New Roman" w:hAnsi="Times New Roman"/>
                <w:b/>
                <w:i/>
                <w:noProof/>
              </w:rPr>
              <w:t>2007—2013 г.</w:t>
            </w:r>
          </w:p>
        </w:tc>
        <w:tc>
          <w:tcPr>
            <w:tcW w:w="2040"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rPr>
            </w:pPr>
            <w:r>
              <w:rPr>
                <w:rFonts w:ascii="Times New Roman" w:hAnsi="Times New Roman"/>
                <w:b/>
                <w:i/>
                <w:noProof/>
              </w:rPr>
              <w:t>2014—2020 г.</w:t>
            </w:r>
          </w:p>
        </w:tc>
      </w:tr>
      <w:tr>
        <w:trPr>
          <w:trHeight w:val="265"/>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Позиция 05.040501</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Позиция 05.046001</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Предварително финансиране за периода 2014—2020 г.</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0,00</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1000,59</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Възстановяване на разходи по искания за плащане преди четвъртото тримесечие на 2015 г.</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277,49</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554,36</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Възстановяване на разходи по искания за плащане за четвъртото тримесечие на 2015 г.</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1547,84</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1346,31</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Възстановяване на разходи по искания за плащане за първото тримесечие на 2016 г.</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8,01</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1257,34</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Възстановяване на разходи по искания за плащане за второто тримесечие на 2016 г.</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0,00</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2038,53</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Възстановяване на разходи по искания за плащане за третото тримесечие на 2016 г.</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0,00</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1612,74</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Плащания за приключване 2007—2013 г.</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2662,43</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0,00</w:t>
            </w:r>
          </w:p>
        </w:tc>
      </w:tr>
      <w:tr>
        <w:trPr>
          <w:trHeight w:val="265"/>
        </w:trPr>
        <w:tc>
          <w:tcPr>
            <w:tcW w:w="444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Общо за 2016 г.</w:t>
            </w:r>
          </w:p>
        </w:tc>
        <w:tc>
          <w:tcPr>
            <w:tcW w:w="19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4495,77</w:t>
            </w:r>
          </w:p>
        </w:tc>
        <w:tc>
          <w:tcPr>
            <w:tcW w:w="20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7809,87</w:t>
            </w:r>
          </w:p>
        </w:tc>
      </w:tr>
    </w:tbl>
    <w:p>
      <w:pPr>
        <w:pStyle w:val="Text1"/>
        <w:ind w:right="749"/>
        <w:rPr>
          <w:noProof/>
        </w:rPr>
      </w:pPr>
    </w:p>
    <w:p>
      <w:pPr>
        <w:spacing w:before="120" w:after="120" w:line="240" w:lineRule="auto"/>
        <w:ind w:left="850" w:right="71"/>
        <w:jc w:val="both"/>
        <w:rPr>
          <w:rFonts w:ascii="Times New Roman" w:eastAsia="Times New Roman" w:hAnsi="Times New Roman"/>
          <w:noProof/>
          <w:color w:val="000000"/>
          <w:sz w:val="24"/>
        </w:rPr>
      </w:pPr>
      <w:r>
        <w:rPr>
          <w:rFonts w:ascii="Times New Roman" w:hAnsi="Times New Roman"/>
          <w:noProof/>
          <w:color w:val="000000"/>
          <w:sz w:val="24"/>
        </w:rPr>
        <w:t xml:space="preserve">Месечното усвояване на бюджетните кредити за плащания през годината (януари — декември 2016 г.) е показано в графиката по-долу. </w:t>
      </w:r>
    </w:p>
    <w:p>
      <w:pPr>
        <w:spacing w:before="120" w:after="120" w:line="240" w:lineRule="auto"/>
        <w:ind w:left="840"/>
        <w:jc w:val="both"/>
        <w:rPr>
          <w:rFonts w:ascii="Times New Roman" w:eastAsia="Times New Roman" w:hAnsi="Times New Roman"/>
          <w:noProof/>
          <w:color w:val="000000"/>
          <w:sz w:val="24"/>
        </w:rPr>
      </w:pPr>
    </w:p>
    <w:p>
      <w:pPr>
        <w:spacing w:before="120" w:after="120" w:line="240" w:lineRule="auto"/>
        <w:ind w:left="840" w:right="749"/>
        <w:jc w:val="both"/>
        <w:rPr>
          <w:rFonts w:ascii="Times New Roman" w:eastAsia="Times New Roman" w:hAnsi="Times New Roman"/>
          <w:noProof/>
          <w:color w:val="000000"/>
          <w:sz w:val="24"/>
        </w:rPr>
      </w:pPr>
      <w:r>
        <w:rPr>
          <w:rFonts w:ascii="Times New Roman" w:hAnsi="Times New Roman"/>
          <w:noProof/>
          <w:color w:val="000000"/>
          <w:sz w:val="24"/>
        </w:rPr>
        <w:t>Графика 1</w:t>
      </w:r>
    </w:p>
    <w:p>
      <w:pPr>
        <w:spacing w:before="120" w:after="120" w:line="240" w:lineRule="auto"/>
        <w:ind w:left="-480"/>
        <w:jc w:val="both"/>
        <w:rPr>
          <w:noProof/>
        </w:rPr>
      </w:pPr>
    </w:p>
    <w:p>
      <w:pPr>
        <w:spacing w:before="120" w:after="120" w:line="240" w:lineRule="auto"/>
        <w:ind w:right="71"/>
        <w:jc w:val="both"/>
        <w:rPr>
          <w:rFonts w:ascii="Times New Roman" w:eastAsia="Times New Roman" w:hAnsi="Times New Roman"/>
          <w:noProof/>
          <w:sz w:val="24"/>
        </w:rPr>
      </w:pPr>
      <w:r>
        <w:rPr>
          <w:rFonts w:ascii="Times New Roman" w:eastAsia="Times New Roman" w:hAnsi="Times New Roman"/>
          <w:noProof/>
          <w:sz w:val="24"/>
          <w:lang w:val="en-US" w:eastAsia="en-US" w:bidi="ar-SA"/>
        </w:rPr>
        <w:drawing>
          <wp:inline distT="0" distB="0" distL="0" distR="0">
            <wp:extent cx="6331839" cy="735614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31839" cy="7356144"/>
                    </a:xfrm>
                    <a:prstGeom prst="rect">
                      <a:avLst/>
                    </a:prstGeom>
                    <a:noFill/>
                  </pic:spPr>
                </pic:pic>
              </a:graphicData>
            </a:graphic>
          </wp:inline>
        </w:drawing>
      </w:r>
    </w:p>
    <w:p>
      <w:pPr>
        <w:spacing w:before="120" w:after="120" w:line="240" w:lineRule="auto"/>
        <w:ind w:left="850" w:right="71"/>
        <w:jc w:val="both"/>
        <w:rPr>
          <w:rFonts w:ascii="Times New Roman" w:eastAsia="Times New Roman" w:hAnsi="Times New Roman"/>
          <w:noProof/>
          <w:sz w:val="24"/>
        </w:rPr>
      </w:pP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В таблици 9а и 9б е показано разпределението по държави членки и по периоди на деклариране на сумите, изплатени от Комисията през бюджетната 2016 година. </w:t>
      </w:r>
    </w:p>
    <w:p>
      <w:pPr>
        <w:spacing w:before="120" w:after="120" w:line="240" w:lineRule="auto"/>
        <w:ind w:left="850" w:right="71"/>
        <w:jc w:val="both"/>
        <w:rPr>
          <w:rFonts w:ascii="Times New Roman" w:eastAsia="Times New Roman" w:hAnsi="Times New Roman"/>
          <w:noProof/>
          <w:sz w:val="24"/>
        </w:rPr>
      </w:pPr>
    </w:p>
    <w:p>
      <w:pPr>
        <w:keepNext/>
        <w:keepLines/>
        <w:spacing w:before="120" w:after="120" w:line="240" w:lineRule="auto"/>
        <w:ind w:left="850"/>
        <w:jc w:val="both"/>
        <w:rPr>
          <w:rFonts w:ascii="Times New Roman" w:eastAsia="Times New Roman" w:hAnsi="Times New Roman"/>
          <w:noProof/>
          <w:sz w:val="24"/>
        </w:rPr>
      </w:pPr>
      <w:r>
        <w:rPr>
          <w:noProof/>
        </w:rPr>
        <w:br w:type="page"/>
      </w:r>
      <w:r>
        <w:rPr>
          <w:rFonts w:ascii="Times New Roman" w:hAnsi="Times New Roman"/>
          <w:noProof/>
          <w:sz w:val="24"/>
        </w:rPr>
        <w:t>Таблица 9a</w:t>
      </w:r>
    </w:p>
    <w:tbl>
      <w:tblPr>
        <w:tblW w:w="8740" w:type="dxa"/>
        <w:tblInd w:w="93" w:type="dxa"/>
        <w:tblLook w:val="04A0" w:firstRow="1" w:lastRow="0" w:firstColumn="1" w:lastColumn="0" w:noHBand="0" w:noVBand="1"/>
      </w:tblPr>
      <w:tblGrid>
        <w:gridCol w:w="1140"/>
        <w:gridCol w:w="1600"/>
        <w:gridCol w:w="1380"/>
        <w:gridCol w:w="1535"/>
        <w:gridCol w:w="1685"/>
        <w:gridCol w:w="1400"/>
      </w:tblGrid>
      <w:tr>
        <w:trPr>
          <w:trHeight w:val="270"/>
        </w:trPr>
        <w:tc>
          <w:tcPr>
            <w:tcW w:w="8740" w:type="dxa"/>
            <w:gridSpan w:val="6"/>
            <w:tcBorders>
              <w:top w:val="single" w:sz="8" w:space="0" w:color="auto"/>
              <w:left w:val="single" w:sz="8" w:space="0" w:color="auto"/>
              <w:bottom w:val="single" w:sz="8" w:space="0" w:color="auto"/>
              <w:right w:val="single" w:sz="8" w:space="0" w:color="auto"/>
            </w:tcBorders>
            <w:shd w:val="clear" w:color="000000" w:fill="FFFF99"/>
            <w:vAlign w:val="center"/>
            <w:hideMark/>
          </w:tcPr>
          <w:p>
            <w:pPr>
              <w:keepNext/>
              <w:keepLines/>
              <w:spacing w:after="0" w:line="240" w:lineRule="auto"/>
              <w:rPr>
                <w:rFonts w:ascii="Times New Roman" w:eastAsia="Times New Roman" w:hAnsi="Times New Roman"/>
                <w:b/>
                <w:bCs/>
                <w:noProof/>
                <w:sz w:val="20"/>
                <w:szCs w:val="20"/>
              </w:rPr>
            </w:pPr>
            <w:r>
              <w:rPr>
                <w:rFonts w:ascii="Times New Roman" w:hAnsi="Times New Roman"/>
                <w:b/>
                <w:noProof/>
                <w:sz w:val="20"/>
              </w:rPr>
              <w:t>Реално извършени плащания в периода 1.1.2016 г. — 31.12.2016 г.</w:t>
            </w:r>
          </w:p>
        </w:tc>
      </w:tr>
      <w:tr>
        <w:trPr>
          <w:trHeight w:val="270"/>
        </w:trPr>
        <w:tc>
          <w:tcPr>
            <w:tcW w:w="8740" w:type="dxa"/>
            <w:gridSpan w:val="6"/>
            <w:tcBorders>
              <w:top w:val="single" w:sz="8" w:space="0" w:color="auto"/>
              <w:left w:val="single" w:sz="8" w:space="0" w:color="auto"/>
              <w:bottom w:val="single" w:sz="8" w:space="0" w:color="auto"/>
              <w:right w:val="single" w:sz="8" w:space="0" w:color="auto"/>
            </w:tcBorders>
            <w:shd w:val="clear" w:color="000000" w:fill="FFFF99"/>
            <w:vAlign w:val="center"/>
            <w:hideMark/>
          </w:tcPr>
          <w:p>
            <w:pPr>
              <w:keepNext/>
              <w:keepLines/>
              <w:spacing w:after="0" w:line="240" w:lineRule="auto"/>
              <w:rPr>
                <w:rFonts w:ascii="Times New Roman" w:eastAsia="Times New Roman" w:hAnsi="Times New Roman"/>
                <w:b/>
                <w:bCs/>
                <w:noProof/>
                <w:sz w:val="20"/>
                <w:szCs w:val="20"/>
              </w:rPr>
            </w:pPr>
            <w:r>
              <w:rPr>
                <w:rFonts w:ascii="Times New Roman" w:hAnsi="Times New Roman"/>
                <w:b/>
                <w:noProof/>
                <w:sz w:val="20"/>
              </w:rPr>
              <w:t xml:space="preserve">ЕЗФРСР 2007—2013 г. — бюджетна позиция 05.040501                                                                              </w:t>
            </w:r>
            <w:r>
              <w:rPr>
                <w:rFonts w:ascii="Times New Roman" w:hAnsi="Times New Roman"/>
                <w:b/>
                <w:i/>
                <w:noProof/>
                <w:sz w:val="20"/>
              </w:rPr>
              <w:t>(в евро)</w:t>
            </w:r>
          </w:p>
        </w:tc>
      </w:tr>
      <w:tr>
        <w:trPr>
          <w:trHeight w:val="975"/>
        </w:trPr>
        <w:tc>
          <w:tcPr>
            <w:tcW w:w="1140" w:type="dxa"/>
            <w:tcBorders>
              <w:top w:val="nil"/>
              <w:left w:val="single" w:sz="8" w:space="0" w:color="auto"/>
              <w:bottom w:val="single" w:sz="8" w:space="0" w:color="auto"/>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ДЧ</w:t>
            </w:r>
          </w:p>
        </w:tc>
        <w:tc>
          <w:tcPr>
            <w:tcW w:w="1600" w:type="dxa"/>
            <w:tcBorders>
              <w:top w:val="nil"/>
              <w:left w:val="nil"/>
              <w:bottom w:val="single" w:sz="8" w:space="0" w:color="auto"/>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Преди четвъртото тримесечие на 2015 г.</w:t>
            </w:r>
          </w:p>
        </w:tc>
        <w:tc>
          <w:tcPr>
            <w:tcW w:w="1380" w:type="dxa"/>
            <w:tcBorders>
              <w:top w:val="nil"/>
              <w:left w:val="nil"/>
              <w:bottom w:val="single" w:sz="8" w:space="0" w:color="auto"/>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18"/>
                <w:szCs w:val="18"/>
              </w:rPr>
            </w:pPr>
            <w:r>
              <w:rPr>
                <w:rFonts w:ascii="Times New Roman" w:hAnsi="Times New Roman"/>
                <w:b/>
                <w:noProof/>
                <w:sz w:val="18"/>
              </w:rPr>
              <w:t>Т4 2015 г.</w:t>
            </w:r>
          </w:p>
        </w:tc>
        <w:tc>
          <w:tcPr>
            <w:tcW w:w="1535" w:type="dxa"/>
            <w:tcBorders>
              <w:top w:val="nil"/>
              <w:left w:val="nil"/>
              <w:bottom w:val="single" w:sz="8" w:space="0" w:color="auto"/>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Положителни плащания, главно вследствие на решенията на Съда на ЕС</w:t>
            </w:r>
          </w:p>
        </w:tc>
        <w:tc>
          <w:tcPr>
            <w:tcW w:w="1685" w:type="dxa"/>
            <w:tcBorders>
              <w:top w:val="nil"/>
              <w:left w:val="nil"/>
              <w:bottom w:val="single" w:sz="8" w:space="0" w:color="auto"/>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Приключване</w:t>
            </w:r>
          </w:p>
        </w:tc>
        <w:tc>
          <w:tcPr>
            <w:tcW w:w="1400" w:type="dxa"/>
            <w:tcBorders>
              <w:top w:val="nil"/>
              <w:left w:val="nil"/>
              <w:bottom w:val="single" w:sz="8" w:space="0" w:color="auto"/>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keepNext/>
              <w:keepLines/>
              <w:spacing w:after="0" w:line="240" w:lineRule="auto"/>
              <w:jc w:val="center"/>
              <w:rPr>
                <w:rFonts w:ascii="Times New Roman" w:eastAsia="Times New Roman" w:hAnsi="Times New Roman"/>
                <w:b/>
                <w:bCs/>
                <w:noProof/>
                <w:sz w:val="18"/>
                <w:szCs w:val="18"/>
              </w:rPr>
            </w:pPr>
            <w:r>
              <w:rPr>
                <w:rFonts w:ascii="Times New Roman" w:hAnsi="Times New Roman"/>
                <w:b/>
                <w:noProof/>
                <w:sz w:val="18"/>
              </w:rPr>
              <w:t>AT</w:t>
            </w:r>
          </w:p>
        </w:tc>
        <w:tc>
          <w:tcPr>
            <w:tcW w:w="1600"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201 048 843</w:t>
            </w:r>
          </w:p>
        </w:tc>
        <w:tc>
          <w:tcPr>
            <w:tcW w:w="1400"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b/>
                <w:bCs/>
                <w:noProof/>
                <w:sz w:val="18"/>
                <w:szCs w:val="18"/>
              </w:rPr>
            </w:pPr>
            <w:r>
              <w:rPr>
                <w:rFonts w:ascii="Times New Roman" w:hAnsi="Times New Roman"/>
                <w:b/>
                <w:noProof/>
                <w:sz w:val="18"/>
              </w:rPr>
              <w:t>201 048 843</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keepNext/>
              <w:keepLines/>
              <w:spacing w:after="0" w:line="240" w:lineRule="auto"/>
              <w:jc w:val="center"/>
              <w:rPr>
                <w:rFonts w:ascii="Times New Roman" w:eastAsia="Times New Roman" w:hAnsi="Times New Roman"/>
                <w:b/>
                <w:bCs/>
                <w:noProof/>
                <w:sz w:val="18"/>
                <w:szCs w:val="18"/>
              </w:rPr>
            </w:pPr>
            <w:r>
              <w:rPr>
                <w:rFonts w:ascii="Times New Roman" w:hAnsi="Times New Roman"/>
                <w:b/>
                <w:noProof/>
                <w:sz w:val="18"/>
              </w:rPr>
              <w:t>BE</w:t>
            </w:r>
          </w:p>
        </w:tc>
        <w:tc>
          <w:tcPr>
            <w:tcW w:w="1600"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11 915 307</w:t>
            </w:r>
          </w:p>
        </w:tc>
        <w:tc>
          <w:tcPr>
            <w:tcW w:w="1400"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b/>
                <w:bCs/>
                <w:noProof/>
                <w:sz w:val="18"/>
                <w:szCs w:val="18"/>
              </w:rPr>
            </w:pPr>
            <w:r>
              <w:rPr>
                <w:rFonts w:ascii="Times New Roman" w:hAnsi="Times New Roman"/>
                <w:b/>
                <w:noProof/>
                <w:sz w:val="18"/>
              </w:rPr>
              <w:t>11 915 307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keepNext/>
              <w:keepLines/>
              <w:spacing w:after="0" w:line="240" w:lineRule="auto"/>
              <w:jc w:val="center"/>
              <w:rPr>
                <w:rFonts w:ascii="Times New Roman" w:eastAsia="Times New Roman" w:hAnsi="Times New Roman"/>
                <w:b/>
                <w:bCs/>
                <w:noProof/>
                <w:sz w:val="18"/>
                <w:szCs w:val="18"/>
              </w:rPr>
            </w:pPr>
            <w:r>
              <w:rPr>
                <w:rFonts w:ascii="Times New Roman" w:hAnsi="Times New Roman"/>
                <w:b/>
                <w:noProof/>
                <w:sz w:val="18"/>
              </w:rPr>
              <w:t>BG</w:t>
            </w:r>
          </w:p>
        </w:tc>
        <w:tc>
          <w:tcPr>
            <w:tcW w:w="1600"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211 263</w:t>
            </w:r>
          </w:p>
        </w:tc>
        <w:tc>
          <w:tcPr>
            <w:tcW w:w="1380"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104 910 087</w:t>
            </w:r>
          </w:p>
        </w:tc>
        <w:tc>
          <w:tcPr>
            <w:tcW w:w="1535"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b/>
                <w:bCs/>
                <w:noProof/>
                <w:sz w:val="18"/>
                <w:szCs w:val="18"/>
              </w:rPr>
            </w:pPr>
            <w:r>
              <w:rPr>
                <w:rFonts w:ascii="Times New Roman" w:hAnsi="Times New Roman"/>
                <w:b/>
                <w:noProof/>
                <w:sz w:val="18"/>
              </w:rPr>
              <w:t>105 121 350</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CY</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8 138 265</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8 138 265</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CZ</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584 299</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138 417 270</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139 001 569</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DE</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10 959 942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995 397</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388 608 987</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400 564 326</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DK</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7 243 066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20 963 291</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28 206 357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EE</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35 481 510</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35 481 510</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ES</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49 444 612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254 214 733</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28 301</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138 757 741</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442 445 387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FI</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927 828</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73 189 520</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74 117 347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FR</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24 430 594</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34 997 367</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4 746 784</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64 174 744</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GR</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3 215 169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451 499 242</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1 726 644</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456 441 055</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HU</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100 146 037</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100 146 037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IE</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123 238 683</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123 238 683</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IT</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123 857 373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215 437 259</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117 416 941</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456 711 574</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LT</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86 077 487</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86 077 487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LU</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4 310 828</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4 310 828</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LV</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303 187 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52 512 931</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52 816 118</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MT</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1 310 503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560 059</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2 656 238</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4 526 801</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NL</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27 849 916</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27 849 916</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PL</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654 646 405</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654 646 405</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PT</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3 922 417</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166 884 840</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170 807 257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RO</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54 175 098</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481 300 950</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535 476 048</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SE</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39 280 927</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39 280 927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SI</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42 697 633</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42 697 633</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SK</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86 339 546</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86 339 546</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UK</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2 637 812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141 550 893</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144 188 705</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c>
          <w:tcPr>
            <w:tcW w:w="16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277 485 432</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1 547 837 509</w:t>
            </w:r>
          </w:p>
        </w:tc>
        <w:tc>
          <w:tcPr>
            <w:tcW w:w="1535"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8 317 043</w:t>
            </w:r>
          </w:p>
        </w:tc>
        <w:tc>
          <w:tcPr>
            <w:tcW w:w="1685"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2 662 130 040</w:t>
            </w:r>
          </w:p>
        </w:tc>
        <w:tc>
          <w:tcPr>
            <w:tcW w:w="14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4 495 770 025</w:t>
            </w:r>
          </w:p>
        </w:tc>
      </w:tr>
    </w:tbl>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r>
        <w:rPr>
          <w:noProof/>
        </w:rPr>
        <w:br w:type="page"/>
      </w:r>
      <w:r>
        <w:rPr>
          <w:rFonts w:ascii="Times New Roman" w:hAnsi="Times New Roman"/>
          <w:noProof/>
          <w:sz w:val="24"/>
        </w:rPr>
        <w:t>Таблица 9б</w:t>
      </w:r>
    </w:p>
    <w:tbl>
      <w:tblPr>
        <w:tblW w:w="9720" w:type="dxa"/>
        <w:tblInd w:w="-372" w:type="dxa"/>
        <w:tblLook w:val="04A0" w:firstRow="1" w:lastRow="0" w:firstColumn="1" w:lastColumn="0" w:noHBand="0" w:noVBand="1"/>
      </w:tblPr>
      <w:tblGrid>
        <w:gridCol w:w="688"/>
        <w:gridCol w:w="1482"/>
        <w:gridCol w:w="1166"/>
        <w:gridCol w:w="1266"/>
        <w:gridCol w:w="1266"/>
        <w:gridCol w:w="1266"/>
        <w:gridCol w:w="1266"/>
        <w:gridCol w:w="1320"/>
      </w:tblGrid>
      <w:tr>
        <w:trPr>
          <w:trHeight w:val="270"/>
        </w:trPr>
        <w:tc>
          <w:tcPr>
            <w:tcW w:w="9720" w:type="dxa"/>
            <w:gridSpan w:val="8"/>
            <w:tcBorders>
              <w:top w:val="single" w:sz="8" w:space="0" w:color="auto"/>
              <w:left w:val="single" w:sz="8" w:space="0" w:color="auto"/>
              <w:bottom w:val="single" w:sz="8" w:space="0" w:color="auto"/>
              <w:right w:val="single" w:sz="8" w:space="0" w:color="000000"/>
            </w:tcBorders>
            <w:shd w:val="clear" w:color="000000" w:fill="FFFF99"/>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 xml:space="preserve">Реално извършени плащания в периода 1.1.2016 г. — 31.12.2016 г. </w:t>
            </w:r>
          </w:p>
        </w:tc>
      </w:tr>
      <w:tr>
        <w:trPr>
          <w:trHeight w:val="285"/>
        </w:trPr>
        <w:tc>
          <w:tcPr>
            <w:tcW w:w="8400" w:type="dxa"/>
            <w:gridSpan w:val="7"/>
            <w:tcBorders>
              <w:top w:val="single" w:sz="8" w:space="0" w:color="auto"/>
              <w:left w:val="single" w:sz="8" w:space="0" w:color="auto"/>
              <w:bottom w:val="single" w:sz="8" w:space="0" w:color="auto"/>
              <w:right w:val="nil"/>
            </w:tcBorders>
            <w:shd w:val="clear" w:color="000000" w:fill="FFFF99"/>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ЕЗФРСР 2014—2020 г. — бюджетна позиция 05.046001</w:t>
            </w:r>
          </w:p>
        </w:tc>
        <w:tc>
          <w:tcPr>
            <w:tcW w:w="132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i/>
                <w:iCs/>
                <w:noProof/>
                <w:sz w:val="20"/>
                <w:szCs w:val="20"/>
              </w:rPr>
            </w:pPr>
            <w:r>
              <w:rPr>
                <w:rFonts w:ascii="Times New Roman" w:hAnsi="Times New Roman"/>
                <w:b/>
                <w:i/>
                <w:noProof/>
                <w:sz w:val="20"/>
              </w:rPr>
              <w:t>(в евро)</w:t>
            </w:r>
          </w:p>
        </w:tc>
      </w:tr>
      <w:tr>
        <w:trPr>
          <w:trHeight w:val="495"/>
        </w:trPr>
        <w:tc>
          <w:tcPr>
            <w:tcW w:w="627"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ДЧ</w:t>
            </w:r>
          </w:p>
        </w:tc>
        <w:tc>
          <w:tcPr>
            <w:tcW w:w="1293"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Предварително финансиране</w:t>
            </w:r>
          </w:p>
        </w:tc>
        <w:tc>
          <w:tcPr>
            <w:tcW w:w="120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Преди четвъртото тримесечие на 2015 г.</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Т4 2015 г.</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Т1 2016 г.</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Т2 2016 г.</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 Т3 2016 г.</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AT</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39 375 520</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3 265 091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17 539 570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339 778 144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33 993 775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433 952 101</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BE</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6 477 978</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4 864 566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3 635 803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2 443 352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20 679 176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7 880 154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45 981 029</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BG</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23 667 170</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84 793 197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15 018 210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29 248 636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152 727 213</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CY</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1 322 444</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54 702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2 367 776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3 429 608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1 325 612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8 500 142</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CZ</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23 056 740</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4 850 094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31 962 882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50 356 787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60 232 281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34 480 775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204 939 559</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DE</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93 607 201</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17 663 132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218 875 742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165 939 180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148 021 290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97 342 001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741 448 545</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DK</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14 976 097</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991 945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20 595 204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17 020 883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17 784 549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18 536 432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89 905 110</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EE</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8 233 416</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4 138 495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6 567 382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48 892 142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13 093 427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15 209 984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96 134 846</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ES</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82 973 888</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14 051 954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67 590 620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81 033 254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68 486 032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147 428 430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461 564 178</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FI</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23 804 083</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48 031 959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106 332 534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5 276 183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57 387 698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110 154 555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350 987 012</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FR</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113 848 442</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315 907 655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90 883 881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22 904 483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41 866 580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52 994 771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638 405 812</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GR</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47 182 918</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8 494 055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26 664 899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192 679 994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275 021 867</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HR</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20 262 225</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388 120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10 181 227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5 305 518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72 442 372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42 726 922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151 306 384</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HU</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34 306 645</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196 249 540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12 218 585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242 774 769</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IE</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21 905 922</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49 948 020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77 659 945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10 385 332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8 342 894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107 486 601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275 728 714</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IT</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104 443 808</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11 074 939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40 546 961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64 506 841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174 280 211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129 139 789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523 992 549</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LT</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16 130 882</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1 147 244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32 577 397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33 299 991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61 974 997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44 957 701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190 088 212</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LU</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1 005 746</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13 645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3 306 700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867 396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2 168 098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7 361 586</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LV</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10 756 038</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2 527 228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31 848 828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33 063 678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19 549 712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21 843 592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119 589 076</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MT</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973 269</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565 944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23 513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1 562 726</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NL</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10 812 454</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943 989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4 002 744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23 346 116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5 065 312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1 091 765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45 262 379</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PL</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88 961 088</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73 652 412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238 330 817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50 868 806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451 813 122</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PT</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40 601 404</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35 704 235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284 545 887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114 089 541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51 094 441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51 511 050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577 546 557</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RO</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81 279 964</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56 984 320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231 935 189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235 097 590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605 297 063</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SE</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17 455 653</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430 800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51 589 535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55 384 861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15 530 153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68 470 024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208 861 025</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SI</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8 378 498</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1 163 339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22 175 367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26 250 286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26 101 394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1 570 151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85 639 035</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SK</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15 885 298</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673 179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34 644 205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6 584 291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37 635 408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26 144 967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121 567 349</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UK</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48 906 195</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39 849 997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203 467 861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246 560 880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86 990 969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76 141 057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701 916 960</w:t>
            </w:r>
          </w:p>
        </w:tc>
      </w:tr>
      <w:tr>
        <w:trPr>
          <w:trHeight w:val="270"/>
        </w:trPr>
        <w:tc>
          <w:tcPr>
            <w:tcW w:w="627"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c>
          <w:tcPr>
            <w:tcW w:w="1293"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1 000 590 984</w:t>
            </w:r>
          </w:p>
        </w:tc>
        <w:tc>
          <w:tcPr>
            <w:tcW w:w="120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554 364 534</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1 346 310 501</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1 257 342 323</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2 038 531 245</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1 612 735 333</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7 809 874 920</w:t>
            </w:r>
          </w:p>
        </w:tc>
      </w:tr>
    </w:tbl>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В таблици 10a и 10б са сравнени, по държави членки, извършените плащания по ЕЗФРСР през 2016 г. с извършените плащания по ЕЗФРСР през 2015 г. Общият размер на плащанията за програмите по ЕЗФРСР за периода 2007—2013 г. е намалял с 31 % (4,5 млрд. евро спрямо 6,5 млрд. евро); това отразява факта, че крайната дата за допустимост като разходи на Съюза за програмите за периода 2007—2013 г. е била 31 декември 2015 г. и че следователно плащанията за 2016 г. обхващат възстановените разходи за четвъртото тримесечие на 2015 г., както и плащанията по приключилите през 2016 г. програми на ЕЗФРСР. Същевременно плащанията за програмите по ЕЗФРСР за периода 2014—2020 г. са нараснали значително (с 49 %) в сравнение с 2015 г. (7,8 млрд. евро спрямо 5,3 млрд. евро).</w:t>
      </w:r>
    </w:p>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sectPr>
          <w:headerReference w:type="even" r:id="rId23"/>
          <w:headerReference w:type="default" r:id="rId24"/>
          <w:footerReference w:type="even" r:id="rId25"/>
          <w:footerReference w:type="default" r:id="rId26"/>
          <w:headerReference w:type="first" r:id="rId27"/>
          <w:footerReference w:type="first" r:id="rId28"/>
          <w:pgSz w:w="11907" w:h="16839" w:code="9"/>
          <w:pgMar w:top="1134" w:right="1418" w:bottom="1134" w:left="1418" w:header="709" w:footer="709" w:gutter="0"/>
          <w:cols w:space="708"/>
          <w:docGrid w:linePitch="360"/>
        </w:sectPr>
      </w:pPr>
    </w:p>
    <w:p>
      <w:pPr>
        <w:spacing w:after="0" w:line="240" w:lineRule="auto"/>
        <w:ind w:left="850"/>
        <w:jc w:val="both"/>
        <w:rPr>
          <w:rFonts w:ascii="Times New Roman" w:eastAsia="Times New Roman" w:hAnsi="Times New Roman"/>
          <w:noProof/>
          <w:sz w:val="24"/>
        </w:rPr>
      </w:pPr>
      <w:r>
        <w:rPr>
          <w:rFonts w:ascii="Times New Roman" w:hAnsi="Times New Roman"/>
          <w:noProof/>
          <w:sz w:val="24"/>
        </w:rPr>
        <w:t>Таблица 10a</w:t>
      </w:r>
    </w:p>
    <w:tbl>
      <w:tblPr>
        <w:tblW w:w="12341" w:type="dxa"/>
        <w:tblInd w:w="93" w:type="dxa"/>
        <w:tblLook w:val="04A0" w:firstRow="1" w:lastRow="0" w:firstColumn="1" w:lastColumn="0" w:noHBand="0" w:noVBand="1"/>
      </w:tblPr>
      <w:tblGrid>
        <w:gridCol w:w="1087"/>
        <w:gridCol w:w="1793"/>
        <w:gridCol w:w="1375"/>
        <w:gridCol w:w="1359"/>
        <w:gridCol w:w="1879"/>
        <w:gridCol w:w="1375"/>
        <w:gridCol w:w="1359"/>
        <w:gridCol w:w="1688"/>
        <w:gridCol w:w="1013"/>
      </w:tblGrid>
      <w:tr>
        <w:trPr>
          <w:trHeight w:val="255"/>
        </w:trPr>
        <w:tc>
          <w:tcPr>
            <w:tcW w:w="9640" w:type="dxa"/>
            <w:gridSpan w:val="7"/>
            <w:vMerge w:val="restart"/>
            <w:tcBorders>
              <w:top w:val="single" w:sz="8" w:space="0" w:color="auto"/>
              <w:left w:val="single" w:sz="8" w:space="0" w:color="auto"/>
              <w:bottom w:val="single" w:sz="8" w:space="0" w:color="000000"/>
              <w:right w:val="nil"/>
            </w:tcBorders>
            <w:shd w:val="clear" w:color="000000" w:fill="FFFF99"/>
            <w:noWrap/>
            <w:vAlign w:val="center"/>
            <w:hideMark/>
          </w:tcPr>
          <w:p>
            <w:pPr>
              <w:spacing w:after="0" w:line="240" w:lineRule="auto"/>
              <w:rPr>
                <w:rFonts w:ascii="Times New Roman" w:eastAsia="Times New Roman" w:hAnsi="Times New Roman"/>
                <w:b/>
                <w:bCs/>
                <w:noProof/>
                <w:sz w:val="18"/>
                <w:szCs w:val="18"/>
              </w:rPr>
            </w:pPr>
            <w:r>
              <w:rPr>
                <w:rFonts w:ascii="Times New Roman" w:hAnsi="Times New Roman"/>
                <w:b/>
                <w:noProof/>
                <w:sz w:val="18"/>
              </w:rPr>
              <w:t>Плащания, извършени към държавите членки — сравнение между 2016 г. и 2015 г. — по ЕЗФРСР за периода 2007—2013 г.</w:t>
            </w:r>
          </w:p>
        </w:tc>
        <w:tc>
          <w:tcPr>
            <w:tcW w:w="2701" w:type="dxa"/>
            <w:gridSpan w:val="2"/>
            <w:vMerge w:val="restart"/>
            <w:tcBorders>
              <w:top w:val="single" w:sz="8" w:space="0" w:color="auto"/>
              <w:left w:val="nil"/>
              <w:bottom w:val="single" w:sz="8" w:space="0" w:color="000000"/>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i/>
                <w:iCs/>
                <w:noProof/>
                <w:sz w:val="18"/>
                <w:szCs w:val="18"/>
              </w:rPr>
            </w:pPr>
            <w:r>
              <w:rPr>
                <w:rFonts w:ascii="Times New Roman" w:hAnsi="Times New Roman"/>
                <w:b/>
                <w:i/>
                <w:noProof/>
                <w:sz w:val="18"/>
              </w:rPr>
              <w:t>(в евро)</w:t>
            </w:r>
          </w:p>
        </w:tc>
      </w:tr>
      <w:tr>
        <w:trPr>
          <w:trHeight w:val="270"/>
        </w:trPr>
        <w:tc>
          <w:tcPr>
            <w:tcW w:w="9640" w:type="dxa"/>
            <w:gridSpan w:val="7"/>
            <w:vMerge/>
            <w:tcBorders>
              <w:top w:val="single" w:sz="8" w:space="0" w:color="auto"/>
              <w:left w:val="single" w:sz="8" w:space="0" w:color="auto"/>
              <w:bottom w:val="single" w:sz="8" w:space="0" w:color="000000"/>
              <w:right w:val="nil"/>
            </w:tcBorders>
            <w:vAlign w:val="center"/>
            <w:hideMark/>
          </w:tcPr>
          <w:p>
            <w:pPr>
              <w:spacing w:after="0" w:line="240" w:lineRule="auto"/>
              <w:rPr>
                <w:rFonts w:ascii="Times New Roman" w:eastAsia="Times New Roman" w:hAnsi="Times New Roman"/>
                <w:b/>
                <w:bCs/>
                <w:noProof/>
                <w:sz w:val="18"/>
                <w:szCs w:val="18"/>
              </w:rPr>
            </w:pPr>
          </w:p>
        </w:tc>
        <w:tc>
          <w:tcPr>
            <w:tcW w:w="2701" w:type="dxa"/>
            <w:gridSpan w:val="2"/>
            <w:vMerge/>
            <w:tcBorders>
              <w:top w:val="single" w:sz="8" w:space="0" w:color="auto"/>
              <w:left w:val="nil"/>
              <w:bottom w:val="single" w:sz="8" w:space="0" w:color="000000"/>
              <w:right w:val="single" w:sz="8" w:space="0" w:color="000000"/>
            </w:tcBorders>
            <w:vAlign w:val="center"/>
            <w:hideMark/>
          </w:tcPr>
          <w:p>
            <w:pPr>
              <w:spacing w:after="0" w:line="240" w:lineRule="auto"/>
              <w:rPr>
                <w:rFonts w:ascii="Times New Roman" w:eastAsia="Times New Roman" w:hAnsi="Times New Roman"/>
                <w:b/>
                <w:bCs/>
                <w:i/>
                <w:iCs/>
                <w:noProof/>
                <w:sz w:val="18"/>
                <w:szCs w:val="18"/>
              </w:rPr>
            </w:pPr>
          </w:p>
        </w:tc>
      </w:tr>
      <w:tr>
        <w:trPr>
          <w:trHeight w:val="270"/>
        </w:trPr>
        <w:tc>
          <w:tcPr>
            <w:tcW w:w="108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ДЧ</w:t>
            </w:r>
          </w:p>
        </w:tc>
        <w:tc>
          <w:tcPr>
            <w:tcW w:w="3956"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2015 г.</w:t>
            </w:r>
          </w:p>
        </w:tc>
        <w:tc>
          <w:tcPr>
            <w:tcW w:w="4597"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2016 г.</w:t>
            </w:r>
          </w:p>
        </w:tc>
        <w:tc>
          <w:tcPr>
            <w:tcW w:w="2701" w:type="dxa"/>
            <w:gridSpan w:val="2"/>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Разлика между 2016 г. и 2015 г.</w:t>
            </w:r>
          </w:p>
        </w:tc>
      </w:tr>
      <w:tr>
        <w:trPr>
          <w:trHeight w:val="270"/>
        </w:trPr>
        <w:tc>
          <w:tcPr>
            <w:tcW w:w="1087"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sz w:val="18"/>
                <w:szCs w:val="18"/>
              </w:rPr>
            </w:pPr>
          </w:p>
        </w:tc>
        <w:tc>
          <w:tcPr>
            <w:tcW w:w="1793"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Междинни плащания</w:t>
            </w:r>
          </w:p>
        </w:tc>
        <w:tc>
          <w:tcPr>
            <w:tcW w:w="804"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Приключване</w:t>
            </w:r>
          </w:p>
        </w:tc>
        <w:tc>
          <w:tcPr>
            <w:tcW w:w="1359"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c>
          <w:tcPr>
            <w:tcW w:w="1879"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Междинни плащания</w:t>
            </w:r>
          </w:p>
        </w:tc>
        <w:tc>
          <w:tcPr>
            <w:tcW w:w="1359"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Приключване</w:t>
            </w:r>
          </w:p>
        </w:tc>
        <w:tc>
          <w:tcPr>
            <w:tcW w:w="1359"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c>
          <w:tcPr>
            <w:tcW w:w="1688"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(в евро)</w:t>
            </w:r>
          </w:p>
        </w:tc>
        <w:tc>
          <w:tcPr>
            <w:tcW w:w="1013"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(в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AT</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201 048 843</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201 048 843</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201 048 843</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BE</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5 360 020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5 360 020</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11 915 307</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11 915 307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6 555 287</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122,30 %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BG</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404 510 426</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404 510 426</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105 121 350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105 121 350</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-299 389 076</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-74,01 %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CY</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18 280 429</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18 280 429</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8 138 265</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8 138 265</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-10 142 164</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-55,48 %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CZ</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584 299</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138 417 270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139 001 569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139 001 569</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DE</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287 887 731</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287 887 731</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11 955 339</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388 608 987</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400 564 326</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112 676 595</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39,14 %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DK</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60 727 573</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60 727 573</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7 243 066</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20 963 291</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28 206 357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-32 521 216</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-53,55 %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EE</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35 481 510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35 481 510</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35 481 510</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ES</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953 334 892</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953 334 892</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303 687 646</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138 757 741</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442 445 387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-510 889 505</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-53,59 %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FI</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927 828</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73 189 520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74 117 347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74 117 347</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FR</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239 865 433</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239 865 433</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64 174 744</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64 174 744</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-175 690 689</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-73,25 %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GR</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379 109 303</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379 109 303</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456 441 055</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456 441 055</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77 331 752</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20,40 %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HR</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HU</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382 092 959</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382 092 959</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100 146 037</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100 146 037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-281 946 922</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-73,79 %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IE</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123 238 683</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123 238 683</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123 238 683</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IT</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1 143 347 348</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1 143 347 348</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339 294 632</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117 416 941</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456 711 574</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-686 635 774</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-60,05 %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LT</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38 115 984</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38 115 984</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86 077 487</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86 077 487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47 961 503</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125,83 %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LU</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4 310 828</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4 310 828</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4 310 828</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LV</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303 187</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52 512 931</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52 816 118</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52 816 118</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MT</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8 590 730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8 590 730</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1 870 562</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2 656 238</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4 526 801</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-4 063 929</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-47,31 %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NL</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10 583 063</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10 583 063</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27 849 916</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27 849 916</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17 266 853</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163,16 %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PL</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1 170 599 020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1 170 599 020</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654 646 405</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654 646 405</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-515 952 615</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-44,08 %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PT</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31 039 518</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31 039 518</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3 922 417</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166 884 840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170 807 257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139 767 739</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450,29 %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RO</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1 257 624 319</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1 257 624 319</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535 476 048</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535 476 048</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-722 148 271</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-57,42 %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SE</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39 280 927</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39 280 927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39 280 927</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SI</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42 697 633</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42 697 633</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42 697 633</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SK</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29 960 498</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29 960 498</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86 339 546</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86 339 546</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56 379 048</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188,18 %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UK</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43 269 312</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43 269 312</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2 637 812</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141 550 893</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144 188 705</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100 919 393</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233,24 %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c>
          <w:tcPr>
            <w:tcW w:w="1793"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6 464 298 560</w:t>
            </w:r>
          </w:p>
        </w:tc>
        <w:tc>
          <w:tcPr>
            <w:tcW w:w="804"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0</w:t>
            </w:r>
          </w:p>
        </w:tc>
        <w:tc>
          <w:tcPr>
            <w:tcW w:w="1359"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6 464 298 560</w:t>
            </w:r>
          </w:p>
        </w:tc>
        <w:tc>
          <w:tcPr>
            <w:tcW w:w="1879"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1 833 639 985</w:t>
            </w:r>
          </w:p>
        </w:tc>
        <w:tc>
          <w:tcPr>
            <w:tcW w:w="1359"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2 662 130 040</w:t>
            </w:r>
          </w:p>
        </w:tc>
        <w:tc>
          <w:tcPr>
            <w:tcW w:w="1359"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4 495 770 025</w:t>
            </w:r>
          </w:p>
        </w:tc>
        <w:tc>
          <w:tcPr>
            <w:tcW w:w="1688"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-1 968 528 535</w:t>
            </w:r>
          </w:p>
        </w:tc>
        <w:tc>
          <w:tcPr>
            <w:tcW w:w="1013"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-30,45 %</w:t>
            </w:r>
          </w:p>
        </w:tc>
      </w:tr>
    </w:tbl>
    <w:p>
      <w:pPr>
        <w:spacing w:after="0" w:line="240" w:lineRule="auto"/>
        <w:ind w:left="850"/>
        <w:jc w:val="both"/>
        <w:rPr>
          <w:rFonts w:ascii="Times New Roman" w:eastAsia="Times New Roman" w:hAnsi="Times New Roman"/>
          <w:noProof/>
          <w:sz w:val="24"/>
        </w:rPr>
      </w:pPr>
      <w:r>
        <w:rPr>
          <w:rFonts w:ascii="Times New Roman" w:hAnsi="Times New Roman"/>
          <w:noProof/>
          <w:sz w:val="24"/>
        </w:rPr>
        <w:t>Таблица 10б</w:t>
      </w:r>
    </w:p>
    <w:tbl>
      <w:tblPr>
        <w:tblW w:w="12340" w:type="dxa"/>
        <w:tblInd w:w="93" w:type="dxa"/>
        <w:tblLook w:val="04A0" w:firstRow="1" w:lastRow="0" w:firstColumn="1" w:lastColumn="0" w:noHBand="0" w:noVBand="1"/>
      </w:tblPr>
      <w:tblGrid>
        <w:gridCol w:w="1034"/>
        <w:gridCol w:w="1707"/>
        <w:gridCol w:w="1482"/>
        <w:gridCol w:w="1294"/>
        <w:gridCol w:w="1707"/>
        <w:gridCol w:w="1482"/>
        <w:gridCol w:w="1294"/>
        <w:gridCol w:w="1380"/>
        <w:gridCol w:w="1300"/>
      </w:tblGrid>
      <w:tr>
        <w:trPr>
          <w:trHeight w:val="255"/>
        </w:trPr>
        <w:tc>
          <w:tcPr>
            <w:tcW w:w="9660" w:type="dxa"/>
            <w:gridSpan w:val="7"/>
            <w:vMerge w:val="restart"/>
            <w:tcBorders>
              <w:top w:val="single" w:sz="8" w:space="0" w:color="auto"/>
              <w:left w:val="single" w:sz="8" w:space="0" w:color="auto"/>
              <w:bottom w:val="single" w:sz="8" w:space="0" w:color="000000"/>
              <w:right w:val="nil"/>
            </w:tcBorders>
            <w:shd w:val="clear" w:color="000000" w:fill="FFFF99"/>
            <w:noWrap/>
            <w:vAlign w:val="center"/>
            <w:hideMark/>
          </w:tcPr>
          <w:p>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Плащания, извършени към държавите членки — сравнение между 2016 г. и 2015 г. — </w:t>
            </w:r>
            <w:r>
              <w:rPr>
                <w:rFonts w:ascii="Times New Roman" w:hAnsi="Times New Roman"/>
                <w:b/>
                <w:noProof/>
                <w:sz w:val="18"/>
                <w:u w:val="single"/>
              </w:rPr>
              <w:t>по ЕЗФРСР за периода 2014—2020 г.</w:t>
            </w:r>
          </w:p>
        </w:tc>
        <w:tc>
          <w:tcPr>
            <w:tcW w:w="1380" w:type="dxa"/>
            <w:vMerge w:val="restart"/>
            <w:tcBorders>
              <w:top w:val="single" w:sz="8" w:space="0" w:color="auto"/>
              <w:left w:val="nil"/>
              <w:bottom w:val="single" w:sz="8" w:space="0" w:color="000000"/>
              <w:right w:val="nil"/>
            </w:tcBorders>
            <w:shd w:val="clear" w:color="000000" w:fill="FFFF99"/>
            <w:noWrap/>
            <w:vAlign w:val="center"/>
            <w:hideMark/>
          </w:tcPr>
          <w:p>
            <w:pPr>
              <w:spacing w:after="0" w:line="240" w:lineRule="auto"/>
              <w:jc w:val="center"/>
              <w:rPr>
                <w:rFonts w:ascii="Times New Roman" w:eastAsia="Times New Roman" w:hAnsi="Times New Roman"/>
                <w:b/>
                <w:bCs/>
                <w:i/>
                <w:iCs/>
                <w:noProof/>
                <w:sz w:val="18"/>
                <w:szCs w:val="18"/>
              </w:rPr>
            </w:pPr>
            <w:r>
              <w:rPr>
                <w:rFonts w:ascii="Times New Roman" w:hAnsi="Times New Roman"/>
                <w:b/>
                <w:i/>
                <w:noProof/>
                <w:sz w:val="18"/>
              </w:rPr>
              <w:t>(в евро)</w:t>
            </w:r>
          </w:p>
        </w:tc>
        <w:tc>
          <w:tcPr>
            <w:tcW w:w="1300" w:type="dxa"/>
            <w:vMerge w:val="restart"/>
            <w:tcBorders>
              <w:top w:val="single" w:sz="8" w:space="0" w:color="auto"/>
              <w:left w:val="nil"/>
              <w:bottom w:val="single" w:sz="8" w:space="0" w:color="000000"/>
              <w:right w:val="single" w:sz="8" w:space="0" w:color="auto"/>
            </w:tcBorders>
            <w:shd w:val="clear" w:color="000000" w:fill="FFFF99"/>
            <w:noWrap/>
            <w:vAlign w:val="center"/>
            <w:hideMark/>
          </w:tcPr>
          <w:p>
            <w:pPr>
              <w:spacing w:after="0" w:line="240" w:lineRule="auto"/>
              <w:rPr>
                <w:rFonts w:ascii="Times New Roman" w:eastAsia="Times New Roman" w:hAnsi="Times New Roman"/>
                <w:noProof/>
                <w:sz w:val="18"/>
                <w:szCs w:val="18"/>
              </w:rPr>
            </w:pPr>
            <w:r>
              <w:rPr>
                <w:rFonts w:ascii="Times New Roman" w:hAnsi="Times New Roman"/>
                <w:noProof/>
                <w:sz w:val="18"/>
              </w:rPr>
              <w:t> </w:t>
            </w:r>
          </w:p>
        </w:tc>
      </w:tr>
      <w:tr>
        <w:trPr>
          <w:trHeight w:val="270"/>
        </w:trPr>
        <w:tc>
          <w:tcPr>
            <w:tcW w:w="9660" w:type="dxa"/>
            <w:gridSpan w:val="7"/>
            <w:vMerge/>
            <w:tcBorders>
              <w:top w:val="single" w:sz="8" w:space="0" w:color="auto"/>
              <w:left w:val="single" w:sz="8" w:space="0" w:color="auto"/>
              <w:bottom w:val="single" w:sz="8" w:space="0" w:color="000000"/>
              <w:right w:val="nil"/>
            </w:tcBorders>
            <w:vAlign w:val="center"/>
            <w:hideMark/>
          </w:tcPr>
          <w:p>
            <w:pPr>
              <w:spacing w:after="0" w:line="240" w:lineRule="auto"/>
              <w:rPr>
                <w:rFonts w:ascii="Times New Roman" w:eastAsia="Times New Roman" w:hAnsi="Times New Roman"/>
                <w:b/>
                <w:bCs/>
                <w:noProof/>
                <w:sz w:val="18"/>
                <w:szCs w:val="18"/>
              </w:rPr>
            </w:pPr>
          </w:p>
        </w:tc>
        <w:tc>
          <w:tcPr>
            <w:tcW w:w="1380" w:type="dxa"/>
            <w:vMerge/>
            <w:tcBorders>
              <w:top w:val="single" w:sz="8" w:space="0" w:color="auto"/>
              <w:left w:val="nil"/>
              <w:bottom w:val="single" w:sz="8" w:space="0" w:color="000000"/>
              <w:right w:val="nil"/>
            </w:tcBorders>
            <w:vAlign w:val="center"/>
            <w:hideMark/>
          </w:tcPr>
          <w:p>
            <w:pPr>
              <w:spacing w:after="0" w:line="240" w:lineRule="auto"/>
              <w:rPr>
                <w:rFonts w:ascii="Times New Roman" w:eastAsia="Times New Roman" w:hAnsi="Times New Roman"/>
                <w:b/>
                <w:bCs/>
                <w:i/>
                <w:iCs/>
                <w:noProof/>
                <w:sz w:val="18"/>
                <w:szCs w:val="18"/>
              </w:rPr>
            </w:pPr>
          </w:p>
        </w:tc>
        <w:tc>
          <w:tcPr>
            <w:tcW w:w="1300" w:type="dxa"/>
            <w:vMerge/>
            <w:tcBorders>
              <w:top w:val="single" w:sz="8" w:space="0" w:color="auto"/>
              <w:left w:val="nil"/>
              <w:bottom w:val="single" w:sz="8" w:space="0" w:color="000000"/>
              <w:right w:val="single" w:sz="8" w:space="0" w:color="auto"/>
            </w:tcBorders>
            <w:vAlign w:val="center"/>
            <w:hideMark/>
          </w:tcPr>
          <w:p>
            <w:pPr>
              <w:spacing w:after="0" w:line="240" w:lineRule="auto"/>
              <w:rPr>
                <w:rFonts w:ascii="Times New Roman" w:eastAsia="Times New Roman" w:hAnsi="Times New Roman"/>
                <w:noProof/>
                <w:sz w:val="18"/>
                <w:szCs w:val="18"/>
              </w:rPr>
            </w:pPr>
          </w:p>
        </w:tc>
      </w:tr>
      <w:tr>
        <w:trPr>
          <w:trHeight w:val="270"/>
        </w:trPr>
        <w:tc>
          <w:tcPr>
            <w:tcW w:w="1034"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ДЧ</w:t>
            </w:r>
          </w:p>
        </w:tc>
        <w:tc>
          <w:tcPr>
            <w:tcW w:w="4313"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2015 г.</w:t>
            </w:r>
          </w:p>
        </w:tc>
        <w:tc>
          <w:tcPr>
            <w:tcW w:w="4313"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2016 г.</w:t>
            </w:r>
          </w:p>
        </w:tc>
        <w:tc>
          <w:tcPr>
            <w:tcW w:w="2680" w:type="dxa"/>
            <w:gridSpan w:val="2"/>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Разлика между 2016 г. и 2015 г.</w:t>
            </w:r>
          </w:p>
        </w:tc>
      </w:tr>
      <w:tr>
        <w:trPr>
          <w:trHeight w:val="270"/>
        </w:trPr>
        <w:tc>
          <w:tcPr>
            <w:tcW w:w="1034"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sz w:val="18"/>
                <w:szCs w:val="18"/>
              </w:rPr>
            </w:pPr>
          </w:p>
        </w:tc>
        <w:tc>
          <w:tcPr>
            <w:tcW w:w="1707"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Междинни плащания</w:t>
            </w:r>
          </w:p>
        </w:tc>
        <w:tc>
          <w:tcPr>
            <w:tcW w:w="1312"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Предварително финансиране</w:t>
            </w:r>
          </w:p>
        </w:tc>
        <w:tc>
          <w:tcPr>
            <w:tcW w:w="1294"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c>
          <w:tcPr>
            <w:tcW w:w="1707"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Междинни плащания</w:t>
            </w:r>
          </w:p>
        </w:tc>
        <w:tc>
          <w:tcPr>
            <w:tcW w:w="1312"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Предварително финансиране</w:t>
            </w:r>
          </w:p>
        </w:tc>
        <w:tc>
          <w:tcPr>
            <w:tcW w:w="1294"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c>
          <w:tcPr>
            <w:tcW w:w="138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(в евро)</w:t>
            </w:r>
          </w:p>
        </w:tc>
        <w:tc>
          <w:tcPr>
            <w:tcW w:w="130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(в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AT</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381 361 904</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39 375 520</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420 737 424</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394 576 581</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39 375 520</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433 952 101</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13 214 677</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3,14 %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BE</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60 955 847</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12 955 955</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73 911 803</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39 503 051</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6 477 978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45 981 029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-27 930 774</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-37,79 %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BG</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47 334 339</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47 334 339</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129 060 043</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23 667 170</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152 727 213</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105 392 874</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222,66 %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CY</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3 967 331</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3 967 331</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7 177 699</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1 322 444</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8 500 142</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4 532 811</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114,25 %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CZ</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187 621 864</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46 113 480</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233 735 344</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181 882 819</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23 056 740</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204 939 559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-28 795 785</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-12,32 %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DE</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270 520 722</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171 219 696</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441 740 417</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647 841 345</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93 607 201</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741 448 545</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299 708 128</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67,85 %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DK</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1 704 161</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6 294 007</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7 998 168</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74 929 013</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14 976 097</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89 905 110</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81 906 942</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1024,07 %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EE</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31 042 916</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16 466 831</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47 509 747</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87 901 431</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8 233 416</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96 134 846</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48 625 099</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102,35 %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ES</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12 750 662</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207 434 721</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220 185 382</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378 590 289</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82 973 888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461 564 178</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241 378 796</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109,63 %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FI</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382 518 728</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24 011 173</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406 529 902</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327 182 929</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23 804 083</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350 987 012</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-55 542 890</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-13,66 %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FR</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345 362 039</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227 696 885</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573 058 924</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524 557 370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113 848 442</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638 405 812</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65 346 888</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11,40 %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GR</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141 548 754</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141 548 754</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227 838 949</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47 182 918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275 021 867</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133 473 113</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94,29 %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HR</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54 335 233</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40 524 450</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94 859 683</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131 044 159</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20 262 225</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151 306 384</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56 446 701</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59,51 %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HU</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68 613 290</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68 613 290</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208 468 125</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34 306 645</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242 774 769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174 161 479</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253,83 %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IE</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327 135 539</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54 764 804</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381 900 343</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253 822 792</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21 905 922</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275 728 714</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-106 171 629</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-27,80 %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IT</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7 578 868</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208 887 615</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216 466 483</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419 548 741</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104 443 808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523 992 549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307 526 066</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142,07 %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LT</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38 414 223</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32 261 765</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70 675 988</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173 957 330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16 130 882</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190 088 212</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119 412 224</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168,96 %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LU</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12 209 640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2 011 492</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14 221 132</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6 355 840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1 005 746</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7 361 586</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-6 859 546</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-48,23 %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LV</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53 339 164</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21 512 076</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74 851 240</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108 833 038</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10 756 038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119 589 076</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44 737 836</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59,77 %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MT</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1 946 538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1 946 538</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589 457</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973 269</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1 562 726</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-383 812</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-19,72 %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NL</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27 621 653</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12 146 107</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39 767 761</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34 449 926</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10 812 454</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45 262 379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5 494 618</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13,82 %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PL</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174 360 865</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85 982 808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260 343 673</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362 852 034</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88 961 088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451 813 122</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191 469 449</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73,54 %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PT</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226 596 314</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47 698 857</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274 295 171</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536 945 153</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40 601 404</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577 546 557</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303 251 386</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110,56 %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RO</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243 839 892</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243 839 892</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524 017 099</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81 279 964</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605 297 063</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361 457 171</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148,24 %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SE</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140 723 643</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34 911 305</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175 634 948</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191 405 372</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17 455 653</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208 861 025</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33 226 077</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18,92 %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SI</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29 933 496</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16 756 996</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46 690 492</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77 260 537</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8 378 498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85 639 035</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38 948 543</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83,42 %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SK</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61 667 351</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30 905 457</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92 572 808</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105 682 050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15 885 298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121 567 349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28 994 541</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31,32 %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UK</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479 188 117</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98 067 330</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577 255 447</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653 010 765</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48 906 195</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701 916 960</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124 661 513</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21,60 %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c>
          <w:tcPr>
            <w:tcW w:w="1707"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3 306 942 948</w:t>
            </w:r>
          </w:p>
        </w:tc>
        <w:tc>
          <w:tcPr>
            <w:tcW w:w="1312"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1 945 249 474</w:t>
            </w:r>
          </w:p>
        </w:tc>
        <w:tc>
          <w:tcPr>
            <w:tcW w:w="1294"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5 252 192 422</w:t>
            </w:r>
          </w:p>
        </w:tc>
        <w:tc>
          <w:tcPr>
            <w:tcW w:w="1707"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6 809 283 936</w:t>
            </w:r>
          </w:p>
        </w:tc>
        <w:tc>
          <w:tcPr>
            <w:tcW w:w="1312"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1 000 590 984</w:t>
            </w:r>
          </w:p>
        </w:tc>
        <w:tc>
          <w:tcPr>
            <w:tcW w:w="1294"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7 809 874 920</w:t>
            </w:r>
          </w:p>
        </w:tc>
        <w:tc>
          <w:tcPr>
            <w:tcW w:w="13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2 557 682 498</w:t>
            </w:r>
          </w:p>
        </w:tc>
        <w:tc>
          <w:tcPr>
            <w:tcW w:w="130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48,70 %</w:t>
            </w:r>
          </w:p>
        </w:tc>
      </w:tr>
    </w:tbl>
    <w:p>
      <w:pPr>
        <w:spacing w:before="120" w:after="120" w:line="240" w:lineRule="auto"/>
        <w:jc w:val="both"/>
        <w:rPr>
          <w:rFonts w:ascii="Times New Roman" w:eastAsia="Times New Roman" w:hAnsi="Times New Roman"/>
          <w:noProof/>
          <w:sz w:val="24"/>
        </w:rPr>
        <w:sectPr>
          <w:headerReference w:type="even" r:id="rId29"/>
          <w:headerReference w:type="default" r:id="rId30"/>
          <w:footerReference w:type="even" r:id="rId31"/>
          <w:footerReference w:type="default" r:id="rId32"/>
          <w:headerReference w:type="first" r:id="rId33"/>
          <w:footerReference w:type="first" r:id="rId34"/>
          <w:pgSz w:w="16839" w:h="11907" w:orient="landscape" w:code="9"/>
          <w:pgMar w:top="480" w:right="1134" w:bottom="840" w:left="1134" w:header="360" w:footer="0" w:gutter="0"/>
          <w:cols w:space="708"/>
          <w:docGrid w:linePitch="360"/>
        </w:sectPr>
      </w:pPr>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20" w:name="_Toc491943971"/>
      <w:r>
        <w:rPr>
          <w:rFonts w:ascii="Times New Roman" w:hAnsi="Times New Roman"/>
          <w:i/>
          <w:noProof/>
          <w:sz w:val="24"/>
        </w:rPr>
        <w:t>3.2.2.</w:t>
      </w:r>
      <w:r>
        <w:rPr>
          <w:noProof/>
        </w:rPr>
        <w:tab/>
      </w:r>
      <w:r>
        <w:rPr>
          <w:rFonts w:ascii="Times New Roman" w:hAnsi="Times New Roman"/>
          <w:i/>
          <w:noProof/>
          <w:sz w:val="24"/>
        </w:rPr>
        <w:t>Техническа помощ</w:t>
      </w:r>
      <w:bookmarkEnd w:id="20"/>
      <w:r>
        <w:rPr>
          <w:rFonts w:ascii="Times New Roman" w:hAnsi="Times New Roman"/>
          <w:i/>
          <w:noProof/>
          <w:sz w:val="24"/>
          <w:highlight w:val="yellow"/>
        </w:rPr>
        <w:t xml:space="preserve">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За програмния период 2014—2020 г. размерът на бюджетните кредити за плащания за техническа помощ беше 20,0 млн. евро. Част от тези бюджетни кредити (3,0 млн. евро) бяха прехвърлени за покриване на нуждите от плащания във връзка с програмите за развитие на селските райони по ЕЗФРСР за периода 2007—2013 г.</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В следващата таблица 12 са представени плащанията, групирани по основни дейности. Най-голямата част се отнася до Европейската мрежа за развитие на селските райони.</w:t>
      </w:r>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Таблица 11</w:t>
      </w:r>
    </w:p>
    <w:tbl>
      <w:tblPr>
        <w:tblW w:w="7061" w:type="dxa"/>
        <w:tblInd w:w="1327" w:type="dxa"/>
        <w:tblLook w:val="04A0" w:firstRow="1" w:lastRow="0" w:firstColumn="1" w:lastColumn="0" w:noHBand="0" w:noVBand="1"/>
      </w:tblPr>
      <w:tblGrid>
        <w:gridCol w:w="5175"/>
        <w:gridCol w:w="1886"/>
      </w:tblGrid>
      <w:tr>
        <w:trPr>
          <w:trHeight w:val="315"/>
        </w:trPr>
        <w:tc>
          <w:tcPr>
            <w:tcW w:w="7061"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b/>
                <w:bCs/>
                <w:i/>
                <w:iCs/>
                <w:noProof/>
              </w:rPr>
            </w:pPr>
            <w:r>
              <w:rPr>
                <w:rFonts w:ascii="Times New Roman" w:hAnsi="Times New Roman"/>
                <w:b/>
                <w:i/>
                <w:noProof/>
              </w:rPr>
              <w:t>Техническа помощ — усвояване на бюджетните кредити за плащания</w:t>
            </w:r>
          </w:p>
        </w:tc>
      </w:tr>
      <w:tr>
        <w:trPr>
          <w:trHeight w:val="315"/>
        </w:trPr>
        <w:tc>
          <w:tcPr>
            <w:tcW w:w="5175"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Бюджетна позиция: 05.046002</w:t>
            </w:r>
          </w:p>
        </w:tc>
        <w:tc>
          <w:tcPr>
            <w:tcW w:w="188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rPr>
            </w:pPr>
            <w:r>
              <w:rPr>
                <w:rFonts w:ascii="Times New Roman" w:hAnsi="Times New Roman"/>
                <w:i/>
                <w:noProof/>
                <w:sz w:val="20"/>
              </w:rPr>
              <w:t xml:space="preserve"> (в евро) </w:t>
            </w:r>
          </w:p>
        </w:tc>
      </w:tr>
      <w:tr>
        <w:trPr>
          <w:trHeight w:val="315"/>
        </w:trPr>
        <w:tc>
          <w:tcPr>
            <w:tcW w:w="5175"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Описание</w:t>
            </w:r>
          </w:p>
        </w:tc>
        <w:tc>
          <w:tcPr>
            <w:tcW w:w="1886"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 xml:space="preserve">Изплатена сума </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Европейска мрежа за развитие на селските райони</w:t>
            </w:r>
          </w:p>
        </w:tc>
        <w:tc>
          <w:tcPr>
            <w:tcW w:w="1886"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3 807 289</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Информационни технологии</w:t>
            </w:r>
          </w:p>
        </w:tc>
        <w:tc>
          <w:tcPr>
            <w:tcW w:w="1886"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2 331 319</w:t>
            </w:r>
          </w:p>
        </w:tc>
      </w:tr>
      <w:tr>
        <w:trPr>
          <w:trHeight w:val="353"/>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Техническа експертна платформа за финансови инструменти</w:t>
            </w:r>
          </w:p>
        </w:tc>
        <w:tc>
          <w:tcPr>
            <w:tcW w:w="1886"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2 198 479</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Европейско партньорство за иновации</w:t>
            </w:r>
          </w:p>
        </w:tc>
        <w:tc>
          <w:tcPr>
            <w:tcW w:w="1886"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2 159 784</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Европейска мрежа за оценка</w:t>
            </w:r>
          </w:p>
        </w:tc>
        <w:tc>
          <w:tcPr>
            <w:tcW w:w="1886"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1 404 023</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Одит и контрол</w:t>
            </w:r>
          </w:p>
        </w:tc>
        <w:tc>
          <w:tcPr>
            <w:tcW w:w="1886"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812 715</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Защита на символи</w:t>
            </w:r>
          </w:p>
        </w:tc>
        <w:tc>
          <w:tcPr>
            <w:tcW w:w="1886"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100 000</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Мероприятия</w:t>
            </w:r>
          </w:p>
        </w:tc>
        <w:tc>
          <w:tcPr>
            <w:tcW w:w="1886"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214</w:t>
            </w:r>
          </w:p>
        </w:tc>
      </w:tr>
      <w:tr>
        <w:trPr>
          <w:trHeight w:val="315"/>
        </w:trPr>
        <w:tc>
          <w:tcPr>
            <w:tcW w:w="5175"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Общо</w:t>
            </w:r>
          </w:p>
        </w:tc>
        <w:tc>
          <w:tcPr>
            <w:tcW w:w="1886"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12 813 822</w:t>
            </w:r>
          </w:p>
        </w:tc>
      </w:tr>
    </w:tbl>
    <w:p>
      <w:pPr>
        <w:spacing w:before="120" w:after="120" w:line="240" w:lineRule="auto"/>
        <w:ind w:left="850"/>
        <w:jc w:val="both"/>
        <w:rPr>
          <w:rFonts w:ascii="Times New Roman" w:eastAsia="Times New Roman" w:hAnsi="Times New Roman"/>
          <w:noProof/>
          <w:color w:val="000000"/>
          <w:sz w:val="24"/>
        </w:rPr>
      </w:pP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21" w:name="_Toc491943972"/>
      <w:r>
        <w:rPr>
          <w:rFonts w:ascii="Times New Roman" w:hAnsi="Times New Roman"/>
          <w:b/>
          <w:noProof/>
          <w:sz w:val="24"/>
        </w:rPr>
        <w:t>3.3.</w:t>
      </w:r>
      <w:r>
        <w:rPr>
          <w:noProof/>
        </w:rPr>
        <w:tab/>
      </w:r>
      <w:r>
        <w:rPr>
          <w:rFonts w:ascii="Times New Roman" w:hAnsi="Times New Roman"/>
          <w:b/>
          <w:noProof/>
          <w:sz w:val="24"/>
        </w:rPr>
        <w:t>Анализ на декларираните разходи по оси и/или по мерки</w:t>
      </w:r>
      <w:bookmarkEnd w:id="21"/>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В таблици 12а и 12б са показани декларираните искания за плащане, по държави членки и по оси/мерки, за развитието на селските райони през 2016 г. (от 4-ото тримесечие на 2015 г. до 3-ото тримесечие на 2016 г.), кумулативните декларирани разходи от началото на програмите, както и финансовите планове за програмите по ЕЗФРСР.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Следва да се отбележи, че 4-ото тримесечие на 2015 г. е било последното тримесечие за деклариране на разходи по ЕЗФРСР за периода 2007—2013 г. През това тримесечие разходите са били съсредоточени по ос 1 (40,3 %), следвани от тези по ос 2 с 23,3 %, ос 3 с 20,8 % и ос 4 с 12,8 %. Кумулативните декларирани разходи от началото на програмите (съответно 32,0 %, 47,7 %, 12,4 % и 5,9 % за оси 1—4) до голяма степен съответстват на програмирането по оси.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Мерките по ос 2 включват главно годишни плащания (напр. агроекологични мерки), докато оси 1, 3 и в по-малка степен ос 4 са свързани предимно с многогодишни мерки, които изискват по-продължителна процедура за тяхното одобрение и прилагане (напр. инвестиционни проекти).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Разходите през 2016 г. по ЕЗФРСР за периода 2014—2020 г. са били насочени основно по мярка 13 (Плащания за райони с природни или други специфични ограничения) и мярка 10 (Агроекология и климат).</w:t>
      </w:r>
    </w:p>
    <w:p>
      <w:pPr>
        <w:spacing w:before="120" w:after="0" w:line="240" w:lineRule="auto"/>
        <w:jc w:val="both"/>
        <w:rPr>
          <w:rFonts w:ascii="Times New Roman" w:eastAsia="Times New Roman" w:hAnsi="Times New Roman"/>
          <w:noProof/>
          <w:sz w:val="24"/>
        </w:rPr>
      </w:pPr>
      <w:r>
        <w:rPr>
          <w:noProof/>
        </w:rPr>
        <w:br w:type="page"/>
      </w:r>
      <w:r>
        <w:rPr>
          <w:rFonts w:ascii="Times New Roman" w:hAnsi="Times New Roman"/>
          <w:noProof/>
          <w:sz w:val="24"/>
        </w:rPr>
        <w:t>Таблица 12a</w:t>
      </w:r>
    </w:p>
    <w:tbl>
      <w:tblPr>
        <w:tblW w:w="9615" w:type="dxa"/>
        <w:tblInd w:w="93" w:type="dxa"/>
        <w:tblLayout w:type="fixed"/>
        <w:tblLook w:val="04A0" w:firstRow="1" w:lastRow="0" w:firstColumn="1" w:lastColumn="0" w:noHBand="0" w:noVBand="1"/>
      </w:tblPr>
      <w:tblGrid>
        <w:gridCol w:w="3855"/>
        <w:gridCol w:w="960"/>
        <w:gridCol w:w="840"/>
        <w:gridCol w:w="960"/>
        <w:gridCol w:w="1080"/>
        <w:gridCol w:w="840"/>
        <w:gridCol w:w="1080"/>
      </w:tblGrid>
      <w:tr>
        <w:trPr>
          <w:trHeight w:val="255"/>
        </w:trPr>
        <w:tc>
          <w:tcPr>
            <w:tcW w:w="9615" w:type="dxa"/>
            <w:gridSpan w:val="7"/>
            <w:tcBorders>
              <w:top w:val="single" w:sz="8" w:space="0" w:color="auto"/>
              <w:left w:val="single" w:sz="8" w:space="0" w:color="auto"/>
              <w:bottom w:val="nil"/>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Декларирани разходи по ЕЗФРСР за 2016 г. (четвъртото тримесечие на 2015 г.) и общи кумулативни разходи (от четвъртото тримесечие на 2006 г. до четвъртото тримесечие на 2015 г.) </w:t>
            </w:r>
          </w:p>
        </w:tc>
      </w:tr>
      <w:tr>
        <w:trPr>
          <w:trHeight w:val="270"/>
        </w:trPr>
        <w:tc>
          <w:tcPr>
            <w:tcW w:w="9615" w:type="dxa"/>
            <w:gridSpan w:val="7"/>
            <w:tcBorders>
              <w:top w:val="nil"/>
              <w:left w:val="single" w:sz="8" w:space="0" w:color="auto"/>
              <w:bottom w:val="single" w:sz="8" w:space="0" w:color="auto"/>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в сравнение с финансовите планове — </w:t>
            </w:r>
            <w:r>
              <w:rPr>
                <w:rFonts w:ascii="Times New Roman" w:hAnsi="Times New Roman"/>
                <w:b/>
                <w:noProof/>
                <w:sz w:val="18"/>
                <w:u w:val="single"/>
              </w:rPr>
              <w:t>ЕЗФРСР 2007—2013 г.</w:t>
            </w:r>
          </w:p>
        </w:tc>
      </w:tr>
      <w:tr>
        <w:trPr>
          <w:trHeight w:val="420"/>
        </w:trPr>
        <w:tc>
          <w:tcPr>
            <w:tcW w:w="3855"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 </w:t>
            </w:r>
          </w:p>
        </w:tc>
        <w:tc>
          <w:tcPr>
            <w:tcW w:w="180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Декларирани разходи за 2016 г. (четвъртото тримесечие на 2015 г.)</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Кумулативни декларирани разходи (от четвъртото тримесечие на 2006 г. до четвъртото тримесечие на 2015 г.)</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Финансови планове за 2007—2013 г.</w:t>
            </w:r>
          </w:p>
        </w:tc>
      </w:tr>
      <w:tr>
        <w:trPr>
          <w:trHeight w:val="270"/>
        </w:trPr>
        <w:tc>
          <w:tcPr>
            <w:tcW w:w="3855"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Ос/мярка по ЕЗФРСР</w:t>
            </w:r>
          </w:p>
        </w:tc>
        <w:tc>
          <w:tcPr>
            <w:tcW w:w="96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(в млн. евро)</w:t>
            </w:r>
          </w:p>
        </w:tc>
        <w:tc>
          <w:tcPr>
            <w:tcW w:w="8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96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(в млн. евро)</w:t>
            </w:r>
          </w:p>
        </w:tc>
        <w:tc>
          <w:tcPr>
            <w:tcW w:w="10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8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(в млн. евро)</w:t>
            </w:r>
          </w:p>
        </w:tc>
        <w:tc>
          <w:tcPr>
            <w:tcW w:w="10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111 Професионално обучение и информационни дейности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53,4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1,0 %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840,5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0,9 %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902,3</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0,9 %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112 Създаване на стопанства на млади земеделски стопани</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348,9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6,9 %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3 271,4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3,5 %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3310,8</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3,5 %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113 Ранно пенсиониране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67,8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1,3 %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2655,2</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2,8 %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2593,8</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2,7 %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114 Използване на консултантски услуги</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133,3</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139,4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115 Създаване на служби за управление, подпомагане и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31,7</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33,8</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121 Модернизация на земеделските стопанства</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656,4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12,9 %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11 693,4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12,5 %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11 828,7</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12,3 %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122 Подобряване на икономическата стойност на горите</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308,7</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324,1</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123 Повишаване стойността на селскостопанските и горските продукти...</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318,0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6,2 %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4412,6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4,7 %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4643,0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4,8 %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124 Сътрудничество за разработване на нови продукти</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28,7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0,6 %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234,3</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252,5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125 Инфраструктура, свързана с развитието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477,4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9,4 %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4317,6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4,6 %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4366,9</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4,6 %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126 Възстановяване на селскостопанския производствен потенциал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36,5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648,5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652,9</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131 Спазване на стандартите, основани на законодателството на Общността…</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62,1</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64,1</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132 Участие на земеделските стопани в системи за качество на храните…</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91,3</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99,4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133 Информационни и рекламни дейности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128,4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131,3</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141 Полупазарни стопанства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27,5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0,5 %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771,6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0,8 %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792,2</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0,8 %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142 Групи на производители</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234,9</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250,7</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143 Директни плащания (BG + RO)</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15,7</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r>
      <w:tr>
        <w:trPr>
          <w:trHeight w:val="270"/>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144 Стопанства в процес на преструктуриране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180,8</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190,0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r>
      <w:tr>
        <w:trPr>
          <w:trHeight w:val="270"/>
        </w:trPr>
        <w:tc>
          <w:tcPr>
            <w:tcW w:w="3855"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Ос 1</w:t>
            </w:r>
          </w:p>
        </w:tc>
        <w:tc>
          <w:tcPr>
            <w:tcW w:w="96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2051,6</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40,3 %</w:t>
            </w:r>
          </w:p>
        </w:tc>
        <w:tc>
          <w:tcPr>
            <w:tcW w:w="96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30 025,7</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32,0 %</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30 591,8</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31,9 %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211 Плащания за неблагоприятни природни условия на земеделски стопани в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181,1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3,6 %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7391,1</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7,9 %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7128,0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7,4 %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212 Плащания на земеделски стопани в области с неблагоприятни природни условия...</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87,9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1,7 %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7681,4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8,2 %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8062,5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8,4 %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213 Плащания в рамките на „Натура 2000“ и плащания, свързани с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267,5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272,6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214 Плащания за агроекологични мерки</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464,2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9,1 %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23 619,4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25,2 %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23 845,5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24,9 %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215 Плащания за осигуряване на хуманно отношение към животните</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106,3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2,1 %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1006,2</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1,1 %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1040,6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1,1 %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216 Инвестиции в непроизводствени дейности</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40,2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0,8 %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621,0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656,4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221 Първоначално залесяване на земеделски земи</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41,8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0,8 %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1585,5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1,7 %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1584,4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1,7 %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222 Първоначално установяване на агро-лесовъдни системи…</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223 Първоначално залесяване на неземеделски земи</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168,2</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176,1</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224 Плащания по програма „Натура 2000“</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74,3</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69,6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225 Плащания за опазване на околната среда в горите</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70,1</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79,4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226 Възстановяване на потенциала на горското стопанство и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148,8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2,9 %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1542,1</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1603,3</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1,7 %</w:t>
            </w:r>
          </w:p>
        </w:tc>
      </w:tr>
      <w:tr>
        <w:trPr>
          <w:trHeight w:val="270"/>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227 Инвестиции в непроизводствени дейности</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75,2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1,5 %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698,6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738,5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0,8 %</w:t>
            </w:r>
          </w:p>
        </w:tc>
      </w:tr>
      <w:tr>
        <w:trPr>
          <w:trHeight w:val="270"/>
        </w:trPr>
        <w:tc>
          <w:tcPr>
            <w:tcW w:w="3855"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Ос 2</w:t>
            </w:r>
          </w:p>
        </w:tc>
        <w:tc>
          <w:tcPr>
            <w:tcW w:w="96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1186,4</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23,3 %</w:t>
            </w:r>
          </w:p>
        </w:tc>
        <w:tc>
          <w:tcPr>
            <w:tcW w:w="96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44 727,1</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47,7 %</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45 259,23</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47,2 %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311 Разнообразяване с неселскостопански дейности</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74,6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1,5 %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1078,8</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1,1 %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1110,5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312 Създаване и развитие на бизнес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111,5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2,2 %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1430,3</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1,5 %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1570,0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313 Насърчаване на туристическите дейности</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96,1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1,9 %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887,9</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0,9 %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1112,0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321 Основни услуги за икономиката и населението в селските райони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522,1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10,3 %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3683,0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3,9 %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3745,6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3,9 %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322 Обновяване и развитие на селата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164,3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3,2 %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3199,6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3,4 %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3327,0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3,5 %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323 Съхраняване и възобновяване на селското наследство....</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85,8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1,7 %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1154,9</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1194,2</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331 Обучение и информация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92,2</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96,4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70"/>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341 Придобиване на умения, мероприятия за насърчаване и прилагане на...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100,4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101,0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70"/>
        </w:trPr>
        <w:tc>
          <w:tcPr>
            <w:tcW w:w="3855"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Ос 3</w:t>
            </w:r>
          </w:p>
        </w:tc>
        <w:tc>
          <w:tcPr>
            <w:tcW w:w="96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1061,3</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20,8 %</w:t>
            </w:r>
          </w:p>
        </w:tc>
        <w:tc>
          <w:tcPr>
            <w:tcW w:w="96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11 627,1</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12,4 %</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12 256,8</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12,8 %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411 Прилагане на стратегии за местно развитие…</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80,1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471,5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0,5 %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505,2</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0,5 %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412 Прилагане на стратегии за местно развитие…</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58,9</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73,8</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413 Прилагане на стратегии за местно развитие....</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456,4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9,0 %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3977,0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4,2 %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4059,9</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4,2 %</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421 Изпълнение на проекти за сътрудничество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39,1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0,8 %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170,8</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189,9</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r>
      <w:tr>
        <w:trPr>
          <w:trHeight w:val="270"/>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431 Ръководство на местната група за действие, придобиване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70,9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1,4 %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897,7</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1,0 %</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928,6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1,0 %</w:t>
            </w:r>
          </w:p>
        </w:tc>
      </w:tr>
      <w:tr>
        <w:trPr>
          <w:trHeight w:val="270"/>
        </w:trPr>
        <w:tc>
          <w:tcPr>
            <w:tcW w:w="3855"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Ос 4</w:t>
            </w:r>
          </w:p>
        </w:tc>
        <w:tc>
          <w:tcPr>
            <w:tcW w:w="960" w:type="dxa"/>
            <w:tcBorders>
              <w:top w:val="single" w:sz="8" w:space="0" w:color="000000"/>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654,0</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12,8 %</w:t>
            </w:r>
          </w:p>
        </w:tc>
        <w:tc>
          <w:tcPr>
            <w:tcW w:w="960" w:type="dxa"/>
            <w:tcBorders>
              <w:top w:val="single" w:sz="8" w:space="0" w:color="000000"/>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5575,9</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5,9 %</w:t>
            </w:r>
          </w:p>
        </w:tc>
        <w:tc>
          <w:tcPr>
            <w:tcW w:w="840" w:type="dxa"/>
            <w:tcBorders>
              <w:top w:val="single" w:sz="8" w:space="0" w:color="000000"/>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5757,4</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6,0 %</w:t>
            </w:r>
          </w:p>
        </w:tc>
      </w:tr>
      <w:tr>
        <w:trPr>
          <w:trHeight w:val="270"/>
        </w:trPr>
        <w:tc>
          <w:tcPr>
            <w:tcW w:w="3855"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511 Техническа помощ</w:t>
            </w:r>
          </w:p>
        </w:tc>
        <w:tc>
          <w:tcPr>
            <w:tcW w:w="9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139,6</w:t>
            </w:r>
          </w:p>
        </w:tc>
        <w:tc>
          <w:tcPr>
            <w:tcW w:w="8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2,7 %</w:t>
            </w:r>
          </w:p>
        </w:tc>
        <w:tc>
          <w:tcPr>
            <w:tcW w:w="9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1440,7</w:t>
            </w:r>
          </w:p>
        </w:tc>
        <w:tc>
          <w:tcPr>
            <w:tcW w:w="10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1,5 %</w:t>
            </w:r>
          </w:p>
        </w:tc>
        <w:tc>
          <w:tcPr>
            <w:tcW w:w="8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1531,1</w:t>
            </w:r>
          </w:p>
        </w:tc>
        <w:tc>
          <w:tcPr>
            <w:tcW w:w="10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r>
      <w:tr>
        <w:trPr>
          <w:trHeight w:val="270"/>
        </w:trPr>
        <w:tc>
          <w:tcPr>
            <w:tcW w:w="3855"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611 Директни плащания (BG и RO)</w:t>
            </w:r>
          </w:p>
        </w:tc>
        <w:tc>
          <w:tcPr>
            <w:tcW w:w="9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436,4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0,5 %</w:t>
            </w:r>
          </w:p>
        </w:tc>
        <w:tc>
          <w:tcPr>
            <w:tcW w:w="8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437,4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0,5 %</w:t>
            </w:r>
          </w:p>
        </w:tc>
      </w:tr>
      <w:tr>
        <w:trPr>
          <w:trHeight w:val="270"/>
        </w:trPr>
        <w:tc>
          <w:tcPr>
            <w:tcW w:w="3855"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Общ сбор</w:t>
            </w:r>
          </w:p>
        </w:tc>
        <w:tc>
          <w:tcPr>
            <w:tcW w:w="96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5092,8</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100,0 %</w:t>
            </w:r>
          </w:p>
        </w:tc>
        <w:tc>
          <w:tcPr>
            <w:tcW w:w="96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93 832,7</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100,0 %</w:t>
            </w:r>
          </w:p>
        </w:tc>
        <w:tc>
          <w:tcPr>
            <w:tcW w:w="8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95 833,8</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100,0 %</w:t>
            </w:r>
          </w:p>
        </w:tc>
      </w:tr>
    </w:tbl>
    <w:p>
      <w:pPr>
        <w:spacing w:before="120" w:after="0" w:line="240" w:lineRule="auto"/>
        <w:jc w:val="both"/>
        <w:rPr>
          <w:rFonts w:ascii="Times New Roman" w:eastAsia="Times New Roman" w:hAnsi="Times New Roman"/>
          <w:noProof/>
          <w:sz w:val="24"/>
        </w:rPr>
      </w:pPr>
      <w:r>
        <w:rPr>
          <w:rFonts w:ascii="Times New Roman" w:hAnsi="Times New Roman"/>
          <w:noProof/>
          <w:sz w:val="24"/>
        </w:rPr>
        <w:t>Таблица 12б</w:t>
      </w:r>
    </w:p>
    <w:tbl>
      <w:tblPr>
        <w:tblW w:w="9632" w:type="dxa"/>
        <w:tblInd w:w="93" w:type="dxa"/>
        <w:tblLayout w:type="fixed"/>
        <w:tblLook w:val="04A0" w:firstRow="1" w:lastRow="0" w:firstColumn="1" w:lastColumn="0" w:noHBand="0" w:noVBand="1"/>
      </w:tblPr>
      <w:tblGrid>
        <w:gridCol w:w="1095"/>
        <w:gridCol w:w="2640"/>
        <w:gridCol w:w="840"/>
        <w:gridCol w:w="1080"/>
        <w:gridCol w:w="1080"/>
        <w:gridCol w:w="1080"/>
        <w:gridCol w:w="960"/>
        <w:gridCol w:w="857"/>
      </w:tblGrid>
      <w:tr>
        <w:trPr>
          <w:trHeight w:val="255"/>
        </w:trPr>
        <w:tc>
          <w:tcPr>
            <w:tcW w:w="9632" w:type="dxa"/>
            <w:gridSpan w:val="8"/>
            <w:tcBorders>
              <w:top w:val="single" w:sz="8" w:space="0" w:color="auto"/>
              <w:left w:val="single" w:sz="8" w:space="0" w:color="auto"/>
              <w:bottom w:val="nil"/>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Декларирани разходи по ЕЗФРСР за 2016 г. (от четвъртото тримесечие на 2015 г. до третото тримесечие на 2016 г.) и общи кумулативни разходи (от четвъртото тримесечие на 2014 г. до третото тримесечие на 2016 г.) </w:t>
            </w:r>
          </w:p>
        </w:tc>
      </w:tr>
      <w:tr>
        <w:trPr>
          <w:trHeight w:val="270"/>
        </w:trPr>
        <w:tc>
          <w:tcPr>
            <w:tcW w:w="9632" w:type="dxa"/>
            <w:gridSpan w:val="8"/>
            <w:tcBorders>
              <w:top w:val="nil"/>
              <w:left w:val="single" w:sz="8" w:space="0" w:color="auto"/>
              <w:bottom w:val="single" w:sz="8" w:space="0" w:color="auto"/>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в сравнение с финансовите планове — </w:t>
            </w:r>
            <w:r>
              <w:rPr>
                <w:rFonts w:ascii="Times New Roman" w:hAnsi="Times New Roman"/>
                <w:b/>
                <w:noProof/>
                <w:sz w:val="18"/>
                <w:u w:val="single"/>
              </w:rPr>
              <w:t>ЕЗФРСР 2014—2020 г.</w:t>
            </w:r>
          </w:p>
        </w:tc>
      </w:tr>
      <w:tr>
        <w:trPr>
          <w:trHeight w:val="420"/>
        </w:trPr>
        <w:tc>
          <w:tcPr>
            <w:tcW w:w="373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Декларирани разходи за 2016 г. (от четвъртото тримесечие на 2015 г. до третото тримесечие на 2016 г.)</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Кумулативни декларирани разходи (от четвъртото тримесечие на 2014 г. до третото тримесечие на 2016 г.)</w:t>
            </w:r>
          </w:p>
        </w:tc>
        <w:tc>
          <w:tcPr>
            <w:tcW w:w="1817"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Финансови планове за 2014—2020 г.</w:t>
            </w:r>
          </w:p>
        </w:tc>
      </w:tr>
      <w:tr>
        <w:trPr>
          <w:trHeight w:val="270"/>
        </w:trPr>
        <w:tc>
          <w:tcPr>
            <w:tcW w:w="3735"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Мярка по ЕЗФРСР</w:t>
            </w:r>
          </w:p>
        </w:tc>
        <w:tc>
          <w:tcPr>
            <w:tcW w:w="8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(в млн. евро)</w:t>
            </w:r>
          </w:p>
        </w:tc>
        <w:tc>
          <w:tcPr>
            <w:tcW w:w="108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108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(в млн. евро)</w:t>
            </w:r>
          </w:p>
        </w:tc>
        <w:tc>
          <w:tcPr>
            <w:tcW w:w="108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96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(в млн. евро)</w:t>
            </w:r>
          </w:p>
        </w:tc>
        <w:tc>
          <w:tcPr>
            <w:tcW w:w="857"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01</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Трансфер на знания и действия за осведомяване</w:t>
            </w:r>
          </w:p>
        </w:tc>
        <w:tc>
          <w:tcPr>
            <w:tcW w:w="840"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20,3</w:t>
            </w:r>
          </w:p>
        </w:tc>
        <w:tc>
          <w:tcPr>
            <w:tcW w:w="1080" w:type="dxa"/>
            <w:tcBorders>
              <w:top w:val="single" w:sz="8" w:space="0" w:color="auto"/>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0,3 %</w:t>
            </w:r>
          </w:p>
        </w:tc>
        <w:tc>
          <w:tcPr>
            <w:tcW w:w="1080"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21,9</w:t>
            </w:r>
          </w:p>
        </w:tc>
        <w:tc>
          <w:tcPr>
            <w:tcW w:w="1080" w:type="dxa"/>
            <w:tcBorders>
              <w:top w:val="single" w:sz="8" w:space="0" w:color="auto"/>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1132,8</w:t>
            </w:r>
          </w:p>
        </w:tc>
        <w:tc>
          <w:tcPr>
            <w:tcW w:w="857" w:type="dxa"/>
            <w:tcBorders>
              <w:top w:val="single" w:sz="8" w:space="0" w:color="auto"/>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1,1 %</w:t>
            </w:r>
          </w:p>
        </w:tc>
      </w:tr>
      <w:tr>
        <w:trPr>
          <w:trHeight w:val="450"/>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02</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Консултантски услуги, услуги по управление на стопанства и услуги по заместване в стопанствата</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865,9</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r>
      <w:tr>
        <w:trPr>
          <w:trHeight w:val="450"/>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03</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Схеми за качество на селскостопанските продукти и храните</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379,1</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0,4 %</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04</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Инвестиции във физически активи</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963,6</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15,0 %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1183,4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11,7 %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22 679,2</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22,8 %</w:t>
            </w:r>
          </w:p>
        </w:tc>
      </w:tr>
      <w:tr>
        <w:trPr>
          <w:trHeight w:val="67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05</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Възстановяване на селскостопанския производствен потенциал, претърпял щети в резултат на природни бедствия и катастрофични събития, и въвеждане на подходящи превантивни мерки</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38,0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0,6 %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53,1</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906,2</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06</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Развитие на стопанствата и предприятията</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344,7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5,4 %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416,0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4,1 %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7399,6</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7,4 %</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07</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Основни услуги и обновяване на селата в селските райони</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117,4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120,3</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6664,3</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6,7 %</w:t>
            </w:r>
          </w:p>
        </w:tc>
      </w:tr>
      <w:tr>
        <w:trPr>
          <w:trHeight w:val="450"/>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08</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Инвестиции в развитие на горските райони и подобряване жизнеспособността на горите</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247,8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3,9 %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328,2</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4557,5</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4,6 %</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09</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Учредяване на групи и организации на производителите</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476,3</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10</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Агроекология и климат</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1734,3</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27,1 %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3098,0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30,5 %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16 365,7</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16,5 %</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11</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Биологично земеделие</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583,7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9,1 %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799,7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7,9 %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6444,6</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6,5 %</w:t>
            </w:r>
          </w:p>
        </w:tc>
      </w:tr>
      <w:tr>
        <w:trPr>
          <w:trHeight w:val="450"/>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12</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Плащания по „Натура 2000“ и Рамковата директива за водите</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61,1</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95,9</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573,9</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0,6 %</w:t>
            </w:r>
          </w:p>
        </w:tc>
      </w:tr>
      <w:tr>
        <w:trPr>
          <w:trHeight w:val="450"/>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13</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Плащания за райони с природни или други специфични ограничения </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1704,5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26,6 %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3217,7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31,7 %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16 059,2</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16,2 %</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14</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Хуманно отношение към животните</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182,5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2,8 %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231,5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2,3 %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1475,2</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1,5 %</w:t>
            </w:r>
          </w:p>
        </w:tc>
      </w:tr>
      <w:tr>
        <w:trPr>
          <w:trHeight w:val="450"/>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15</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Екологични услуги и услуги във връзка с климата в горското стопанство и опазване на горите</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266,4</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0,3 %</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16</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Сътрудничество</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20,7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0,3 %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21,9</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1762,6</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1,8 %</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17</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Управление на риска</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15,6</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1715,9</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1,7 %</w:t>
            </w:r>
          </w:p>
        </w:tc>
      </w:tr>
      <w:tr>
        <w:trPr>
          <w:trHeight w:val="450"/>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18</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Финансиране на допълнителни национални директни плащания за Хърватия</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36,1</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0,6 %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90,7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111,9</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r>
      <w:tr>
        <w:trPr>
          <w:trHeight w:val="450"/>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19</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Подпомагане на местното развитие в рамките на LEADER – водено от общностите местно развитие (ВОМР)</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116,8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125,7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6900,4</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6,9 %</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20</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Техническа помощ на държавите членки</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65,4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83,7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0,8 %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2080,9</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2,1 %</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113</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Ранно пенсиониране</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117,0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197,7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1,9 %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529,2</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131</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Спазване на стандартите, основани на законодателството на Общността</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r>
      <w:tr>
        <w:trPr>
          <w:trHeight w:val="270"/>
        </w:trPr>
        <w:tc>
          <w:tcPr>
            <w:tcW w:w="1095"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341</w:t>
            </w:r>
          </w:p>
        </w:tc>
        <w:tc>
          <w:tcPr>
            <w:tcW w:w="2640" w:type="dxa"/>
            <w:tcBorders>
              <w:top w:val="nil"/>
              <w:left w:val="nil"/>
              <w:bottom w:val="single" w:sz="8" w:space="0" w:color="auto"/>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Придобиване на умения и прилагането им на практика</w:t>
            </w:r>
          </w:p>
        </w:tc>
        <w:tc>
          <w:tcPr>
            <w:tcW w:w="84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1080" w:type="dxa"/>
            <w:tcBorders>
              <w:top w:val="nil"/>
              <w:left w:val="nil"/>
              <w:bottom w:val="single" w:sz="8" w:space="0" w:color="auto"/>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1080" w:type="dxa"/>
            <w:tcBorders>
              <w:top w:val="nil"/>
              <w:left w:val="nil"/>
              <w:bottom w:val="single" w:sz="8" w:space="0" w:color="auto"/>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0,6</w:t>
            </w:r>
          </w:p>
        </w:tc>
        <w:tc>
          <w:tcPr>
            <w:tcW w:w="8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r>
      <w:tr>
        <w:trPr>
          <w:trHeight w:val="270"/>
        </w:trPr>
        <w:tc>
          <w:tcPr>
            <w:tcW w:w="1095"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Общ сбор</w:t>
            </w:r>
          </w:p>
        </w:tc>
        <w:tc>
          <w:tcPr>
            <w:tcW w:w="2640" w:type="dxa"/>
            <w:tcBorders>
              <w:top w:val="nil"/>
              <w:left w:val="nil"/>
              <w:bottom w:val="single" w:sz="8" w:space="0" w:color="auto"/>
              <w:right w:val="single" w:sz="8" w:space="0" w:color="auto"/>
            </w:tcBorders>
            <w:shd w:val="clear" w:color="000000" w:fill="FFFF99"/>
            <w:noWrap/>
            <w:vAlign w:val="center"/>
            <w:hideMark/>
          </w:tcPr>
          <w:p>
            <w:pPr>
              <w:spacing w:after="0" w:line="240" w:lineRule="auto"/>
              <w:rPr>
                <w:rFonts w:ascii="Arial" w:eastAsia="Times New Roman" w:hAnsi="Arial" w:cs="Arial"/>
                <w:noProof/>
                <w:sz w:val="20"/>
                <w:szCs w:val="20"/>
              </w:rPr>
            </w:pPr>
          </w:p>
        </w:tc>
        <w:tc>
          <w:tcPr>
            <w:tcW w:w="8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6406,6</w:t>
            </w:r>
          </w:p>
        </w:tc>
        <w:tc>
          <w:tcPr>
            <w:tcW w:w="10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100,0 %</w:t>
            </w:r>
          </w:p>
        </w:tc>
        <w:tc>
          <w:tcPr>
            <w:tcW w:w="10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10 148,5</w:t>
            </w:r>
          </w:p>
        </w:tc>
        <w:tc>
          <w:tcPr>
            <w:tcW w:w="10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100,0 %</w:t>
            </w:r>
          </w:p>
        </w:tc>
        <w:tc>
          <w:tcPr>
            <w:tcW w:w="96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99 347,5</w:t>
            </w:r>
          </w:p>
        </w:tc>
        <w:tc>
          <w:tcPr>
            <w:tcW w:w="857"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100,0 %</w:t>
            </w:r>
          </w:p>
        </w:tc>
      </w:tr>
    </w:tbl>
    <w:p>
      <w:pPr>
        <w:spacing w:before="120" w:after="120" w:line="240" w:lineRule="auto"/>
        <w:ind w:left="850"/>
        <w:jc w:val="both"/>
        <w:rPr>
          <w:rFonts w:ascii="Times New Roman" w:eastAsia="Times New Roman" w:hAnsi="Times New Roman"/>
          <w:noProof/>
          <w:sz w:val="20"/>
          <w:szCs w:val="20"/>
        </w:rPr>
      </w:pPr>
      <w:r>
        <w:rPr>
          <w:rFonts w:ascii="Times New Roman" w:hAnsi="Times New Roman"/>
          <w:noProof/>
          <w:sz w:val="20"/>
        </w:rPr>
        <w:t>*Държавите членки декларират разходите си на тримесечие. Декларациите за четвъртото тримесечие на година n обаче се подават през януари на година n+1. Следователно съответните възстановявания от Комисията на разходите на държавите членки през година n обхващат периода от четвъртото тримесечие на година n-1 до третото тримесечие на година n.</w:t>
      </w: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22" w:name="_Toc491943973"/>
      <w:r>
        <w:rPr>
          <w:rFonts w:ascii="Times New Roman" w:hAnsi="Times New Roman"/>
          <w:b/>
          <w:noProof/>
          <w:sz w:val="24"/>
        </w:rPr>
        <w:t>3.4.</w:t>
      </w:r>
      <w:r>
        <w:rPr>
          <w:noProof/>
        </w:rPr>
        <w:tab/>
      </w:r>
      <w:r>
        <w:rPr>
          <w:rFonts w:ascii="Times New Roman" w:hAnsi="Times New Roman"/>
          <w:b/>
          <w:noProof/>
          <w:sz w:val="24"/>
        </w:rPr>
        <w:t>Изпълнение на програмите по ЕЗФРСР</w:t>
      </w:r>
      <w:bookmarkEnd w:id="22"/>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23" w:name="_Toc491943974"/>
      <w:r>
        <w:rPr>
          <w:rFonts w:ascii="Times New Roman" w:hAnsi="Times New Roman"/>
          <w:i/>
          <w:noProof/>
          <w:sz w:val="24"/>
        </w:rPr>
        <w:t>3.4.1.</w:t>
      </w:r>
      <w:r>
        <w:rPr>
          <w:noProof/>
        </w:rPr>
        <w:tab/>
      </w:r>
      <w:r>
        <w:rPr>
          <w:rFonts w:ascii="Times New Roman" w:hAnsi="Times New Roman"/>
          <w:i/>
          <w:noProof/>
          <w:sz w:val="24"/>
        </w:rPr>
        <w:t>Програмен период 2007—2013 г.</w:t>
      </w:r>
      <w:bookmarkEnd w:id="23"/>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 xml:space="preserve">Графика 2 показва процента на усвояване на средства по програмите за развитие на селските райони за периода 2007—2013 г. по държави членки: плащания от началото на програмния период до 31 декември 2016 г., включително плащанията за приключване на програмите, които вече са приключили към посочената дата, в сравнение с общото разпределение за периода 2007—2013 г. </w:t>
      </w:r>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До края на 2016 г. прилагането на правилото N+2 е довело до отмяната на бюджетни кредити, възлизащи общо на 1722 млн. евро. Тази сума се отнася за годините 2008—2013.</w:t>
      </w:r>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24" w:name="_Toc491943975"/>
      <w:r>
        <w:rPr>
          <w:rFonts w:ascii="Times New Roman" w:hAnsi="Times New Roman"/>
          <w:i/>
          <w:noProof/>
          <w:sz w:val="24"/>
        </w:rPr>
        <w:t>3.4.2.</w:t>
      </w:r>
      <w:r>
        <w:rPr>
          <w:noProof/>
        </w:rPr>
        <w:tab/>
      </w:r>
      <w:r>
        <w:rPr>
          <w:rFonts w:ascii="Times New Roman" w:hAnsi="Times New Roman"/>
          <w:i/>
          <w:noProof/>
          <w:sz w:val="24"/>
        </w:rPr>
        <w:t>Програмен период 2014—2020 г.</w:t>
      </w:r>
      <w:bookmarkEnd w:id="24"/>
    </w:p>
    <w:p>
      <w:pPr>
        <w:spacing w:before="120" w:after="120" w:line="240" w:lineRule="auto"/>
        <w:ind w:left="840"/>
        <w:jc w:val="both"/>
        <w:rPr>
          <w:rFonts w:ascii="Times New Roman" w:eastAsia="Times New Roman" w:hAnsi="Times New Roman"/>
          <w:noProof/>
          <w:sz w:val="24"/>
        </w:rPr>
      </w:pPr>
      <w:r>
        <w:rPr>
          <w:rFonts w:ascii="Times New Roman" w:hAnsi="Times New Roman"/>
          <w:noProof/>
          <w:sz w:val="24"/>
        </w:rPr>
        <w:t>Графика 3 показва процента на усвояване на средства по програмите за развитие на селските райони за периода 2014—2020 г. по държави членки: плащания от началото на програмния период, включително извършените плащания за 4-ото тримесечие на 2016 г., разходите за които се възстановяват през финансовата 2017 година, в сравнение с общото разпределение за периода 2014—2020 г.</w:t>
      </w:r>
    </w:p>
    <w:p>
      <w:pPr>
        <w:spacing w:before="120" w:after="120" w:line="240" w:lineRule="auto"/>
        <w:ind w:left="840"/>
        <w:jc w:val="both"/>
        <w:rPr>
          <w:rFonts w:ascii="Times New Roman" w:eastAsia="Times New Roman" w:hAnsi="Times New Roman"/>
          <w:noProof/>
          <w:sz w:val="24"/>
        </w:rPr>
        <w:sectPr>
          <w:headerReference w:type="even" r:id="rId35"/>
          <w:headerReference w:type="default" r:id="rId36"/>
          <w:footerReference w:type="even" r:id="rId37"/>
          <w:footerReference w:type="default" r:id="rId38"/>
          <w:headerReference w:type="first" r:id="rId39"/>
          <w:footerReference w:type="first" r:id="rId40"/>
          <w:pgSz w:w="11907" w:h="16839" w:code="9"/>
          <w:pgMar w:top="1134" w:right="1418" w:bottom="1134" w:left="1418" w:header="709" w:footer="709" w:gutter="0"/>
          <w:cols w:space="708"/>
          <w:docGrid w:linePitch="360"/>
        </w:sectPr>
      </w:pPr>
      <w:r>
        <w:rPr>
          <w:rFonts w:ascii="Times New Roman" w:hAnsi="Times New Roman"/>
          <w:noProof/>
          <w:sz w:val="24"/>
        </w:rPr>
        <w:t xml:space="preserve"> </w:t>
      </w:r>
    </w:p>
    <w:p>
      <w:pPr>
        <w:spacing w:before="120" w:after="120" w:line="240" w:lineRule="auto"/>
        <w:jc w:val="both"/>
        <w:rPr>
          <w:noProof/>
        </w:rPr>
      </w:pPr>
      <w:r>
        <w:rPr>
          <w:noProof/>
          <w:lang w:val="en-US" w:eastAsia="en-US" w:bidi="ar-SA"/>
        </w:rPr>
        <w:drawing>
          <wp:inline distT="0" distB="0" distL="0" distR="0">
            <wp:extent cx="8892540" cy="494567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892540" cy="4945670"/>
                    </a:xfrm>
                    <a:prstGeom prst="rect">
                      <a:avLst/>
                    </a:prstGeom>
                    <a:noFill/>
                    <a:ln>
                      <a:noFill/>
                    </a:ln>
                  </pic:spPr>
                </pic:pic>
              </a:graphicData>
            </a:graphic>
          </wp:inline>
        </w:drawing>
      </w:r>
    </w:p>
    <w:p>
      <w:pPr>
        <w:spacing w:before="120" w:after="120" w:line="240" w:lineRule="auto"/>
        <w:jc w:val="both"/>
        <w:rPr>
          <w:noProof/>
        </w:rPr>
      </w:pPr>
      <w:r>
        <w:rPr>
          <w:noProof/>
          <w:lang w:val="en-US" w:eastAsia="en-US" w:bidi="ar-SA"/>
        </w:rPr>
        <w:drawing>
          <wp:inline distT="0" distB="0" distL="0" distR="0">
            <wp:extent cx="7083425" cy="4912995"/>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083425" cy="4912995"/>
                    </a:xfrm>
                    <a:prstGeom prst="rect">
                      <a:avLst/>
                    </a:prstGeom>
                    <a:noFill/>
                    <a:ln>
                      <a:noFill/>
                    </a:ln>
                  </pic:spPr>
                </pic:pic>
              </a:graphicData>
            </a:graphic>
          </wp:inline>
        </w:drawing>
      </w:r>
    </w:p>
    <w:sectPr>
      <w:headerReference w:type="even" r:id="rId43"/>
      <w:headerReference w:type="default" r:id="rId44"/>
      <w:footerReference w:type="even" r:id="rId45"/>
      <w:footerReference w:type="default" r:id="rId46"/>
      <w:headerReference w:type="first" r:id="rId47"/>
      <w:footerReference w:type="first" r:id="rId4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17</w:t>
    </w:r>
    <w:r>
      <w:rPr>
        <w:noProof/>
      </w:rPr>
      <w:fldChar w:fldCharType="end"/>
    </w:r>
  </w:p>
  <w:p>
    <w:pPr>
      <w:pStyle w:val="Footer"/>
      <w:rPr>
        <w:sz w:val="16"/>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22</w:t>
    </w:r>
    <w:r>
      <w:rPr>
        <w:noProof/>
      </w:rPr>
      <w:fldChar w:fldCharType="end"/>
    </w:r>
  </w:p>
  <w:p>
    <w:pPr>
      <w:pStyle w:val="Footer"/>
      <w:rPr>
        <w:sz w:val="16"/>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24</w:t>
    </w:r>
    <w:r>
      <w:rPr>
        <w:noProof/>
      </w:rPr>
      <w:fldChar w:fldCharType="end"/>
    </w:r>
  </w:p>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w:t>
    </w:r>
    <w:r>
      <w:rPr>
        <w:noProof/>
      </w:rPr>
      <w:fldChar w:fldCharType="end"/>
    </w:r>
  </w:p>
  <w:p>
    <w:pPr>
      <w:pStyle w:val="Footer"/>
      <w:rPr>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t>Вследствие на издадената на 12 декември 2014 г. заповед по процедура за съгласие на Висшия съд на Обединеното кралство, поетите задължения по програмата на Обединеното кралство-Уелс бяха намалени с 4,2 млн. евро за годините 2016—2020, която сума беше добавена към тавана за преки плащания на Обединеното кралство. Непълното усвояване в размер на 960 000 EUR представлява годишното отражение на общото намаление през 2016 г.</w:t>
      </w:r>
    </w:p>
  </w:footnote>
  <w:footnote w:id="3">
    <w:p>
      <w:pPr>
        <w:pStyle w:val="FootnoteText"/>
      </w:pPr>
      <w:r>
        <w:rPr>
          <w:rStyle w:val="FootnoteReference"/>
        </w:rPr>
        <w:footnoteRef/>
      </w:r>
      <w:r>
        <w:t xml:space="preserve"> </w:t>
      </w:r>
      <w:r>
        <w:tab/>
        <w:t>ДЕЛЕГИРАН РЕГЛАМЕНТ (ЕС) 2016/142 НА КОМИСИЯТА от 2 декември 2015 г. за изменение на приложение I към Регламент (ЕС) № 1305/2013 на Европейския парламент и на Съвета и на приложение III към Регламент (ЕС) № 1307/2013 на Европейския парламент и на Съвета (ОВ L 28, 4.2.2016 г., стр.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5905"/>
    <w:multiLevelType w:val="singleLevel"/>
    <w:tmpl w:val="6CB4B73E"/>
    <w:name w:val="List Bullet 2"/>
    <w:lvl w:ilvl="0">
      <w:start w:val="1"/>
      <w:numFmt w:val="bullet"/>
      <w:lvlRestart w:val="0"/>
      <w:lvlText w:val=""/>
      <w:lvlJc w:val="left"/>
      <w:pPr>
        <w:tabs>
          <w:tab w:val="num" w:pos="1134"/>
        </w:tabs>
        <w:ind w:left="1134" w:hanging="283"/>
      </w:pPr>
      <w:rPr>
        <w:rFonts w:ascii="Symbol" w:hAnsi="Symbol" w:hint="default"/>
      </w:r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96D67A1"/>
    <w:multiLevelType w:val="singleLevel"/>
    <w:tmpl w:val="9AC8831A"/>
    <w:name w:val="0,7215801"/>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2A8042C"/>
    <w:multiLevelType w:val="singleLevel"/>
    <w:tmpl w:val="CCF20C06"/>
    <w:name w:val="0,4528865"/>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A6901C1"/>
    <w:multiLevelType w:val="singleLevel"/>
    <w:tmpl w:val="208841AE"/>
    <w:name w:val="Point"/>
    <w:lvl w:ilvl="0">
      <w:start w:val="1"/>
      <w:numFmt w:val="bullet"/>
      <w:lvlRestart w:val="0"/>
      <w:lvlText w:val=""/>
      <w:lvlJc w:val="left"/>
      <w:pPr>
        <w:tabs>
          <w:tab w:val="num" w:pos="1134"/>
        </w:tabs>
        <w:ind w:left="1134" w:hanging="283"/>
      </w:pPr>
      <w:rPr>
        <w:rFonts w:ascii="Symbol" w:hAnsi="Symbol" w:hint="default"/>
      </w:rPr>
    </w:lvl>
  </w:abstractNum>
  <w:abstractNum w:abstractNumId="3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C96D36"/>
    <w:multiLevelType w:val="multilevel"/>
    <w:tmpl w:val="E2CADEF8"/>
    <w:name w:val="0,0873878"/>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nsid w:val="7D8820A0"/>
    <w:multiLevelType w:val="singleLevel"/>
    <w:tmpl w:val="54F6C7B4"/>
    <w:name w:val="1,378596E-02"/>
    <w:lvl w:ilvl="0">
      <w:start w:val="1"/>
      <w:numFmt w:val="bullet"/>
      <w:lvlRestart w:val="0"/>
      <w:lvlText w:val="–"/>
      <w:lvlJc w:val="left"/>
      <w:pPr>
        <w:tabs>
          <w:tab w:val="num" w:pos="1134"/>
        </w:tabs>
        <w:ind w:left="1134" w:hanging="283"/>
      </w:pPr>
      <w:rPr>
        <w:rFonts w:ascii="Times New Roman" w:hAnsi="Times New Roman" w:cs="Times New Roman"/>
      </w:rPr>
    </w:lvl>
  </w:abstractNum>
  <w:num w:numId="1">
    <w:abstractNumId w:val="13"/>
    <w:lvlOverride w:ilvl="0">
      <w:startOverride w:val="1"/>
    </w:lvlOverride>
  </w:num>
  <w:num w:numId="2">
    <w:abstractNumId w:val="22"/>
  </w:num>
  <w:num w:numId="3">
    <w:abstractNumId w:val="28"/>
  </w:num>
  <w:num w:numId="4">
    <w:abstractNumId w:val="8"/>
  </w:num>
  <w:num w:numId="5">
    <w:abstractNumId w:val="14"/>
  </w:num>
  <w:num w:numId="6">
    <w:abstractNumId w:val="4"/>
  </w:num>
  <w:num w:numId="7">
    <w:abstractNumId w:val="27"/>
  </w:num>
  <w:num w:numId="8">
    <w:abstractNumId w:val="2"/>
  </w:num>
  <w:num w:numId="9">
    <w:abstractNumId w:val="15"/>
  </w:num>
  <w:num w:numId="10">
    <w:abstractNumId w:val="20"/>
  </w:num>
  <w:num w:numId="11">
    <w:abstractNumId w:val="21"/>
  </w:num>
  <w:num w:numId="12">
    <w:abstractNumId w:val="7"/>
  </w:num>
  <w:num w:numId="13">
    <w:abstractNumId w:val="18"/>
  </w:num>
  <w:num w:numId="14">
    <w:abstractNumId w:val="33"/>
  </w:num>
  <w:num w:numId="15">
    <w:abstractNumId w:val="12"/>
  </w:num>
  <w:num w:numId="16">
    <w:abstractNumId w:val="5"/>
  </w:num>
  <w:num w:numId="17">
    <w:abstractNumId w:val="11"/>
  </w:num>
  <w:num w:numId="18">
    <w:abstractNumId w:val="25"/>
  </w:num>
  <w:num w:numId="19">
    <w:abstractNumId w:val="30"/>
  </w:num>
  <w:num w:numId="20">
    <w:abstractNumId w:val="9"/>
  </w:num>
  <w:num w:numId="21">
    <w:abstractNumId w:val="24"/>
  </w:num>
  <w:num w:numId="22">
    <w:abstractNumId w:val="23"/>
  </w:num>
  <w:num w:numId="23">
    <w:abstractNumId w:val="16"/>
  </w:num>
  <w:num w:numId="24">
    <w:abstractNumId w:val="17"/>
  </w:num>
  <w:num w:numId="25">
    <w:abstractNumId w:val="3"/>
  </w:num>
  <w:num w:numId="26">
    <w:abstractNumId w:val="10"/>
  </w:num>
  <w:num w:numId="27">
    <w:abstractNumId w:val="1"/>
  </w:num>
  <w:num w:numId="28">
    <w:abstractNumId w:val="6"/>
  </w:num>
  <w:num w:numId="2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revisionView w:markup="0"/>
  <w:doNotTrackMoves/>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5B54BD92E2804807AB0CE4D2042935DB"/>
    <w:docVar w:name="LW_CROSSREFERENCE" w:val="&lt;UNUSED&gt;"/>
    <w:docVar w:name="LW_DocType" w:val="NORMAL"/>
    <w:docVar w:name="LW_EMISSION" w:val="27.9.2017"/>
    <w:docVar w:name="LW_EMISSION_ISODATE" w:val="2017-09-27"/>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554"/>
    <w:docVar w:name="LW_REF.INTERNE" w:val="&lt;UNUSED&gt;"/>
    <w:docVar w:name="LW_SOUS.TITRE.OBJ.CP" w:val="&lt;UNUSED&gt;"/>
    <w:docVar w:name="LW_SUPERTITRE" w:val="&lt;UNUSED&gt;"/>
    <w:docVar w:name="LW_TITRE.OBJ.CP" w:val="\u1044?\u1045?\u1057?\u1045?\u1058?\u1048? \u1060?\u1048?\u1053?\u1040?\u1053?\u1057?\u1054?\u1042? \u1044?\u1054?\u1050?\u1051?\u1040?\u1044? \u1053?\u1040? \u1050?\u1054?\u1052?\u1048?\u1057?\u1048?\u1071?\u1058?\u1040? \u1044?\u1054? \u1045?\u1042?\u1056?\u1054?\u1055?\u1045?\u1049?\u1057?\u1050?\u1048?\u1071? \u1055?\u1040?\u1056?\u1051?\u1040?\u1052?\u1045?\u1053?\u1058? \u1048? \u1044?\u1054? \u1057?\u1066?\u1042?\u1045?\u1058?\u1040? \u1086?\u1090?\u1085?\u1086?\u1089?\u1085?\u1086? \u1045?\u1042?\u1056?\u1054?\u1055?\u1045?\u1049?\u1057?\u1050?\u1048?\u1071? \u1047?\u1045?\u1052?\u1045?\u1044?\u1045?\u1051?\u1057?\u1050?\u1048? \u1060?\u1054?\u1053?\u1044? \u1047?\u1040? \u1056?\u1040?\u1047?\u1042?\u1048?\u1058?\u1048?\u1045? \u1053?\u1040? \u1057?\u1045?\u1051?\u1057?\u1050?\u1048?\u1058?\u1045? \u1056?\u1040?\u1049?\u1054?\u1053?\u1048? (\u1045?\u1047?\u1060?\u1056?\u1057?\u1056?) \u1060?\u1048?\u1053?\u1040?\u1053?\u1057?\u1054?\u1042?\u1040? 2016 \u1043?\u1054?\u1044?\u1048?\u1053?\u104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numbering" w:customStyle="1" w:styleId="NoList1">
    <w:name w:val="No List1"/>
    <w:next w:val="NoList"/>
    <w:uiPriority w:val="99"/>
    <w:semiHidden/>
    <w:unhideWhenUsed/>
  </w:style>
  <w:style w:type="paragraph" w:styleId="ListNumber">
    <w:name w:val="List Number"/>
    <w:basedOn w:val="Normal"/>
    <w:pPr>
      <w:numPr>
        <w:numId w:val="25"/>
      </w:numPr>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Text1"/>
    <w:pPr>
      <w:numPr>
        <w:numId w:val="16"/>
      </w:numPr>
      <w:spacing w:before="0" w:after="240"/>
    </w:pPr>
    <w:rPr>
      <w:szCs w:val="20"/>
      <w:lang w:eastAsia="en-US" w:bidi="ar-SA"/>
    </w:rPr>
  </w:style>
  <w:style w:type="paragraph" w:customStyle="1" w:styleId="ListDash1">
    <w:name w:val="List Dash 1"/>
    <w:basedOn w:val="Text1"/>
    <w:pPr>
      <w:numPr>
        <w:numId w:val="21"/>
      </w:numPr>
      <w:spacing w:before="0" w:after="240"/>
    </w:pPr>
    <w:rPr>
      <w:szCs w:val="20"/>
      <w:lang w:eastAsia="en-US" w:bidi="ar-SA"/>
    </w:rPr>
  </w:style>
  <w:style w:type="paragraph" w:customStyle="1" w:styleId="ListDash2">
    <w:name w:val="List Dash 2"/>
    <w:basedOn w:val="Text2"/>
    <w:pPr>
      <w:numPr>
        <w:numId w:val="22"/>
      </w:numPr>
      <w:spacing w:before="0" w:after="240"/>
    </w:pPr>
    <w:rPr>
      <w:szCs w:val="20"/>
      <w:lang w:eastAsia="en-US" w:bidi="ar-SA"/>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sz w:val="24"/>
      <w:szCs w:val="20"/>
      <w:lang w:eastAsia="en-US" w:bidi="ar-SA"/>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u w:val="single"/>
    </w:rPr>
  </w:style>
  <w:style w:type="table" w:styleId="TableGrid">
    <w:name w:val="Table Grid"/>
    <w:basedOn w:val="TableNormal"/>
    <w:pPr>
      <w:spacing w:after="2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rFonts w:cs="Times New Roman"/>
      <w:i/>
      <w:iCs/>
      <w:shd w:val="clear" w:color="auto" w:fill="auto"/>
    </w:rPr>
  </w:style>
  <w:style w:type="paragraph" w:styleId="ListNumber2">
    <w:name w:val="List Number 2"/>
    <w:basedOn w:val="Text2"/>
    <w:pPr>
      <w:numPr>
        <w:numId w:val="27"/>
      </w:numPr>
      <w:spacing w:before="0" w:after="240"/>
    </w:pPr>
    <w:rPr>
      <w:szCs w:val="20"/>
      <w:lang w:eastAsia="en-US" w:bidi="ar-SA"/>
    </w:rPr>
  </w:style>
  <w:style w:type="paragraph" w:styleId="ListNumber3">
    <w:name w:val="List Number 3"/>
    <w:basedOn w:val="Text3"/>
    <w:pPr>
      <w:numPr>
        <w:numId w:val="28"/>
      </w:numPr>
      <w:spacing w:before="0" w:after="240"/>
    </w:pPr>
    <w:rPr>
      <w:szCs w:val="20"/>
      <w:lang w:eastAsia="en-US" w:bidi="ar-SA"/>
    </w:rPr>
  </w:style>
  <w:style w:type="paragraph" w:styleId="ListNumber4">
    <w:name w:val="List Number 4"/>
    <w:basedOn w:val="Text4"/>
    <w:pPr>
      <w:numPr>
        <w:numId w:val="29"/>
      </w:numPr>
      <w:spacing w:before="0" w:after="240"/>
    </w:pPr>
    <w:rPr>
      <w:szCs w:val="20"/>
      <w:lang w:eastAsia="en-US" w:bidi="ar-SA"/>
    </w:rPr>
  </w:style>
  <w:style w:type="paragraph" w:customStyle="1" w:styleId="ListNumber1">
    <w:name w:val="List Number 1"/>
    <w:basedOn w:val="Text1"/>
    <w:pPr>
      <w:numPr>
        <w:numId w:val="26"/>
      </w:numPr>
      <w:spacing w:before="0" w:after="240"/>
    </w:pPr>
    <w:rPr>
      <w:szCs w:val="20"/>
      <w:lang w:eastAsia="en-US" w:bidi="ar-SA"/>
    </w:rPr>
  </w:style>
  <w:style w:type="paragraph" w:customStyle="1" w:styleId="ListNumber1Level2">
    <w:name w:val="List Number 1 (Level 2)"/>
    <w:basedOn w:val="Text1"/>
    <w:pPr>
      <w:numPr>
        <w:ilvl w:val="1"/>
        <w:numId w:val="26"/>
      </w:numPr>
      <w:spacing w:before="0" w:after="240"/>
    </w:pPr>
    <w:rPr>
      <w:szCs w:val="20"/>
      <w:lang w:eastAsia="en-US" w:bidi="ar-SA"/>
    </w:rPr>
  </w:style>
  <w:style w:type="paragraph" w:customStyle="1" w:styleId="ListNumber2Level2">
    <w:name w:val="List Number 2 (Level 2)"/>
    <w:basedOn w:val="Text2"/>
    <w:pPr>
      <w:numPr>
        <w:ilvl w:val="1"/>
        <w:numId w:val="27"/>
      </w:numPr>
      <w:spacing w:before="0" w:after="240"/>
    </w:pPr>
    <w:rPr>
      <w:szCs w:val="20"/>
      <w:lang w:eastAsia="en-US" w:bidi="ar-SA"/>
    </w:rPr>
  </w:style>
  <w:style w:type="paragraph" w:customStyle="1" w:styleId="ListNumber3Level2">
    <w:name w:val="List Number 3 (Level 2)"/>
    <w:basedOn w:val="Text3"/>
    <w:pPr>
      <w:numPr>
        <w:ilvl w:val="1"/>
        <w:numId w:val="28"/>
      </w:numPr>
      <w:spacing w:before="0" w:after="240"/>
    </w:pPr>
    <w:rPr>
      <w:szCs w:val="20"/>
      <w:lang w:eastAsia="en-US" w:bidi="ar-SA"/>
    </w:rPr>
  </w:style>
  <w:style w:type="paragraph" w:customStyle="1" w:styleId="ListNumber4Level2">
    <w:name w:val="List Number 4 (Level 2)"/>
    <w:basedOn w:val="Text4"/>
    <w:pPr>
      <w:numPr>
        <w:ilvl w:val="1"/>
        <w:numId w:val="29"/>
      </w:numPr>
      <w:spacing w:before="0" w:after="240"/>
    </w:pPr>
    <w:rPr>
      <w:szCs w:val="20"/>
      <w:lang w:eastAsia="en-US" w:bidi="ar-SA"/>
    </w:rPr>
  </w:style>
  <w:style w:type="paragraph" w:customStyle="1" w:styleId="ListNumber1Level3">
    <w:name w:val="List Number 1 (Level 3)"/>
    <w:basedOn w:val="Text1"/>
    <w:pPr>
      <w:numPr>
        <w:ilvl w:val="2"/>
        <w:numId w:val="26"/>
      </w:numPr>
      <w:spacing w:before="0" w:after="240"/>
    </w:pPr>
    <w:rPr>
      <w:szCs w:val="20"/>
      <w:lang w:eastAsia="en-US" w:bidi="ar-SA"/>
    </w:rPr>
  </w:style>
  <w:style w:type="paragraph" w:customStyle="1" w:styleId="ListNumber2Level3">
    <w:name w:val="List Number 2 (Level 3)"/>
    <w:basedOn w:val="Text2"/>
    <w:pPr>
      <w:numPr>
        <w:ilvl w:val="2"/>
        <w:numId w:val="27"/>
      </w:numPr>
      <w:spacing w:before="0" w:after="240"/>
    </w:pPr>
    <w:rPr>
      <w:szCs w:val="20"/>
      <w:lang w:eastAsia="en-US" w:bidi="ar-SA"/>
    </w:rPr>
  </w:style>
  <w:style w:type="paragraph" w:customStyle="1" w:styleId="ListNumber3Level3">
    <w:name w:val="List Number 3 (Level 3)"/>
    <w:basedOn w:val="Text3"/>
    <w:pPr>
      <w:numPr>
        <w:ilvl w:val="2"/>
        <w:numId w:val="28"/>
      </w:numPr>
      <w:spacing w:before="0" w:after="240"/>
    </w:pPr>
    <w:rPr>
      <w:szCs w:val="20"/>
      <w:lang w:eastAsia="en-US" w:bidi="ar-SA"/>
    </w:rPr>
  </w:style>
  <w:style w:type="paragraph" w:customStyle="1" w:styleId="ListNumber4Level3">
    <w:name w:val="List Number 4 (Level 3)"/>
    <w:basedOn w:val="Text4"/>
    <w:pPr>
      <w:numPr>
        <w:ilvl w:val="2"/>
        <w:numId w:val="29"/>
      </w:numPr>
      <w:spacing w:before="0" w:after="240"/>
    </w:pPr>
    <w:rPr>
      <w:szCs w:val="20"/>
      <w:lang w:eastAsia="en-US" w:bidi="ar-SA"/>
    </w:rPr>
  </w:style>
  <w:style w:type="paragraph" w:customStyle="1" w:styleId="ListNumber1Level4">
    <w:name w:val="List Number 1 (Level 4)"/>
    <w:basedOn w:val="Text1"/>
    <w:pPr>
      <w:numPr>
        <w:ilvl w:val="3"/>
        <w:numId w:val="26"/>
      </w:numPr>
      <w:spacing w:before="0" w:after="240"/>
    </w:pPr>
    <w:rPr>
      <w:szCs w:val="20"/>
      <w:lang w:eastAsia="en-US" w:bidi="ar-SA"/>
    </w:rPr>
  </w:style>
  <w:style w:type="paragraph" w:customStyle="1" w:styleId="ListNumber2Level4">
    <w:name w:val="List Number 2 (Level 4)"/>
    <w:basedOn w:val="Text2"/>
    <w:pPr>
      <w:numPr>
        <w:ilvl w:val="3"/>
        <w:numId w:val="27"/>
      </w:numPr>
      <w:spacing w:before="0" w:after="240"/>
    </w:pPr>
    <w:rPr>
      <w:szCs w:val="20"/>
      <w:lang w:eastAsia="en-US" w:bidi="ar-SA"/>
    </w:rPr>
  </w:style>
  <w:style w:type="paragraph" w:customStyle="1" w:styleId="ListNumber3Level4">
    <w:name w:val="List Number 3 (Level 4)"/>
    <w:basedOn w:val="Text3"/>
    <w:pPr>
      <w:numPr>
        <w:ilvl w:val="3"/>
        <w:numId w:val="28"/>
      </w:numPr>
      <w:spacing w:before="0" w:after="240"/>
    </w:pPr>
    <w:rPr>
      <w:szCs w:val="20"/>
      <w:lang w:eastAsia="en-US" w:bidi="ar-SA"/>
    </w:rPr>
  </w:style>
  <w:style w:type="paragraph" w:customStyle="1" w:styleId="ListNumber4Level4">
    <w:name w:val="List Number 4 (Level 4)"/>
    <w:basedOn w:val="Text4"/>
    <w:pPr>
      <w:numPr>
        <w:ilvl w:val="3"/>
        <w:numId w:val="29"/>
      </w:numPr>
      <w:spacing w:before="0" w:after="240"/>
    </w:pPr>
    <w:rPr>
      <w:szCs w:val="20"/>
      <w:lang w:eastAsia="en-US" w:bidi="ar-SA"/>
    </w:rPr>
  </w:style>
  <w:style w:type="paragraph" w:styleId="ListBullet">
    <w:name w:val="List Bullet"/>
    <w:basedOn w:val="Normal"/>
    <w:pPr>
      <w:numPr>
        <w:numId w:val="15"/>
      </w:numPr>
      <w:spacing w:after="240" w:line="240" w:lineRule="auto"/>
      <w:jc w:val="both"/>
    </w:pPr>
    <w:rPr>
      <w:rFonts w:ascii="Times New Roman" w:eastAsia="Times New Roman" w:hAnsi="Times New Roman"/>
      <w:sz w:val="24"/>
      <w:szCs w:val="20"/>
      <w:lang w:eastAsia="en-US" w:bidi="ar-SA"/>
    </w:rPr>
  </w:style>
  <w:style w:type="paragraph" w:styleId="ListBullet2">
    <w:name w:val="List Bullet 2"/>
    <w:basedOn w:val="Text2"/>
    <w:pPr>
      <w:numPr>
        <w:numId w:val="17"/>
      </w:numPr>
      <w:spacing w:before="0" w:after="240"/>
    </w:pPr>
    <w:rPr>
      <w:szCs w:val="20"/>
      <w:lang w:eastAsia="en-US" w:bidi="ar-SA"/>
    </w:rPr>
  </w:style>
  <w:style w:type="paragraph" w:styleId="ListBullet3">
    <w:name w:val="List Bullet 3"/>
    <w:basedOn w:val="Text3"/>
    <w:pPr>
      <w:numPr>
        <w:numId w:val="18"/>
      </w:numPr>
      <w:spacing w:before="0" w:after="240"/>
    </w:pPr>
    <w:rPr>
      <w:szCs w:val="20"/>
      <w:lang w:eastAsia="en-US" w:bidi="ar-SA"/>
    </w:rPr>
  </w:style>
  <w:style w:type="paragraph" w:styleId="ListBullet4">
    <w:name w:val="List Bullet 4"/>
    <w:basedOn w:val="Text4"/>
    <w:pPr>
      <w:numPr>
        <w:numId w:val="19"/>
      </w:numPr>
      <w:spacing w:before="0" w:after="240"/>
    </w:pPr>
    <w:rPr>
      <w:szCs w:val="20"/>
      <w:lang w:eastAsia="en-US" w:bidi="ar-SA"/>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Text3"/>
    <w:pPr>
      <w:numPr>
        <w:numId w:val="23"/>
      </w:numPr>
      <w:spacing w:before="0" w:after="240"/>
    </w:pPr>
    <w:rPr>
      <w:szCs w:val="20"/>
      <w:lang w:eastAsia="en-US" w:bidi="ar-SA"/>
    </w:rPr>
  </w:style>
  <w:style w:type="paragraph" w:customStyle="1" w:styleId="ListDash4">
    <w:name w:val="List Dash 4"/>
    <w:basedOn w:val="Text4"/>
    <w:pPr>
      <w:numPr>
        <w:numId w:val="24"/>
      </w:numPr>
      <w:spacing w:before="0" w:after="240"/>
    </w:pPr>
    <w:rPr>
      <w:szCs w:val="20"/>
      <w:lang w:eastAsia="en-US" w:bidi="ar-SA"/>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Pr>
      <w:rFonts w:ascii="Courier New" w:eastAsia="Times New Roman" w:hAnsi="Courier New" w:cs="Courier New"/>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rPr>
  </w:style>
  <w:style w:type="character" w:customStyle="1" w:styleId="shorttext">
    <w:name w:val="short_text"/>
    <w:rPr>
      <w:shd w:val="clear" w:color="auto" w:fill="auto"/>
    </w:rPr>
  </w:style>
  <w:style w:type="character" w:customStyle="1" w:styleId="hps">
    <w:name w:val="hps"/>
    <w:rPr>
      <w:shd w:val="clear" w:color="auto" w:fill="auto"/>
    </w:rPr>
  </w:style>
  <w:style w:type="character" w:styleId="Hyperlink">
    <w:name w:val="Hyperlink"/>
    <w:uiPriority w:val="99"/>
    <w:rPr>
      <w:color w:val="0000FF"/>
      <w:u w:val="single"/>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har">
    <w:name w:val="Header Char"/>
    <w:link w:val="Header"/>
    <w:uiPriority w:val="99"/>
    <w:rPr>
      <w:rFonts w:ascii="Times New Roman" w:eastAsia="Times New Roman" w:hAnsi="Times New Roman"/>
      <w:sz w:val="24"/>
      <w:szCs w:val="22"/>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FooterChar">
    <w:name w:val="Footer Char"/>
    <w:link w:val="Footer"/>
    <w:uiPriority w:val="99"/>
    <w:rPr>
      <w:rFonts w:ascii="Times New Roman" w:eastAsia="Times New Roman" w:hAnsi="Times New Roman"/>
      <w:sz w:val="24"/>
      <w:szCs w:val="22"/>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lang w:eastAsia="en-US" w:bidi="ar-SA"/>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sz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Revision">
    <w:name w:val="Revision"/>
    <w:hidden/>
    <w:uiPriority w:val="99"/>
    <w:semiHidden/>
    <w:rPr>
      <w:sz w:val="22"/>
      <w:szCs w:val="22"/>
    </w:rPr>
  </w:style>
  <w:style w:type="character" w:customStyle="1" w:styleId="Text1Char">
    <w:name w:val="Text 1 Char"/>
    <w:link w:val="Text1"/>
    <w:locked/>
    <w:rPr>
      <w:rFonts w:ascii="Times New Roman" w:eastAsia="Times New Roman" w:hAnsi="Times New Roman"/>
      <w:sz w:val="24"/>
      <w:szCs w:val="22"/>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lang w:eastAsia="en-US" w:bidi="ar-SA"/>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numbering" w:customStyle="1" w:styleId="NoList1">
    <w:name w:val="No List1"/>
    <w:next w:val="NoList"/>
    <w:uiPriority w:val="99"/>
    <w:semiHidden/>
    <w:unhideWhenUsed/>
  </w:style>
  <w:style w:type="paragraph" w:styleId="ListNumber">
    <w:name w:val="List Number"/>
    <w:basedOn w:val="Normal"/>
    <w:pPr>
      <w:numPr>
        <w:numId w:val="25"/>
      </w:numPr>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Text1"/>
    <w:pPr>
      <w:numPr>
        <w:numId w:val="16"/>
      </w:numPr>
      <w:spacing w:before="0" w:after="240"/>
    </w:pPr>
    <w:rPr>
      <w:szCs w:val="20"/>
      <w:lang w:eastAsia="en-US" w:bidi="ar-SA"/>
    </w:rPr>
  </w:style>
  <w:style w:type="paragraph" w:customStyle="1" w:styleId="ListDash1">
    <w:name w:val="List Dash 1"/>
    <w:basedOn w:val="Text1"/>
    <w:pPr>
      <w:numPr>
        <w:numId w:val="21"/>
      </w:numPr>
      <w:spacing w:before="0" w:after="240"/>
    </w:pPr>
    <w:rPr>
      <w:szCs w:val="20"/>
      <w:lang w:eastAsia="en-US" w:bidi="ar-SA"/>
    </w:rPr>
  </w:style>
  <w:style w:type="paragraph" w:customStyle="1" w:styleId="ListDash2">
    <w:name w:val="List Dash 2"/>
    <w:basedOn w:val="Text2"/>
    <w:pPr>
      <w:numPr>
        <w:numId w:val="22"/>
      </w:numPr>
      <w:spacing w:before="0" w:after="240"/>
    </w:pPr>
    <w:rPr>
      <w:szCs w:val="20"/>
      <w:lang w:eastAsia="en-US" w:bidi="ar-SA"/>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sz w:val="24"/>
      <w:szCs w:val="20"/>
      <w:lang w:eastAsia="en-US" w:bidi="ar-SA"/>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u w:val="single"/>
    </w:rPr>
  </w:style>
  <w:style w:type="table" w:styleId="TableGrid">
    <w:name w:val="Table Grid"/>
    <w:basedOn w:val="TableNormal"/>
    <w:pPr>
      <w:spacing w:after="2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rFonts w:cs="Times New Roman"/>
      <w:i/>
      <w:iCs/>
      <w:shd w:val="clear" w:color="auto" w:fill="auto"/>
    </w:rPr>
  </w:style>
  <w:style w:type="paragraph" w:styleId="ListNumber2">
    <w:name w:val="List Number 2"/>
    <w:basedOn w:val="Text2"/>
    <w:pPr>
      <w:numPr>
        <w:numId w:val="27"/>
      </w:numPr>
      <w:spacing w:before="0" w:after="240"/>
    </w:pPr>
    <w:rPr>
      <w:szCs w:val="20"/>
      <w:lang w:eastAsia="en-US" w:bidi="ar-SA"/>
    </w:rPr>
  </w:style>
  <w:style w:type="paragraph" w:styleId="ListNumber3">
    <w:name w:val="List Number 3"/>
    <w:basedOn w:val="Text3"/>
    <w:pPr>
      <w:numPr>
        <w:numId w:val="28"/>
      </w:numPr>
      <w:spacing w:before="0" w:after="240"/>
    </w:pPr>
    <w:rPr>
      <w:szCs w:val="20"/>
      <w:lang w:eastAsia="en-US" w:bidi="ar-SA"/>
    </w:rPr>
  </w:style>
  <w:style w:type="paragraph" w:styleId="ListNumber4">
    <w:name w:val="List Number 4"/>
    <w:basedOn w:val="Text4"/>
    <w:pPr>
      <w:numPr>
        <w:numId w:val="29"/>
      </w:numPr>
      <w:spacing w:before="0" w:after="240"/>
    </w:pPr>
    <w:rPr>
      <w:szCs w:val="20"/>
      <w:lang w:eastAsia="en-US" w:bidi="ar-SA"/>
    </w:rPr>
  </w:style>
  <w:style w:type="paragraph" w:customStyle="1" w:styleId="ListNumber1">
    <w:name w:val="List Number 1"/>
    <w:basedOn w:val="Text1"/>
    <w:pPr>
      <w:numPr>
        <w:numId w:val="26"/>
      </w:numPr>
      <w:spacing w:before="0" w:after="240"/>
    </w:pPr>
    <w:rPr>
      <w:szCs w:val="20"/>
      <w:lang w:eastAsia="en-US" w:bidi="ar-SA"/>
    </w:rPr>
  </w:style>
  <w:style w:type="paragraph" w:customStyle="1" w:styleId="ListNumber1Level2">
    <w:name w:val="List Number 1 (Level 2)"/>
    <w:basedOn w:val="Text1"/>
    <w:pPr>
      <w:numPr>
        <w:ilvl w:val="1"/>
        <w:numId w:val="26"/>
      </w:numPr>
      <w:spacing w:before="0" w:after="240"/>
    </w:pPr>
    <w:rPr>
      <w:szCs w:val="20"/>
      <w:lang w:eastAsia="en-US" w:bidi="ar-SA"/>
    </w:rPr>
  </w:style>
  <w:style w:type="paragraph" w:customStyle="1" w:styleId="ListNumber2Level2">
    <w:name w:val="List Number 2 (Level 2)"/>
    <w:basedOn w:val="Text2"/>
    <w:pPr>
      <w:numPr>
        <w:ilvl w:val="1"/>
        <w:numId w:val="27"/>
      </w:numPr>
      <w:spacing w:before="0" w:after="240"/>
    </w:pPr>
    <w:rPr>
      <w:szCs w:val="20"/>
      <w:lang w:eastAsia="en-US" w:bidi="ar-SA"/>
    </w:rPr>
  </w:style>
  <w:style w:type="paragraph" w:customStyle="1" w:styleId="ListNumber3Level2">
    <w:name w:val="List Number 3 (Level 2)"/>
    <w:basedOn w:val="Text3"/>
    <w:pPr>
      <w:numPr>
        <w:ilvl w:val="1"/>
        <w:numId w:val="28"/>
      </w:numPr>
      <w:spacing w:before="0" w:after="240"/>
    </w:pPr>
    <w:rPr>
      <w:szCs w:val="20"/>
      <w:lang w:eastAsia="en-US" w:bidi="ar-SA"/>
    </w:rPr>
  </w:style>
  <w:style w:type="paragraph" w:customStyle="1" w:styleId="ListNumber4Level2">
    <w:name w:val="List Number 4 (Level 2)"/>
    <w:basedOn w:val="Text4"/>
    <w:pPr>
      <w:numPr>
        <w:ilvl w:val="1"/>
        <w:numId w:val="29"/>
      </w:numPr>
      <w:spacing w:before="0" w:after="240"/>
    </w:pPr>
    <w:rPr>
      <w:szCs w:val="20"/>
      <w:lang w:eastAsia="en-US" w:bidi="ar-SA"/>
    </w:rPr>
  </w:style>
  <w:style w:type="paragraph" w:customStyle="1" w:styleId="ListNumber1Level3">
    <w:name w:val="List Number 1 (Level 3)"/>
    <w:basedOn w:val="Text1"/>
    <w:pPr>
      <w:numPr>
        <w:ilvl w:val="2"/>
        <w:numId w:val="26"/>
      </w:numPr>
      <w:spacing w:before="0" w:after="240"/>
    </w:pPr>
    <w:rPr>
      <w:szCs w:val="20"/>
      <w:lang w:eastAsia="en-US" w:bidi="ar-SA"/>
    </w:rPr>
  </w:style>
  <w:style w:type="paragraph" w:customStyle="1" w:styleId="ListNumber2Level3">
    <w:name w:val="List Number 2 (Level 3)"/>
    <w:basedOn w:val="Text2"/>
    <w:pPr>
      <w:numPr>
        <w:ilvl w:val="2"/>
        <w:numId w:val="27"/>
      </w:numPr>
      <w:spacing w:before="0" w:after="240"/>
    </w:pPr>
    <w:rPr>
      <w:szCs w:val="20"/>
      <w:lang w:eastAsia="en-US" w:bidi="ar-SA"/>
    </w:rPr>
  </w:style>
  <w:style w:type="paragraph" w:customStyle="1" w:styleId="ListNumber3Level3">
    <w:name w:val="List Number 3 (Level 3)"/>
    <w:basedOn w:val="Text3"/>
    <w:pPr>
      <w:numPr>
        <w:ilvl w:val="2"/>
        <w:numId w:val="28"/>
      </w:numPr>
      <w:spacing w:before="0" w:after="240"/>
    </w:pPr>
    <w:rPr>
      <w:szCs w:val="20"/>
      <w:lang w:eastAsia="en-US" w:bidi="ar-SA"/>
    </w:rPr>
  </w:style>
  <w:style w:type="paragraph" w:customStyle="1" w:styleId="ListNumber4Level3">
    <w:name w:val="List Number 4 (Level 3)"/>
    <w:basedOn w:val="Text4"/>
    <w:pPr>
      <w:numPr>
        <w:ilvl w:val="2"/>
        <w:numId w:val="29"/>
      </w:numPr>
      <w:spacing w:before="0" w:after="240"/>
    </w:pPr>
    <w:rPr>
      <w:szCs w:val="20"/>
      <w:lang w:eastAsia="en-US" w:bidi="ar-SA"/>
    </w:rPr>
  </w:style>
  <w:style w:type="paragraph" w:customStyle="1" w:styleId="ListNumber1Level4">
    <w:name w:val="List Number 1 (Level 4)"/>
    <w:basedOn w:val="Text1"/>
    <w:pPr>
      <w:numPr>
        <w:ilvl w:val="3"/>
        <w:numId w:val="26"/>
      </w:numPr>
      <w:spacing w:before="0" w:after="240"/>
    </w:pPr>
    <w:rPr>
      <w:szCs w:val="20"/>
      <w:lang w:eastAsia="en-US" w:bidi="ar-SA"/>
    </w:rPr>
  </w:style>
  <w:style w:type="paragraph" w:customStyle="1" w:styleId="ListNumber2Level4">
    <w:name w:val="List Number 2 (Level 4)"/>
    <w:basedOn w:val="Text2"/>
    <w:pPr>
      <w:numPr>
        <w:ilvl w:val="3"/>
        <w:numId w:val="27"/>
      </w:numPr>
      <w:spacing w:before="0" w:after="240"/>
    </w:pPr>
    <w:rPr>
      <w:szCs w:val="20"/>
      <w:lang w:eastAsia="en-US" w:bidi="ar-SA"/>
    </w:rPr>
  </w:style>
  <w:style w:type="paragraph" w:customStyle="1" w:styleId="ListNumber3Level4">
    <w:name w:val="List Number 3 (Level 4)"/>
    <w:basedOn w:val="Text3"/>
    <w:pPr>
      <w:numPr>
        <w:ilvl w:val="3"/>
        <w:numId w:val="28"/>
      </w:numPr>
      <w:spacing w:before="0" w:after="240"/>
    </w:pPr>
    <w:rPr>
      <w:szCs w:val="20"/>
      <w:lang w:eastAsia="en-US" w:bidi="ar-SA"/>
    </w:rPr>
  </w:style>
  <w:style w:type="paragraph" w:customStyle="1" w:styleId="ListNumber4Level4">
    <w:name w:val="List Number 4 (Level 4)"/>
    <w:basedOn w:val="Text4"/>
    <w:pPr>
      <w:numPr>
        <w:ilvl w:val="3"/>
        <w:numId w:val="29"/>
      </w:numPr>
      <w:spacing w:before="0" w:after="240"/>
    </w:pPr>
    <w:rPr>
      <w:szCs w:val="20"/>
      <w:lang w:eastAsia="en-US" w:bidi="ar-SA"/>
    </w:rPr>
  </w:style>
  <w:style w:type="paragraph" w:styleId="ListBullet">
    <w:name w:val="List Bullet"/>
    <w:basedOn w:val="Normal"/>
    <w:pPr>
      <w:numPr>
        <w:numId w:val="15"/>
      </w:numPr>
      <w:spacing w:after="240" w:line="240" w:lineRule="auto"/>
      <w:jc w:val="both"/>
    </w:pPr>
    <w:rPr>
      <w:rFonts w:ascii="Times New Roman" w:eastAsia="Times New Roman" w:hAnsi="Times New Roman"/>
      <w:sz w:val="24"/>
      <w:szCs w:val="20"/>
      <w:lang w:eastAsia="en-US" w:bidi="ar-SA"/>
    </w:rPr>
  </w:style>
  <w:style w:type="paragraph" w:styleId="ListBullet2">
    <w:name w:val="List Bullet 2"/>
    <w:basedOn w:val="Text2"/>
    <w:pPr>
      <w:numPr>
        <w:numId w:val="17"/>
      </w:numPr>
      <w:spacing w:before="0" w:after="240"/>
    </w:pPr>
    <w:rPr>
      <w:szCs w:val="20"/>
      <w:lang w:eastAsia="en-US" w:bidi="ar-SA"/>
    </w:rPr>
  </w:style>
  <w:style w:type="paragraph" w:styleId="ListBullet3">
    <w:name w:val="List Bullet 3"/>
    <w:basedOn w:val="Text3"/>
    <w:pPr>
      <w:numPr>
        <w:numId w:val="18"/>
      </w:numPr>
      <w:spacing w:before="0" w:after="240"/>
    </w:pPr>
    <w:rPr>
      <w:szCs w:val="20"/>
      <w:lang w:eastAsia="en-US" w:bidi="ar-SA"/>
    </w:rPr>
  </w:style>
  <w:style w:type="paragraph" w:styleId="ListBullet4">
    <w:name w:val="List Bullet 4"/>
    <w:basedOn w:val="Text4"/>
    <w:pPr>
      <w:numPr>
        <w:numId w:val="19"/>
      </w:numPr>
      <w:spacing w:before="0" w:after="240"/>
    </w:pPr>
    <w:rPr>
      <w:szCs w:val="20"/>
      <w:lang w:eastAsia="en-US" w:bidi="ar-SA"/>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Text3"/>
    <w:pPr>
      <w:numPr>
        <w:numId w:val="23"/>
      </w:numPr>
      <w:spacing w:before="0" w:after="240"/>
    </w:pPr>
    <w:rPr>
      <w:szCs w:val="20"/>
      <w:lang w:eastAsia="en-US" w:bidi="ar-SA"/>
    </w:rPr>
  </w:style>
  <w:style w:type="paragraph" w:customStyle="1" w:styleId="ListDash4">
    <w:name w:val="List Dash 4"/>
    <w:basedOn w:val="Text4"/>
    <w:pPr>
      <w:numPr>
        <w:numId w:val="24"/>
      </w:numPr>
      <w:spacing w:before="0" w:after="240"/>
    </w:pPr>
    <w:rPr>
      <w:szCs w:val="20"/>
      <w:lang w:eastAsia="en-US" w:bidi="ar-SA"/>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Pr>
      <w:rFonts w:ascii="Courier New" w:eastAsia="Times New Roman" w:hAnsi="Courier New" w:cs="Courier New"/>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rPr>
  </w:style>
  <w:style w:type="character" w:customStyle="1" w:styleId="shorttext">
    <w:name w:val="short_text"/>
    <w:rPr>
      <w:shd w:val="clear" w:color="auto" w:fill="auto"/>
    </w:rPr>
  </w:style>
  <w:style w:type="character" w:customStyle="1" w:styleId="hps">
    <w:name w:val="hps"/>
    <w:rPr>
      <w:shd w:val="clear" w:color="auto" w:fill="auto"/>
    </w:rPr>
  </w:style>
  <w:style w:type="character" w:styleId="Hyperlink">
    <w:name w:val="Hyperlink"/>
    <w:uiPriority w:val="99"/>
    <w:rPr>
      <w:color w:val="0000FF"/>
      <w:u w:val="single"/>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har">
    <w:name w:val="Header Char"/>
    <w:link w:val="Header"/>
    <w:uiPriority w:val="99"/>
    <w:rPr>
      <w:rFonts w:ascii="Times New Roman" w:eastAsia="Times New Roman" w:hAnsi="Times New Roman"/>
      <w:sz w:val="24"/>
      <w:szCs w:val="22"/>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FooterChar">
    <w:name w:val="Footer Char"/>
    <w:link w:val="Footer"/>
    <w:uiPriority w:val="99"/>
    <w:rPr>
      <w:rFonts w:ascii="Times New Roman" w:eastAsia="Times New Roman" w:hAnsi="Times New Roman"/>
      <w:sz w:val="24"/>
      <w:szCs w:val="22"/>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lang w:eastAsia="en-US" w:bidi="ar-SA"/>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sz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Revision">
    <w:name w:val="Revision"/>
    <w:hidden/>
    <w:uiPriority w:val="99"/>
    <w:semiHidden/>
    <w:rPr>
      <w:sz w:val="22"/>
      <w:szCs w:val="22"/>
    </w:rPr>
  </w:style>
  <w:style w:type="character" w:customStyle="1" w:styleId="Text1Char">
    <w:name w:val="Text 1 Char"/>
    <w:link w:val="Text1"/>
    <w:locked/>
    <w:rPr>
      <w:rFonts w:ascii="Times New Roman" w:eastAsia="Times New Roman" w:hAnsi="Times New Roman"/>
      <w:sz w:val="24"/>
      <w:szCs w:val="22"/>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lang w:eastAsia="en-US" w:bidi="ar-SA"/>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791">
      <w:bodyDiv w:val="1"/>
      <w:marLeft w:val="0"/>
      <w:marRight w:val="0"/>
      <w:marTop w:val="0"/>
      <w:marBottom w:val="0"/>
      <w:divBdr>
        <w:top w:val="none" w:sz="0" w:space="0" w:color="auto"/>
        <w:left w:val="none" w:sz="0" w:space="0" w:color="auto"/>
        <w:bottom w:val="none" w:sz="0" w:space="0" w:color="auto"/>
        <w:right w:val="none" w:sz="0" w:space="0" w:color="auto"/>
      </w:divBdr>
    </w:div>
    <w:div w:id="48503476">
      <w:bodyDiv w:val="1"/>
      <w:marLeft w:val="0"/>
      <w:marRight w:val="0"/>
      <w:marTop w:val="0"/>
      <w:marBottom w:val="0"/>
      <w:divBdr>
        <w:top w:val="none" w:sz="0" w:space="0" w:color="auto"/>
        <w:left w:val="none" w:sz="0" w:space="0" w:color="auto"/>
        <w:bottom w:val="none" w:sz="0" w:space="0" w:color="auto"/>
        <w:right w:val="none" w:sz="0" w:space="0" w:color="auto"/>
      </w:divBdr>
    </w:div>
    <w:div w:id="55590005">
      <w:bodyDiv w:val="1"/>
      <w:marLeft w:val="0"/>
      <w:marRight w:val="0"/>
      <w:marTop w:val="0"/>
      <w:marBottom w:val="0"/>
      <w:divBdr>
        <w:top w:val="none" w:sz="0" w:space="0" w:color="auto"/>
        <w:left w:val="none" w:sz="0" w:space="0" w:color="auto"/>
        <w:bottom w:val="none" w:sz="0" w:space="0" w:color="auto"/>
        <w:right w:val="none" w:sz="0" w:space="0" w:color="auto"/>
      </w:divBdr>
    </w:div>
    <w:div w:id="57746921">
      <w:bodyDiv w:val="1"/>
      <w:marLeft w:val="0"/>
      <w:marRight w:val="0"/>
      <w:marTop w:val="0"/>
      <w:marBottom w:val="0"/>
      <w:divBdr>
        <w:top w:val="none" w:sz="0" w:space="0" w:color="auto"/>
        <w:left w:val="none" w:sz="0" w:space="0" w:color="auto"/>
        <w:bottom w:val="none" w:sz="0" w:space="0" w:color="auto"/>
        <w:right w:val="none" w:sz="0" w:space="0" w:color="auto"/>
      </w:divBdr>
    </w:div>
    <w:div w:id="79524618">
      <w:bodyDiv w:val="1"/>
      <w:marLeft w:val="0"/>
      <w:marRight w:val="0"/>
      <w:marTop w:val="0"/>
      <w:marBottom w:val="0"/>
      <w:divBdr>
        <w:top w:val="none" w:sz="0" w:space="0" w:color="auto"/>
        <w:left w:val="none" w:sz="0" w:space="0" w:color="auto"/>
        <w:bottom w:val="none" w:sz="0" w:space="0" w:color="auto"/>
        <w:right w:val="none" w:sz="0" w:space="0" w:color="auto"/>
      </w:divBdr>
    </w:div>
    <w:div w:id="89620424">
      <w:bodyDiv w:val="1"/>
      <w:marLeft w:val="0"/>
      <w:marRight w:val="0"/>
      <w:marTop w:val="0"/>
      <w:marBottom w:val="0"/>
      <w:divBdr>
        <w:top w:val="none" w:sz="0" w:space="0" w:color="auto"/>
        <w:left w:val="none" w:sz="0" w:space="0" w:color="auto"/>
        <w:bottom w:val="none" w:sz="0" w:space="0" w:color="auto"/>
        <w:right w:val="none" w:sz="0" w:space="0" w:color="auto"/>
      </w:divBdr>
    </w:div>
    <w:div w:id="117531499">
      <w:bodyDiv w:val="1"/>
      <w:marLeft w:val="0"/>
      <w:marRight w:val="0"/>
      <w:marTop w:val="0"/>
      <w:marBottom w:val="0"/>
      <w:divBdr>
        <w:top w:val="none" w:sz="0" w:space="0" w:color="auto"/>
        <w:left w:val="none" w:sz="0" w:space="0" w:color="auto"/>
        <w:bottom w:val="none" w:sz="0" w:space="0" w:color="auto"/>
        <w:right w:val="none" w:sz="0" w:space="0" w:color="auto"/>
      </w:divBdr>
    </w:div>
    <w:div w:id="165752188">
      <w:bodyDiv w:val="1"/>
      <w:marLeft w:val="0"/>
      <w:marRight w:val="0"/>
      <w:marTop w:val="0"/>
      <w:marBottom w:val="0"/>
      <w:divBdr>
        <w:top w:val="none" w:sz="0" w:space="0" w:color="auto"/>
        <w:left w:val="none" w:sz="0" w:space="0" w:color="auto"/>
        <w:bottom w:val="none" w:sz="0" w:space="0" w:color="auto"/>
        <w:right w:val="none" w:sz="0" w:space="0" w:color="auto"/>
      </w:divBdr>
    </w:div>
    <w:div w:id="196701086">
      <w:bodyDiv w:val="1"/>
      <w:marLeft w:val="0"/>
      <w:marRight w:val="0"/>
      <w:marTop w:val="0"/>
      <w:marBottom w:val="0"/>
      <w:divBdr>
        <w:top w:val="none" w:sz="0" w:space="0" w:color="auto"/>
        <w:left w:val="none" w:sz="0" w:space="0" w:color="auto"/>
        <w:bottom w:val="none" w:sz="0" w:space="0" w:color="auto"/>
        <w:right w:val="none" w:sz="0" w:space="0" w:color="auto"/>
      </w:divBdr>
    </w:div>
    <w:div w:id="230584177">
      <w:bodyDiv w:val="1"/>
      <w:marLeft w:val="0"/>
      <w:marRight w:val="0"/>
      <w:marTop w:val="0"/>
      <w:marBottom w:val="0"/>
      <w:divBdr>
        <w:top w:val="none" w:sz="0" w:space="0" w:color="auto"/>
        <w:left w:val="none" w:sz="0" w:space="0" w:color="auto"/>
        <w:bottom w:val="none" w:sz="0" w:space="0" w:color="auto"/>
        <w:right w:val="none" w:sz="0" w:space="0" w:color="auto"/>
      </w:divBdr>
    </w:div>
    <w:div w:id="232088436">
      <w:bodyDiv w:val="1"/>
      <w:marLeft w:val="0"/>
      <w:marRight w:val="0"/>
      <w:marTop w:val="0"/>
      <w:marBottom w:val="0"/>
      <w:divBdr>
        <w:top w:val="none" w:sz="0" w:space="0" w:color="auto"/>
        <w:left w:val="none" w:sz="0" w:space="0" w:color="auto"/>
        <w:bottom w:val="none" w:sz="0" w:space="0" w:color="auto"/>
        <w:right w:val="none" w:sz="0" w:space="0" w:color="auto"/>
      </w:divBdr>
    </w:div>
    <w:div w:id="285431364">
      <w:bodyDiv w:val="1"/>
      <w:marLeft w:val="0"/>
      <w:marRight w:val="0"/>
      <w:marTop w:val="0"/>
      <w:marBottom w:val="0"/>
      <w:divBdr>
        <w:top w:val="none" w:sz="0" w:space="0" w:color="auto"/>
        <w:left w:val="none" w:sz="0" w:space="0" w:color="auto"/>
        <w:bottom w:val="none" w:sz="0" w:space="0" w:color="auto"/>
        <w:right w:val="none" w:sz="0" w:space="0" w:color="auto"/>
      </w:divBdr>
    </w:div>
    <w:div w:id="288627254">
      <w:bodyDiv w:val="1"/>
      <w:marLeft w:val="0"/>
      <w:marRight w:val="0"/>
      <w:marTop w:val="0"/>
      <w:marBottom w:val="0"/>
      <w:divBdr>
        <w:top w:val="none" w:sz="0" w:space="0" w:color="auto"/>
        <w:left w:val="none" w:sz="0" w:space="0" w:color="auto"/>
        <w:bottom w:val="none" w:sz="0" w:space="0" w:color="auto"/>
        <w:right w:val="none" w:sz="0" w:space="0" w:color="auto"/>
      </w:divBdr>
    </w:div>
    <w:div w:id="344330042">
      <w:bodyDiv w:val="1"/>
      <w:marLeft w:val="0"/>
      <w:marRight w:val="0"/>
      <w:marTop w:val="0"/>
      <w:marBottom w:val="0"/>
      <w:divBdr>
        <w:top w:val="none" w:sz="0" w:space="0" w:color="auto"/>
        <w:left w:val="none" w:sz="0" w:space="0" w:color="auto"/>
        <w:bottom w:val="none" w:sz="0" w:space="0" w:color="auto"/>
        <w:right w:val="none" w:sz="0" w:space="0" w:color="auto"/>
      </w:divBdr>
    </w:div>
    <w:div w:id="526061196">
      <w:bodyDiv w:val="1"/>
      <w:marLeft w:val="0"/>
      <w:marRight w:val="0"/>
      <w:marTop w:val="0"/>
      <w:marBottom w:val="0"/>
      <w:divBdr>
        <w:top w:val="none" w:sz="0" w:space="0" w:color="auto"/>
        <w:left w:val="none" w:sz="0" w:space="0" w:color="auto"/>
        <w:bottom w:val="none" w:sz="0" w:space="0" w:color="auto"/>
        <w:right w:val="none" w:sz="0" w:space="0" w:color="auto"/>
      </w:divBdr>
    </w:div>
    <w:div w:id="526068619">
      <w:bodyDiv w:val="1"/>
      <w:marLeft w:val="0"/>
      <w:marRight w:val="0"/>
      <w:marTop w:val="0"/>
      <w:marBottom w:val="0"/>
      <w:divBdr>
        <w:top w:val="none" w:sz="0" w:space="0" w:color="auto"/>
        <w:left w:val="none" w:sz="0" w:space="0" w:color="auto"/>
        <w:bottom w:val="none" w:sz="0" w:space="0" w:color="auto"/>
        <w:right w:val="none" w:sz="0" w:space="0" w:color="auto"/>
      </w:divBdr>
    </w:div>
    <w:div w:id="580794129">
      <w:bodyDiv w:val="1"/>
      <w:marLeft w:val="0"/>
      <w:marRight w:val="0"/>
      <w:marTop w:val="0"/>
      <w:marBottom w:val="0"/>
      <w:divBdr>
        <w:top w:val="none" w:sz="0" w:space="0" w:color="auto"/>
        <w:left w:val="none" w:sz="0" w:space="0" w:color="auto"/>
        <w:bottom w:val="none" w:sz="0" w:space="0" w:color="auto"/>
        <w:right w:val="none" w:sz="0" w:space="0" w:color="auto"/>
      </w:divBdr>
    </w:div>
    <w:div w:id="610018029">
      <w:bodyDiv w:val="1"/>
      <w:marLeft w:val="0"/>
      <w:marRight w:val="0"/>
      <w:marTop w:val="0"/>
      <w:marBottom w:val="0"/>
      <w:divBdr>
        <w:top w:val="none" w:sz="0" w:space="0" w:color="auto"/>
        <w:left w:val="none" w:sz="0" w:space="0" w:color="auto"/>
        <w:bottom w:val="none" w:sz="0" w:space="0" w:color="auto"/>
        <w:right w:val="none" w:sz="0" w:space="0" w:color="auto"/>
      </w:divBdr>
    </w:div>
    <w:div w:id="736437301">
      <w:bodyDiv w:val="1"/>
      <w:marLeft w:val="0"/>
      <w:marRight w:val="0"/>
      <w:marTop w:val="0"/>
      <w:marBottom w:val="0"/>
      <w:divBdr>
        <w:top w:val="none" w:sz="0" w:space="0" w:color="auto"/>
        <w:left w:val="none" w:sz="0" w:space="0" w:color="auto"/>
        <w:bottom w:val="none" w:sz="0" w:space="0" w:color="auto"/>
        <w:right w:val="none" w:sz="0" w:space="0" w:color="auto"/>
      </w:divBdr>
    </w:div>
    <w:div w:id="742799920">
      <w:bodyDiv w:val="1"/>
      <w:marLeft w:val="0"/>
      <w:marRight w:val="0"/>
      <w:marTop w:val="0"/>
      <w:marBottom w:val="0"/>
      <w:divBdr>
        <w:top w:val="none" w:sz="0" w:space="0" w:color="auto"/>
        <w:left w:val="none" w:sz="0" w:space="0" w:color="auto"/>
        <w:bottom w:val="none" w:sz="0" w:space="0" w:color="auto"/>
        <w:right w:val="none" w:sz="0" w:space="0" w:color="auto"/>
      </w:divBdr>
    </w:div>
    <w:div w:id="746150139">
      <w:bodyDiv w:val="1"/>
      <w:marLeft w:val="0"/>
      <w:marRight w:val="0"/>
      <w:marTop w:val="0"/>
      <w:marBottom w:val="0"/>
      <w:divBdr>
        <w:top w:val="none" w:sz="0" w:space="0" w:color="auto"/>
        <w:left w:val="none" w:sz="0" w:space="0" w:color="auto"/>
        <w:bottom w:val="none" w:sz="0" w:space="0" w:color="auto"/>
        <w:right w:val="none" w:sz="0" w:space="0" w:color="auto"/>
      </w:divBdr>
    </w:div>
    <w:div w:id="772557418">
      <w:bodyDiv w:val="1"/>
      <w:marLeft w:val="0"/>
      <w:marRight w:val="0"/>
      <w:marTop w:val="0"/>
      <w:marBottom w:val="0"/>
      <w:divBdr>
        <w:top w:val="none" w:sz="0" w:space="0" w:color="auto"/>
        <w:left w:val="none" w:sz="0" w:space="0" w:color="auto"/>
        <w:bottom w:val="none" w:sz="0" w:space="0" w:color="auto"/>
        <w:right w:val="none" w:sz="0" w:space="0" w:color="auto"/>
      </w:divBdr>
    </w:div>
    <w:div w:id="774903897">
      <w:bodyDiv w:val="1"/>
      <w:marLeft w:val="0"/>
      <w:marRight w:val="0"/>
      <w:marTop w:val="0"/>
      <w:marBottom w:val="0"/>
      <w:divBdr>
        <w:top w:val="none" w:sz="0" w:space="0" w:color="auto"/>
        <w:left w:val="none" w:sz="0" w:space="0" w:color="auto"/>
        <w:bottom w:val="none" w:sz="0" w:space="0" w:color="auto"/>
        <w:right w:val="none" w:sz="0" w:space="0" w:color="auto"/>
      </w:divBdr>
    </w:div>
    <w:div w:id="824054861">
      <w:bodyDiv w:val="1"/>
      <w:marLeft w:val="0"/>
      <w:marRight w:val="0"/>
      <w:marTop w:val="0"/>
      <w:marBottom w:val="0"/>
      <w:divBdr>
        <w:top w:val="none" w:sz="0" w:space="0" w:color="auto"/>
        <w:left w:val="none" w:sz="0" w:space="0" w:color="auto"/>
        <w:bottom w:val="none" w:sz="0" w:space="0" w:color="auto"/>
        <w:right w:val="none" w:sz="0" w:space="0" w:color="auto"/>
      </w:divBdr>
    </w:div>
    <w:div w:id="837111333">
      <w:bodyDiv w:val="1"/>
      <w:marLeft w:val="0"/>
      <w:marRight w:val="0"/>
      <w:marTop w:val="0"/>
      <w:marBottom w:val="0"/>
      <w:divBdr>
        <w:top w:val="none" w:sz="0" w:space="0" w:color="auto"/>
        <w:left w:val="none" w:sz="0" w:space="0" w:color="auto"/>
        <w:bottom w:val="none" w:sz="0" w:space="0" w:color="auto"/>
        <w:right w:val="none" w:sz="0" w:space="0" w:color="auto"/>
      </w:divBdr>
    </w:div>
    <w:div w:id="889069503">
      <w:bodyDiv w:val="1"/>
      <w:marLeft w:val="0"/>
      <w:marRight w:val="0"/>
      <w:marTop w:val="0"/>
      <w:marBottom w:val="0"/>
      <w:divBdr>
        <w:top w:val="none" w:sz="0" w:space="0" w:color="auto"/>
        <w:left w:val="none" w:sz="0" w:space="0" w:color="auto"/>
        <w:bottom w:val="none" w:sz="0" w:space="0" w:color="auto"/>
        <w:right w:val="none" w:sz="0" w:space="0" w:color="auto"/>
      </w:divBdr>
    </w:div>
    <w:div w:id="1008021674">
      <w:bodyDiv w:val="1"/>
      <w:marLeft w:val="0"/>
      <w:marRight w:val="0"/>
      <w:marTop w:val="0"/>
      <w:marBottom w:val="0"/>
      <w:divBdr>
        <w:top w:val="none" w:sz="0" w:space="0" w:color="auto"/>
        <w:left w:val="none" w:sz="0" w:space="0" w:color="auto"/>
        <w:bottom w:val="none" w:sz="0" w:space="0" w:color="auto"/>
        <w:right w:val="none" w:sz="0" w:space="0" w:color="auto"/>
      </w:divBdr>
    </w:div>
    <w:div w:id="1024332129">
      <w:bodyDiv w:val="1"/>
      <w:marLeft w:val="0"/>
      <w:marRight w:val="0"/>
      <w:marTop w:val="0"/>
      <w:marBottom w:val="0"/>
      <w:divBdr>
        <w:top w:val="none" w:sz="0" w:space="0" w:color="auto"/>
        <w:left w:val="none" w:sz="0" w:space="0" w:color="auto"/>
        <w:bottom w:val="none" w:sz="0" w:space="0" w:color="auto"/>
        <w:right w:val="none" w:sz="0" w:space="0" w:color="auto"/>
      </w:divBdr>
    </w:div>
    <w:div w:id="1065105355">
      <w:bodyDiv w:val="1"/>
      <w:marLeft w:val="0"/>
      <w:marRight w:val="0"/>
      <w:marTop w:val="0"/>
      <w:marBottom w:val="0"/>
      <w:divBdr>
        <w:top w:val="none" w:sz="0" w:space="0" w:color="auto"/>
        <w:left w:val="none" w:sz="0" w:space="0" w:color="auto"/>
        <w:bottom w:val="none" w:sz="0" w:space="0" w:color="auto"/>
        <w:right w:val="none" w:sz="0" w:space="0" w:color="auto"/>
      </w:divBdr>
    </w:div>
    <w:div w:id="1104810222">
      <w:bodyDiv w:val="1"/>
      <w:marLeft w:val="0"/>
      <w:marRight w:val="0"/>
      <w:marTop w:val="0"/>
      <w:marBottom w:val="0"/>
      <w:divBdr>
        <w:top w:val="none" w:sz="0" w:space="0" w:color="auto"/>
        <w:left w:val="none" w:sz="0" w:space="0" w:color="auto"/>
        <w:bottom w:val="none" w:sz="0" w:space="0" w:color="auto"/>
        <w:right w:val="none" w:sz="0" w:space="0" w:color="auto"/>
      </w:divBdr>
    </w:div>
    <w:div w:id="1179542234">
      <w:bodyDiv w:val="1"/>
      <w:marLeft w:val="0"/>
      <w:marRight w:val="0"/>
      <w:marTop w:val="0"/>
      <w:marBottom w:val="0"/>
      <w:divBdr>
        <w:top w:val="none" w:sz="0" w:space="0" w:color="auto"/>
        <w:left w:val="none" w:sz="0" w:space="0" w:color="auto"/>
        <w:bottom w:val="none" w:sz="0" w:space="0" w:color="auto"/>
        <w:right w:val="none" w:sz="0" w:space="0" w:color="auto"/>
      </w:divBdr>
    </w:div>
    <w:div w:id="1190029536">
      <w:bodyDiv w:val="1"/>
      <w:marLeft w:val="0"/>
      <w:marRight w:val="0"/>
      <w:marTop w:val="0"/>
      <w:marBottom w:val="0"/>
      <w:divBdr>
        <w:top w:val="none" w:sz="0" w:space="0" w:color="auto"/>
        <w:left w:val="none" w:sz="0" w:space="0" w:color="auto"/>
        <w:bottom w:val="none" w:sz="0" w:space="0" w:color="auto"/>
        <w:right w:val="none" w:sz="0" w:space="0" w:color="auto"/>
      </w:divBdr>
    </w:div>
    <w:div w:id="1231162155">
      <w:bodyDiv w:val="1"/>
      <w:marLeft w:val="0"/>
      <w:marRight w:val="0"/>
      <w:marTop w:val="0"/>
      <w:marBottom w:val="0"/>
      <w:divBdr>
        <w:top w:val="none" w:sz="0" w:space="0" w:color="auto"/>
        <w:left w:val="none" w:sz="0" w:space="0" w:color="auto"/>
        <w:bottom w:val="none" w:sz="0" w:space="0" w:color="auto"/>
        <w:right w:val="none" w:sz="0" w:space="0" w:color="auto"/>
      </w:divBdr>
    </w:div>
    <w:div w:id="1325818863">
      <w:bodyDiv w:val="1"/>
      <w:marLeft w:val="0"/>
      <w:marRight w:val="0"/>
      <w:marTop w:val="0"/>
      <w:marBottom w:val="0"/>
      <w:divBdr>
        <w:top w:val="none" w:sz="0" w:space="0" w:color="auto"/>
        <w:left w:val="none" w:sz="0" w:space="0" w:color="auto"/>
        <w:bottom w:val="none" w:sz="0" w:space="0" w:color="auto"/>
        <w:right w:val="none" w:sz="0" w:space="0" w:color="auto"/>
      </w:divBdr>
    </w:div>
    <w:div w:id="1331592549">
      <w:bodyDiv w:val="1"/>
      <w:marLeft w:val="0"/>
      <w:marRight w:val="0"/>
      <w:marTop w:val="0"/>
      <w:marBottom w:val="0"/>
      <w:divBdr>
        <w:top w:val="none" w:sz="0" w:space="0" w:color="auto"/>
        <w:left w:val="none" w:sz="0" w:space="0" w:color="auto"/>
        <w:bottom w:val="none" w:sz="0" w:space="0" w:color="auto"/>
        <w:right w:val="none" w:sz="0" w:space="0" w:color="auto"/>
      </w:divBdr>
    </w:div>
    <w:div w:id="1342201723">
      <w:bodyDiv w:val="1"/>
      <w:marLeft w:val="0"/>
      <w:marRight w:val="0"/>
      <w:marTop w:val="0"/>
      <w:marBottom w:val="0"/>
      <w:divBdr>
        <w:top w:val="none" w:sz="0" w:space="0" w:color="auto"/>
        <w:left w:val="none" w:sz="0" w:space="0" w:color="auto"/>
        <w:bottom w:val="none" w:sz="0" w:space="0" w:color="auto"/>
        <w:right w:val="none" w:sz="0" w:space="0" w:color="auto"/>
      </w:divBdr>
    </w:div>
    <w:div w:id="1345981416">
      <w:bodyDiv w:val="1"/>
      <w:marLeft w:val="0"/>
      <w:marRight w:val="0"/>
      <w:marTop w:val="0"/>
      <w:marBottom w:val="0"/>
      <w:divBdr>
        <w:top w:val="none" w:sz="0" w:space="0" w:color="auto"/>
        <w:left w:val="none" w:sz="0" w:space="0" w:color="auto"/>
        <w:bottom w:val="none" w:sz="0" w:space="0" w:color="auto"/>
        <w:right w:val="none" w:sz="0" w:space="0" w:color="auto"/>
      </w:divBdr>
    </w:div>
    <w:div w:id="1354109431">
      <w:bodyDiv w:val="1"/>
      <w:marLeft w:val="0"/>
      <w:marRight w:val="0"/>
      <w:marTop w:val="0"/>
      <w:marBottom w:val="0"/>
      <w:divBdr>
        <w:top w:val="none" w:sz="0" w:space="0" w:color="auto"/>
        <w:left w:val="none" w:sz="0" w:space="0" w:color="auto"/>
        <w:bottom w:val="none" w:sz="0" w:space="0" w:color="auto"/>
        <w:right w:val="none" w:sz="0" w:space="0" w:color="auto"/>
      </w:divBdr>
    </w:div>
    <w:div w:id="1372345142">
      <w:bodyDiv w:val="1"/>
      <w:marLeft w:val="0"/>
      <w:marRight w:val="0"/>
      <w:marTop w:val="0"/>
      <w:marBottom w:val="0"/>
      <w:divBdr>
        <w:top w:val="none" w:sz="0" w:space="0" w:color="auto"/>
        <w:left w:val="none" w:sz="0" w:space="0" w:color="auto"/>
        <w:bottom w:val="none" w:sz="0" w:space="0" w:color="auto"/>
        <w:right w:val="none" w:sz="0" w:space="0" w:color="auto"/>
      </w:divBdr>
    </w:div>
    <w:div w:id="1410226752">
      <w:bodyDiv w:val="1"/>
      <w:marLeft w:val="0"/>
      <w:marRight w:val="0"/>
      <w:marTop w:val="0"/>
      <w:marBottom w:val="0"/>
      <w:divBdr>
        <w:top w:val="none" w:sz="0" w:space="0" w:color="auto"/>
        <w:left w:val="none" w:sz="0" w:space="0" w:color="auto"/>
        <w:bottom w:val="none" w:sz="0" w:space="0" w:color="auto"/>
        <w:right w:val="none" w:sz="0" w:space="0" w:color="auto"/>
      </w:divBdr>
    </w:div>
    <w:div w:id="1538005148">
      <w:bodyDiv w:val="1"/>
      <w:marLeft w:val="0"/>
      <w:marRight w:val="0"/>
      <w:marTop w:val="0"/>
      <w:marBottom w:val="0"/>
      <w:divBdr>
        <w:top w:val="none" w:sz="0" w:space="0" w:color="auto"/>
        <w:left w:val="none" w:sz="0" w:space="0" w:color="auto"/>
        <w:bottom w:val="none" w:sz="0" w:space="0" w:color="auto"/>
        <w:right w:val="none" w:sz="0" w:space="0" w:color="auto"/>
      </w:divBdr>
    </w:div>
    <w:div w:id="1565525382">
      <w:bodyDiv w:val="1"/>
      <w:marLeft w:val="0"/>
      <w:marRight w:val="0"/>
      <w:marTop w:val="0"/>
      <w:marBottom w:val="0"/>
      <w:divBdr>
        <w:top w:val="none" w:sz="0" w:space="0" w:color="auto"/>
        <w:left w:val="none" w:sz="0" w:space="0" w:color="auto"/>
        <w:bottom w:val="none" w:sz="0" w:space="0" w:color="auto"/>
        <w:right w:val="none" w:sz="0" w:space="0" w:color="auto"/>
      </w:divBdr>
    </w:div>
    <w:div w:id="1622609434">
      <w:bodyDiv w:val="1"/>
      <w:marLeft w:val="0"/>
      <w:marRight w:val="0"/>
      <w:marTop w:val="0"/>
      <w:marBottom w:val="0"/>
      <w:divBdr>
        <w:top w:val="none" w:sz="0" w:space="0" w:color="auto"/>
        <w:left w:val="none" w:sz="0" w:space="0" w:color="auto"/>
        <w:bottom w:val="none" w:sz="0" w:space="0" w:color="auto"/>
        <w:right w:val="none" w:sz="0" w:space="0" w:color="auto"/>
      </w:divBdr>
    </w:div>
    <w:div w:id="1659728628">
      <w:bodyDiv w:val="1"/>
      <w:marLeft w:val="0"/>
      <w:marRight w:val="0"/>
      <w:marTop w:val="0"/>
      <w:marBottom w:val="0"/>
      <w:divBdr>
        <w:top w:val="none" w:sz="0" w:space="0" w:color="auto"/>
        <w:left w:val="none" w:sz="0" w:space="0" w:color="auto"/>
        <w:bottom w:val="none" w:sz="0" w:space="0" w:color="auto"/>
        <w:right w:val="none" w:sz="0" w:space="0" w:color="auto"/>
      </w:divBdr>
    </w:div>
    <w:div w:id="1682929643">
      <w:bodyDiv w:val="1"/>
      <w:marLeft w:val="0"/>
      <w:marRight w:val="0"/>
      <w:marTop w:val="0"/>
      <w:marBottom w:val="0"/>
      <w:divBdr>
        <w:top w:val="none" w:sz="0" w:space="0" w:color="auto"/>
        <w:left w:val="none" w:sz="0" w:space="0" w:color="auto"/>
        <w:bottom w:val="none" w:sz="0" w:space="0" w:color="auto"/>
        <w:right w:val="none" w:sz="0" w:space="0" w:color="auto"/>
      </w:divBdr>
    </w:div>
    <w:div w:id="1721779611">
      <w:bodyDiv w:val="1"/>
      <w:marLeft w:val="0"/>
      <w:marRight w:val="0"/>
      <w:marTop w:val="0"/>
      <w:marBottom w:val="0"/>
      <w:divBdr>
        <w:top w:val="none" w:sz="0" w:space="0" w:color="auto"/>
        <w:left w:val="none" w:sz="0" w:space="0" w:color="auto"/>
        <w:bottom w:val="none" w:sz="0" w:space="0" w:color="auto"/>
        <w:right w:val="none" w:sz="0" w:space="0" w:color="auto"/>
      </w:divBdr>
    </w:div>
    <w:div w:id="1741518366">
      <w:bodyDiv w:val="1"/>
      <w:marLeft w:val="0"/>
      <w:marRight w:val="0"/>
      <w:marTop w:val="0"/>
      <w:marBottom w:val="0"/>
      <w:divBdr>
        <w:top w:val="none" w:sz="0" w:space="0" w:color="auto"/>
        <w:left w:val="none" w:sz="0" w:space="0" w:color="auto"/>
        <w:bottom w:val="none" w:sz="0" w:space="0" w:color="auto"/>
        <w:right w:val="none" w:sz="0" w:space="0" w:color="auto"/>
      </w:divBdr>
    </w:div>
    <w:div w:id="1867711935">
      <w:bodyDiv w:val="1"/>
      <w:marLeft w:val="0"/>
      <w:marRight w:val="0"/>
      <w:marTop w:val="0"/>
      <w:marBottom w:val="0"/>
      <w:divBdr>
        <w:top w:val="none" w:sz="0" w:space="0" w:color="auto"/>
        <w:left w:val="none" w:sz="0" w:space="0" w:color="auto"/>
        <w:bottom w:val="none" w:sz="0" w:space="0" w:color="auto"/>
        <w:right w:val="none" w:sz="0" w:space="0" w:color="auto"/>
      </w:divBdr>
    </w:div>
    <w:div w:id="1888374777">
      <w:bodyDiv w:val="1"/>
      <w:marLeft w:val="0"/>
      <w:marRight w:val="0"/>
      <w:marTop w:val="0"/>
      <w:marBottom w:val="0"/>
      <w:divBdr>
        <w:top w:val="none" w:sz="0" w:space="0" w:color="auto"/>
        <w:left w:val="none" w:sz="0" w:space="0" w:color="auto"/>
        <w:bottom w:val="none" w:sz="0" w:space="0" w:color="auto"/>
        <w:right w:val="none" w:sz="0" w:space="0" w:color="auto"/>
      </w:divBdr>
    </w:div>
    <w:div w:id="1914316164">
      <w:bodyDiv w:val="1"/>
      <w:marLeft w:val="0"/>
      <w:marRight w:val="0"/>
      <w:marTop w:val="0"/>
      <w:marBottom w:val="0"/>
      <w:divBdr>
        <w:top w:val="none" w:sz="0" w:space="0" w:color="auto"/>
        <w:left w:val="none" w:sz="0" w:space="0" w:color="auto"/>
        <w:bottom w:val="none" w:sz="0" w:space="0" w:color="auto"/>
        <w:right w:val="none" w:sz="0" w:space="0" w:color="auto"/>
      </w:divBdr>
    </w:div>
    <w:div w:id="1929995712">
      <w:bodyDiv w:val="1"/>
      <w:marLeft w:val="0"/>
      <w:marRight w:val="0"/>
      <w:marTop w:val="0"/>
      <w:marBottom w:val="0"/>
      <w:divBdr>
        <w:top w:val="none" w:sz="0" w:space="0" w:color="auto"/>
        <w:left w:val="none" w:sz="0" w:space="0" w:color="auto"/>
        <w:bottom w:val="none" w:sz="0" w:space="0" w:color="auto"/>
        <w:right w:val="none" w:sz="0" w:space="0" w:color="auto"/>
      </w:divBdr>
    </w:div>
    <w:div w:id="1941063620">
      <w:bodyDiv w:val="1"/>
      <w:marLeft w:val="0"/>
      <w:marRight w:val="0"/>
      <w:marTop w:val="0"/>
      <w:marBottom w:val="0"/>
      <w:divBdr>
        <w:top w:val="none" w:sz="0" w:space="0" w:color="auto"/>
        <w:left w:val="none" w:sz="0" w:space="0" w:color="auto"/>
        <w:bottom w:val="none" w:sz="0" w:space="0" w:color="auto"/>
        <w:right w:val="none" w:sz="0" w:space="0" w:color="auto"/>
      </w:divBdr>
    </w:div>
    <w:div w:id="2045985606">
      <w:bodyDiv w:val="1"/>
      <w:marLeft w:val="0"/>
      <w:marRight w:val="0"/>
      <w:marTop w:val="0"/>
      <w:marBottom w:val="0"/>
      <w:divBdr>
        <w:top w:val="none" w:sz="0" w:space="0" w:color="auto"/>
        <w:left w:val="none" w:sz="0" w:space="0" w:color="auto"/>
        <w:bottom w:val="none" w:sz="0" w:space="0" w:color="auto"/>
        <w:right w:val="none" w:sz="0" w:space="0" w:color="auto"/>
      </w:divBdr>
    </w:div>
    <w:div w:id="2046366012">
      <w:bodyDiv w:val="1"/>
      <w:marLeft w:val="0"/>
      <w:marRight w:val="0"/>
      <w:marTop w:val="0"/>
      <w:marBottom w:val="0"/>
      <w:divBdr>
        <w:top w:val="none" w:sz="0" w:space="0" w:color="auto"/>
        <w:left w:val="none" w:sz="0" w:space="0" w:color="auto"/>
        <w:bottom w:val="none" w:sz="0" w:space="0" w:color="auto"/>
        <w:right w:val="none" w:sz="0" w:space="0" w:color="auto"/>
      </w:divBdr>
    </w:div>
    <w:div w:id="208086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image" Target="media/image4.emf"/><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1325E-ADF1-4C8B-9D5E-6857FC34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5</TotalTime>
  <Pages>24</Pages>
  <Words>7559</Words>
  <Characters>31374</Characters>
  <Application>Microsoft Office Word</Application>
  <DocSecurity>0</DocSecurity>
  <Lines>2614</Lines>
  <Paragraphs>2433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36500</CharactersWithSpaces>
  <SharedDoc>false</SharedDoc>
  <HLinks>
    <vt:vector size="138" baseType="variant">
      <vt:variant>
        <vt:i4>1376313</vt:i4>
      </vt:variant>
      <vt:variant>
        <vt:i4>134</vt:i4>
      </vt:variant>
      <vt:variant>
        <vt:i4>0</vt:i4>
      </vt:variant>
      <vt:variant>
        <vt:i4>5</vt:i4>
      </vt:variant>
      <vt:variant>
        <vt:lpwstr/>
      </vt:variant>
      <vt:variant>
        <vt:lpwstr>_Toc485997148</vt:lpwstr>
      </vt:variant>
      <vt:variant>
        <vt:i4>1376313</vt:i4>
      </vt:variant>
      <vt:variant>
        <vt:i4>128</vt:i4>
      </vt:variant>
      <vt:variant>
        <vt:i4>0</vt:i4>
      </vt:variant>
      <vt:variant>
        <vt:i4>5</vt:i4>
      </vt:variant>
      <vt:variant>
        <vt:lpwstr/>
      </vt:variant>
      <vt:variant>
        <vt:lpwstr>_Toc485997147</vt:lpwstr>
      </vt:variant>
      <vt:variant>
        <vt:i4>1376313</vt:i4>
      </vt:variant>
      <vt:variant>
        <vt:i4>122</vt:i4>
      </vt:variant>
      <vt:variant>
        <vt:i4>0</vt:i4>
      </vt:variant>
      <vt:variant>
        <vt:i4>5</vt:i4>
      </vt:variant>
      <vt:variant>
        <vt:lpwstr/>
      </vt:variant>
      <vt:variant>
        <vt:lpwstr>_Toc485997146</vt:lpwstr>
      </vt:variant>
      <vt:variant>
        <vt:i4>1376313</vt:i4>
      </vt:variant>
      <vt:variant>
        <vt:i4>116</vt:i4>
      </vt:variant>
      <vt:variant>
        <vt:i4>0</vt:i4>
      </vt:variant>
      <vt:variant>
        <vt:i4>5</vt:i4>
      </vt:variant>
      <vt:variant>
        <vt:lpwstr/>
      </vt:variant>
      <vt:variant>
        <vt:lpwstr>_Toc485997145</vt:lpwstr>
      </vt:variant>
      <vt:variant>
        <vt:i4>1376313</vt:i4>
      </vt:variant>
      <vt:variant>
        <vt:i4>110</vt:i4>
      </vt:variant>
      <vt:variant>
        <vt:i4>0</vt:i4>
      </vt:variant>
      <vt:variant>
        <vt:i4>5</vt:i4>
      </vt:variant>
      <vt:variant>
        <vt:lpwstr/>
      </vt:variant>
      <vt:variant>
        <vt:lpwstr>_Toc485997144</vt:lpwstr>
      </vt:variant>
      <vt:variant>
        <vt:i4>1376313</vt:i4>
      </vt:variant>
      <vt:variant>
        <vt:i4>104</vt:i4>
      </vt:variant>
      <vt:variant>
        <vt:i4>0</vt:i4>
      </vt:variant>
      <vt:variant>
        <vt:i4>5</vt:i4>
      </vt:variant>
      <vt:variant>
        <vt:lpwstr/>
      </vt:variant>
      <vt:variant>
        <vt:lpwstr>_Toc485997143</vt:lpwstr>
      </vt:variant>
      <vt:variant>
        <vt:i4>1376313</vt:i4>
      </vt:variant>
      <vt:variant>
        <vt:i4>98</vt:i4>
      </vt:variant>
      <vt:variant>
        <vt:i4>0</vt:i4>
      </vt:variant>
      <vt:variant>
        <vt:i4>5</vt:i4>
      </vt:variant>
      <vt:variant>
        <vt:lpwstr/>
      </vt:variant>
      <vt:variant>
        <vt:lpwstr>_Toc485997142</vt:lpwstr>
      </vt:variant>
      <vt:variant>
        <vt:i4>1376313</vt:i4>
      </vt:variant>
      <vt:variant>
        <vt:i4>92</vt:i4>
      </vt:variant>
      <vt:variant>
        <vt:i4>0</vt:i4>
      </vt:variant>
      <vt:variant>
        <vt:i4>5</vt:i4>
      </vt:variant>
      <vt:variant>
        <vt:lpwstr/>
      </vt:variant>
      <vt:variant>
        <vt:lpwstr>_Toc485997141</vt:lpwstr>
      </vt:variant>
      <vt:variant>
        <vt:i4>1376313</vt:i4>
      </vt:variant>
      <vt:variant>
        <vt:i4>86</vt:i4>
      </vt:variant>
      <vt:variant>
        <vt:i4>0</vt:i4>
      </vt:variant>
      <vt:variant>
        <vt:i4>5</vt:i4>
      </vt:variant>
      <vt:variant>
        <vt:lpwstr/>
      </vt:variant>
      <vt:variant>
        <vt:lpwstr>_Toc485997140</vt:lpwstr>
      </vt:variant>
      <vt:variant>
        <vt:i4>1179705</vt:i4>
      </vt:variant>
      <vt:variant>
        <vt:i4>80</vt:i4>
      </vt:variant>
      <vt:variant>
        <vt:i4>0</vt:i4>
      </vt:variant>
      <vt:variant>
        <vt:i4>5</vt:i4>
      </vt:variant>
      <vt:variant>
        <vt:lpwstr/>
      </vt:variant>
      <vt:variant>
        <vt:lpwstr>_Toc485997139</vt:lpwstr>
      </vt:variant>
      <vt:variant>
        <vt:i4>1179705</vt:i4>
      </vt:variant>
      <vt:variant>
        <vt:i4>74</vt:i4>
      </vt:variant>
      <vt:variant>
        <vt:i4>0</vt:i4>
      </vt:variant>
      <vt:variant>
        <vt:i4>5</vt:i4>
      </vt:variant>
      <vt:variant>
        <vt:lpwstr/>
      </vt:variant>
      <vt:variant>
        <vt:lpwstr>_Toc485997138</vt:lpwstr>
      </vt:variant>
      <vt:variant>
        <vt:i4>1179705</vt:i4>
      </vt:variant>
      <vt:variant>
        <vt:i4>68</vt:i4>
      </vt:variant>
      <vt:variant>
        <vt:i4>0</vt:i4>
      </vt:variant>
      <vt:variant>
        <vt:i4>5</vt:i4>
      </vt:variant>
      <vt:variant>
        <vt:lpwstr/>
      </vt:variant>
      <vt:variant>
        <vt:lpwstr>_Toc485997137</vt:lpwstr>
      </vt:variant>
      <vt:variant>
        <vt:i4>1179705</vt:i4>
      </vt:variant>
      <vt:variant>
        <vt:i4>62</vt:i4>
      </vt:variant>
      <vt:variant>
        <vt:i4>0</vt:i4>
      </vt:variant>
      <vt:variant>
        <vt:i4>5</vt:i4>
      </vt:variant>
      <vt:variant>
        <vt:lpwstr/>
      </vt:variant>
      <vt:variant>
        <vt:lpwstr>_Toc485997136</vt:lpwstr>
      </vt:variant>
      <vt:variant>
        <vt:i4>1179705</vt:i4>
      </vt:variant>
      <vt:variant>
        <vt:i4>56</vt:i4>
      </vt:variant>
      <vt:variant>
        <vt:i4>0</vt:i4>
      </vt:variant>
      <vt:variant>
        <vt:i4>5</vt:i4>
      </vt:variant>
      <vt:variant>
        <vt:lpwstr/>
      </vt:variant>
      <vt:variant>
        <vt:lpwstr>_Toc485997135</vt:lpwstr>
      </vt:variant>
      <vt:variant>
        <vt:i4>1179705</vt:i4>
      </vt:variant>
      <vt:variant>
        <vt:i4>50</vt:i4>
      </vt:variant>
      <vt:variant>
        <vt:i4>0</vt:i4>
      </vt:variant>
      <vt:variant>
        <vt:i4>5</vt:i4>
      </vt:variant>
      <vt:variant>
        <vt:lpwstr/>
      </vt:variant>
      <vt:variant>
        <vt:lpwstr>_Toc485997134</vt:lpwstr>
      </vt:variant>
      <vt:variant>
        <vt:i4>1179705</vt:i4>
      </vt:variant>
      <vt:variant>
        <vt:i4>44</vt:i4>
      </vt:variant>
      <vt:variant>
        <vt:i4>0</vt:i4>
      </vt:variant>
      <vt:variant>
        <vt:i4>5</vt:i4>
      </vt:variant>
      <vt:variant>
        <vt:lpwstr/>
      </vt:variant>
      <vt:variant>
        <vt:lpwstr>_Toc485997133</vt:lpwstr>
      </vt:variant>
      <vt:variant>
        <vt:i4>1179705</vt:i4>
      </vt:variant>
      <vt:variant>
        <vt:i4>38</vt:i4>
      </vt:variant>
      <vt:variant>
        <vt:i4>0</vt:i4>
      </vt:variant>
      <vt:variant>
        <vt:i4>5</vt:i4>
      </vt:variant>
      <vt:variant>
        <vt:lpwstr/>
      </vt:variant>
      <vt:variant>
        <vt:lpwstr>_Toc485997132</vt:lpwstr>
      </vt:variant>
      <vt:variant>
        <vt:i4>1179705</vt:i4>
      </vt:variant>
      <vt:variant>
        <vt:i4>32</vt:i4>
      </vt:variant>
      <vt:variant>
        <vt:i4>0</vt:i4>
      </vt:variant>
      <vt:variant>
        <vt:i4>5</vt:i4>
      </vt:variant>
      <vt:variant>
        <vt:lpwstr/>
      </vt:variant>
      <vt:variant>
        <vt:lpwstr>_Toc485997131</vt:lpwstr>
      </vt:variant>
      <vt:variant>
        <vt:i4>1179705</vt:i4>
      </vt:variant>
      <vt:variant>
        <vt:i4>26</vt:i4>
      </vt:variant>
      <vt:variant>
        <vt:i4>0</vt:i4>
      </vt:variant>
      <vt:variant>
        <vt:i4>5</vt:i4>
      </vt:variant>
      <vt:variant>
        <vt:lpwstr/>
      </vt:variant>
      <vt:variant>
        <vt:lpwstr>_Toc485997130</vt:lpwstr>
      </vt:variant>
      <vt:variant>
        <vt:i4>1245241</vt:i4>
      </vt:variant>
      <vt:variant>
        <vt:i4>20</vt:i4>
      </vt:variant>
      <vt:variant>
        <vt:i4>0</vt:i4>
      </vt:variant>
      <vt:variant>
        <vt:i4>5</vt:i4>
      </vt:variant>
      <vt:variant>
        <vt:lpwstr/>
      </vt:variant>
      <vt:variant>
        <vt:lpwstr>_Toc485997129</vt:lpwstr>
      </vt:variant>
      <vt:variant>
        <vt:i4>1245241</vt:i4>
      </vt:variant>
      <vt:variant>
        <vt:i4>14</vt:i4>
      </vt:variant>
      <vt:variant>
        <vt:i4>0</vt:i4>
      </vt:variant>
      <vt:variant>
        <vt:i4>5</vt:i4>
      </vt:variant>
      <vt:variant>
        <vt:lpwstr/>
      </vt:variant>
      <vt:variant>
        <vt:lpwstr>_Toc485997128</vt:lpwstr>
      </vt:variant>
      <vt:variant>
        <vt:i4>1245241</vt:i4>
      </vt:variant>
      <vt:variant>
        <vt:i4>8</vt:i4>
      </vt:variant>
      <vt:variant>
        <vt:i4>0</vt:i4>
      </vt:variant>
      <vt:variant>
        <vt:i4>5</vt:i4>
      </vt:variant>
      <vt:variant>
        <vt:lpwstr/>
      </vt:variant>
      <vt:variant>
        <vt:lpwstr>_Toc485997127</vt:lpwstr>
      </vt:variant>
      <vt:variant>
        <vt:i4>1245241</vt:i4>
      </vt:variant>
      <vt:variant>
        <vt:i4>2</vt:i4>
      </vt:variant>
      <vt:variant>
        <vt:i4>0</vt:i4>
      </vt:variant>
      <vt:variant>
        <vt:i4>5</vt:i4>
      </vt:variant>
      <vt:variant>
        <vt:lpwstr/>
      </vt:variant>
      <vt:variant>
        <vt:lpwstr>_Toc485997126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2017-07-14T10:05:00Z</cp:lastPrinted>
  <dcterms:created xsi:type="dcterms:W3CDTF">2017-09-11T15:20:00Z</dcterms:created>
  <dcterms:modified xsi:type="dcterms:W3CDTF">2017-09-19T05:32:00Z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REP.DOT</vt:lpwstr>
  </property>
  <property fmtid="{D5CDD505-2E9C-101B-9397-08002B2CF9AE}" pid="6" name="Created using">
    <vt:lpwstr>3.0</vt:lpwstr>
  </property>
  <property fmtid="{D5CDD505-2E9C-101B-9397-08002B2CF9AE}" pid="7" name="Last edited using">
    <vt:lpwstr>EL </vt:lpwstr>
  </property>
  <property fmtid="{D5CDD505-2E9C-101B-9397-08002B2CF9AE}" pid="8" name="DocStatus">
    <vt:lpwstr>Green</vt:lpwstr>
  </property>
</Properties>
</file>