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alt="1F81793313304B2FB53830810DED37A3" style="width:450.75pt;height:361.5pt">
            <v:imagedata r:id="rId9" o:title=""/>
          </v:shape>
        </w:pict>
      </w:r>
    </w:p>
    <w:bookmarkEnd w:id="0"/>
    <w:p>
      <w:pPr>
        <w:rPr>
          <w:noProof/>
          <w:lang w:val="fr-BE"/>
        </w:rPr>
        <w:sectPr>
          <w:headerReference w:type="even" r:id="rId10"/>
          <w:headerReference w:type="default" r:id="rId11"/>
          <w:footerReference w:type="even" r:id="rId12"/>
          <w:footerReference w:type="default" r:id="rId13"/>
          <w:headerReference w:type="first" r:id="rId14"/>
          <w:footerReference w:type="first" r:id="rId15"/>
          <w:pgSz w:w="11907" w:h="16839" w:code="9"/>
          <w:pgMar w:top="1134" w:right="1417" w:bottom="1134" w:left="1417" w:header="709" w:footer="709" w:gutter="0"/>
          <w:pgNumType w:start="1"/>
          <w:cols w:space="720"/>
          <w:docGrid w:linePitch="360"/>
        </w:sectPr>
      </w:pPr>
    </w:p>
    <w:p>
      <w:pPr>
        <w:rPr>
          <w:noProof/>
          <w:lang w:val="fr-BE"/>
        </w:rPr>
      </w:pPr>
      <w:bookmarkStart w:id="1" w:name="_GoBack"/>
      <w:bookmarkEnd w:id="1"/>
    </w:p>
    <w:p>
      <w:pPr>
        <w:pStyle w:val="TOCHeading"/>
        <w:rPr>
          <w:noProof/>
        </w:rPr>
      </w:pPr>
      <w:r>
        <w:rPr>
          <w:noProof/>
        </w:rPr>
        <w:t>Table of contents</w:t>
      </w:r>
    </w:p>
    <w:p>
      <w:pPr>
        <w:pStyle w:val="TOC1"/>
        <w:rPr>
          <w:rFonts w:ascii="Calibri" w:hAnsi="Calibri"/>
          <w:noProof/>
          <w:sz w:val="22"/>
        </w:rPr>
      </w:pPr>
      <w:r>
        <w:rPr>
          <w:noProof/>
        </w:rPr>
        <w:fldChar w:fldCharType="begin"/>
      </w:r>
      <w:r>
        <w:rPr>
          <w:noProof/>
        </w:rPr>
        <w:instrText xml:space="preserve"> TOC \o "1-3" \h \z \u </w:instrText>
      </w:r>
      <w:r>
        <w:rPr>
          <w:noProof/>
        </w:rPr>
        <w:fldChar w:fldCharType="separate"/>
      </w:r>
      <w:hyperlink w:anchor="_Toc485997126" w:history="1">
        <w:r>
          <w:rPr>
            <w:rStyle w:val="Hyperlink"/>
            <w:b/>
            <w:smallCaps/>
            <w:noProof/>
          </w:rPr>
          <w:t>1.</w:t>
        </w:r>
        <w:r>
          <w:rPr>
            <w:rFonts w:ascii="Calibri" w:hAnsi="Calibri"/>
            <w:noProof/>
            <w:sz w:val="22"/>
          </w:rPr>
          <w:tab/>
        </w:r>
        <w:r>
          <w:rPr>
            <w:rStyle w:val="Hyperlink"/>
            <w:b/>
            <w:smallCaps/>
            <w:noProof/>
          </w:rPr>
          <w:t>Budget procedure</w:t>
        </w:r>
        <w:r>
          <w:rPr>
            <w:noProof/>
            <w:webHidden/>
          </w:rPr>
          <w:tab/>
        </w:r>
        <w:r>
          <w:rPr>
            <w:noProof/>
            <w:webHidden/>
          </w:rPr>
          <w:fldChar w:fldCharType="begin"/>
        </w:r>
        <w:r>
          <w:rPr>
            <w:noProof/>
            <w:webHidden/>
          </w:rPr>
          <w:instrText xml:space="preserve"> PAGEREF _Toc485997126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Calibri" w:hAnsi="Calibri"/>
          <w:noProof/>
          <w:sz w:val="22"/>
        </w:rPr>
      </w:pPr>
      <w:hyperlink w:anchor="_Toc485997127" w:history="1">
        <w:r>
          <w:rPr>
            <w:rStyle w:val="Hyperlink"/>
            <w:b/>
            <w:noProof/>
          </w:rPr>
          <w:t>1.1.</w:t>
        </w:r>
        <w:r>
          <w:rPr>
            <w:rFonts w:ascii="Calibri" w:hAnsi="Calibri"/>
            <w:noProof/>
            <w:sz w:val="22"/>
          </w:rPr>
          <w:tab/>
        </w:r>
        <w:r>
          <w:rPr>
            <w:rStyle w:val="Hyperlink"/>
            <w:b/>
            <w:noProof/>
          </w:rPr>
          <w:t>Financial framework</w:t>
        </w:r>
        <w:r>
          <w:rPr>
            <w:noProof/>
            <w:webHidden/>
          </w:rPr>
          <w:tab/>
        </w:r>
        <w:r>
          <w:rPr>
            <w:noProof/>
            <w:webHidden/>
          </w:rPr>
          <w:fldChar w:fldCharType="begin"/>
        </w:r>
        <w:r>
          <w:rPr>
            <w:noProof/>
            <w:webHidden/>
          </w:rPr>
          <w:instrText xml:space="preserve"> PAGEREF _Toc485997127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Calibri" w:hAnsi="Calibri"/>
          <w:noProof/>
          <w:sz w:val="22"/>
        </w:rPr>
      </w:pPr>
      <w:hyperlink w:anchor="_Toc485997128" w:history="1">
        <w:r>
          <w:rPr>
            <w:rStyle w:val="Hyperlink"/>
            <w:b/>
            <w:noProof/>
          </w:rPr>
          <w:t>1.2.</w:t>
        </w:r>
        <w:r>
          <w:rPr>
            <w:rFonts w:ascii="Calibri" w:hAnsi="Calibri"/>
            <w:noProof/>
            <w:sz w:val="22"/>
          </w:rPr>
          <w:tab/>
        </w:r>
        <w:r>
          <w:rPr>
            <w:rStyle w:val="Hyperlink"/>
            <w:b/>
            <w:noProof/>
          </w:rPr>
          <w:t>Draft Budget (DB) 2016</w:t>
        </w:r>
        <w:r>
          <w:rPr>
            <w:noProof/>
            <w:webHidden/>
          </w:rPr>
          <w:tab/>
        </w:r>
        <w:r>
          <w:rPr>
            <w:noProof/>
            <w:webHidden/>
          </w:rPr>
          <w:fldChar w:fldCharType="begin"/>
        </w:r>
        <w:r>
          <w:rPr>
            <w:noProof/>
            <w:webHidden/>
          </w:rPr>
          <w:instrText xml:space="preserve"> PAGEREF _Toc485997128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Calibri" w:hAnsi="Calibri"/>
          <w:noProof/>
          <w:sz w:val="22"/>
        </w:rPr>
      </w:pPr>
      <w:hyperlink w:anchor="_Toc485997129" w:history="1">
        <w:r>
          <w:rPr>
            <w:rStyle w:val="Hyperlink"/>
            <w:b/>
            <w:noProof/>
          </w:rPr>
          <w:t>1.3.</w:t>
        </w:r>
        <w:r>
          <w:rPr>
            <w:rFonts w:ascii="Calibri" w:hAnsi="Calibri"/>
            <w:noProof/>
            <w:sz w:val="22"/>
          </w:rPr>
          <w:tab/>
        </w:r>
        <w:r>
          <w:rPr>
            <w:rStyle w:val="Hyperlink"/>
            <w:b/>
            <w:noProof/>
          </w:rPr>
          <w:t>The adoption of the 2016 Budget</w:t>
        </w:r>
        <w:r>
          <w:rPr>
            <w:noProof/>
            <w:webHidden/>
          </w:rPr>
          <w:tab/>
        </w:r>
        <w:r>
          <w:rPr>
            <w:noProof/>
            <w:webHidden/>
          </w:rPr>
          <w:fldChar w:fldCharType="begin"/>
        </w:r>
        <w:r>
          <w:rPr>
            <w:noProof/>
            <w:webHidden/>
          </w:rPr>
          <w:instrText xml:space="preserve"> PAGEREF _Toc485997129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Calibri" w:hAnsi="Calibri"/>
          <w:noProof/>
          <w:sz w:val="22"/>
        </w:rPr>
      </w:pPr>
      <w:hyperlink w:anchor="_Toc485997130" w:history="1">
        <w:r>
          <w:rPr>
            <w:rStyle w:val="Hyperlink"/>
            <w:b/>
            <w:noProof/>
          </w:rPr>
          <w:t>1.4.</w:t>
        </w:r>
        <w:r>
          <w:rPr>
            <w:rFonts w:ascii="Calibri" w:hAnsi="Calibri"/>
            <w:noProof/>
            <w:sz w:val="22"/>
          </w:rPr>
          <w:tab/>
        </w:r>
        <w:r>
          <w:rPr>
            <w:rStyle w:val="Hyperlink"/>
            <w:b/>
            <w:noProof/>
          </w:rPr>
          <w:t>The adoption of the Amending Budgets</w:t>
        </w:r>
        <w:r>
          <w:rPr>
            <w:noProof/>
            <w:webHidden/>
          </w:rPr>
          <w:tab/>
        </w:r>
        <w:r>
          <w:rPr>
            <w:noProof/>
            <w:webHidden/>
          </w:rPr>
          <w:fldChar w:fldCharType="begin"/>
        </w:r>
        <w:r>
          <w:rPr>
            <w:noProof/>
            <w:webHidden/>
          </w:rPr>
          <w:instrText xml:space="preserve"> PAGEREF _Toc485997130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Calibri" w:hAnsi="Calibri"/>
          <w:noProof/>
          <w:sz w:val="22"/>
        </w:rPr>
      </w:pPr>
      <w:hyperlink w:anchor="_Toc485997131" w:history="1">
        <w:r>
          <w:rPr>
            <w:rStyle w:val="Hyperlink"/>
            <w:b/>
            <w:smallCaps/>
            <w:noProof/>
          </w:rPr>
          <w:t>2.</w:t>
        </w:r>
        <w:r>
          <w:rPr>
            <w:rFonts w:ascii="Calibri" w:hAnsi="Calibri"/>
            <w:noProof/>
            <w:sz w:val="22"/>
          </w:rPr>
          <w:tab/>
        </w:r>
        <w:r>
          <w:rPr>
            <w:rStyle w:val="Hyperlink"/>
            <w:b/>
            <w:smallCaps/>
            <w:noProof/>
          </w:rPr>
          <w:t>Management of appropriations</w:t>
        </w:r>
        <w:r>
          <w:rPr>
            <w:noProof/>
            <w:webHidden/>
          </w:rPr>
          <w:tab/>
        </w:r>
        <w:r>
          <w:rPr>
            <w:noProof/>
            <w:webHidden/>
          </w:rPr>
          <w:fldChar w:fldCharType="begin"/>
        </w:r>
        <w:r>
          <w:rPr>
            <w:noProof/>
            <w:webHidden/>
          </w:rPr>
          <w:instrText xml:space="preserve"> PAGEREF _Toc485997131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Calibri" w:hAnsi="Calibri"/>
          <w:noProof/>
          <w:sz w:val="22"/>
        </w:rPr>
      </w:pPr>
      <w:hyperlink w:anchor="_Toc485997132" w:history="1">
        <w:r>
          <w:rPr>
            <w:rStyle w:val="Hyperlink"/>
            <w:b/>
            <w:noProof/>
          </w:rPr>
          <w:t>2.1.</w:t>
        </w:r>
        <w:r>
          <w:rPr>
            <w:rFonts w:ascii="Calibri" w:hAnsi="Calibri"/>
            <w:noProof/>
            <w:sz w:val="22"/>
          </w:rPr>
          <w:tab/>
        </w:r>
        <w:r>
          <w:rPr>
            <w:rStyle w:val="Hyperlink"/>
            <w:b/>
            <w:noProof/>
          </w:rPr>
          <w:t>Management of commitment appropriations</w:t>
        </w:r>
        <w:r>
          <w:rPr>
            <w:noProof/>
            <w:webHidden/>
          </w:rPr>
          <w:tab/>
        </w:r>
        <w:r>
          <w:rPr>
            <w:noProof/>
            <w:webHidden/>
          </w:rPr>
          <w:fldChar w:fldCharType="begin"/>
        </w:r>
        <w:r>
          <w:rPr>
            <w:noProof/>
            <w:webHidden/>
          </w:rPr>
          <w:instrText xml:space="preserve"> PAGEREF _Toc485997132 \h </w:instrText>
        </w:r>
        <w:r>
          <w:rPr>
            <w:noProof/>
            <w:webHidden/>
          </w:rPr>
        </w:r>
        <w:r>
          <w:rPr>
            <w:noProof/>
            <w:webHidden/>
          </w:rPr>
          <w:fldChar w:fldCharType="separate"/>
        </w:r>
        <w:r>
          <w:rPr>
            <w:noProof/>
            <w:webHidden/>
          </w:rPr>
          <w:t>5</w:t>
        </w:r>
        <w:r>
          <w:rPr>
            <w:noProof/>
            <w:webHidden/>
          </w:rPr>
          <w:fldChar w:fldCharType="end"/>
        </w:r>
      </w:hyperlink>
    </w:p>
    <w:p>
      <w:pPr>
        <w:pStyle w:val="TOC3"/>
        <w:rPr>
          <w:rFonts w:ascii="Calibri" w:hAnsi="Calibri"/>
          <w:noProof/>
          <w:sz w:val="22"/>
        </w:rPr>
      </w:pPr>
      <w:hyperlink w:anchor="_Toc485997133" w:history="1">
        <w:r>
          <w:rPr>
            <w:rStyle w:val="Hyperlink"/>
            <w:i/>
            <w:noProof/>
          </w:rPr>
          <w:t>2.1.1.</w:t>
        </w:r>
        <w:r>
          <w:rPr>
            <w:rFonts w:ascii="Calibri" w:hAnsi="Calibri"/>
            <w:noProof/>
            <w:sz w:val="22"/>
          </w:rPr>
          <w:tab/>
        </w:r>
        <w:r>
          <w:rPr>
            <w:rStyle w:val="Hyperlink"/>
            <w:i/>
            <w:noProof/>
          </w:rPr>
          <w:t>EAFRD rural development programmes</w:t>
        </w:r>
        <w:r>
          <w:rPr>
            <w:noProof/>
            <w:webHidden/>
          </w:rPr>
          <w:tab/>
        </w:r>
        <w:r>
          <w:rPr>
            <w:noProof/>
            <w:webHidden/>
          </w:rPr>
          <w:fldChar w:fldCharType="begin"/>
        </w:r>
        <w:r>
          <w:rPr>
            <w:noProof/>
            <w:webHidden/>
          </w:rPr>
          <w:instrText xml:space="preserve"> PAGEREF _Toc485997133 \h </w:instrText>
        </w:r>
        <w:r>
          <w:rPr>
            <w:noProof/>
            <w:webHidden/>
          </w:rPr>
        </w:r>
        <w:r>
          <w:rPr>
            <w:noProof/>
            <w:webHidden/>
          </w:rPr>
          <w:fldChar w:fldCharType="separate"/>
        </w:r>
        <w:r>
          <w:rPr>
            <w:noProof/>
            <w:webHidden/>
          </w:rPr>
          <w:t>5</w:t>
        </w:r>
        <w:r>
          <w:rPr>
            <w:noProof/>
            <w:webHidden/>
          </w:rPr>
          <w:fldChar w:fldCharType="end"/>
        </w:r>
      </w:hyperlink>
    </w:p>
    <w:p>
      <w:pPr>
        <w:pStyle w:val="TOC3"/>
        <w:rPr>
          <w:rFonts w:ascii="Calibri" w:hAnsi="Calibri"/>
          <w:noProof/>
          <w:sz w:val="22"/>
        </w:rPr>
      </w:pPr>
      <w:hyperlink w:anchor="_Toc485997134" w:history="1">
        <w:r>
          <w:rPr>
            <w:rStyle w:val="Hyperlink"/>
            <w:i/>
            <w:noProof/>
          </w:rPr>
          <w:t>2.1.2.</w:t>
        </w:r>
        <w:r>
          <w:rPr>
            <w:rFonts w:ascii="Calibri" w:hAnsi="Calibri"/>
            <w:noProof/>
            <w:sz w:val="22"/>
          </w:rPr>
          <w:tab/>
        </w:r>
        <w:r>
          <w:rPr>
            <w:rStyle w:val="Hyperlink"/>
            <w:i/>
            <w:noProof/>
          </w:rPr>
          <w:t>Technical assistance</w:t>
        </w:r>
        <w:r>
          <w:rPr>
            <w:noProof/>
            <w:webHidden/>
          </w:rPr>
          <w:tab/>
        </w:r>
        <w:r>
          <w:rPr>
            <w:noProof/>
            <w:webHidden/>
          </w:rPr>
          <w:fldChar w:fldCharType="begin"/>
        </w:r>
        <w:r>
          <w:rPr>
            <w:noProof/>
            <w:webHidden/>
          </w:rPr>
          <w:instrText xml:space="preserve"> PAGEREF _Toc485997134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Calibri" w:hAnsi="Calibri"/>
          <w:noProof/>
          <w:sz w:val="22"/>
        </w:rPr>
      </w:pPr>
      <w:hyperlink w:anchor="_Toc485997135" w:history="1">
        <w:r>
          <w:rPr>
            <w:rStyle w:val="Hyperlink"/>
            <w:b/>
            <w:noProof/>
          </w:rPr>
          <w:t>2.2.</w:t>
        </w:r>
        <w:r>
          <w:rPr>
            <w:rFonts w:ascii="Calibri" w:hAnsi="Calibri"/>
            <w:noProof/>
            <w:sz w:val="22"/>
          </w:rPr>
          <w:tab/>
        </w:r>
        <w:r>
          <w:rPr>
            <w:rStyle w:val="Hyperlink"/>
            <w:b/>
            <w:noProof/>
          </w:rPr>
          <w:t>Management of payment appropriations</w:t>
        </w:r>
        <w:r>
          <w:rPr>
            <w:noProof/>
            <w:webHidden/>
          </w:rPr>
          <w:tab/>
        </w:r>
        <w:r>
          <w:rPr>
            <w:noProof/>
            <w:webHidden/>
          </w:rPr>
          <w:fldChar w:fldCharType="begin"/>
        </w:r>
        <w:r>
          <w:rPr>
            <w:noProof/>
            <w:webHidden/>
          </w:rPr>
          <w:instrText xml:space="preserve"> PAGEREF _Toc485997135 \h </w:instrText>
        </w:r>
        <w:r>
          <w:rPr>
            <w:noProof/>
            <w:webHidden/>
          </w:rPr>
        </w:r>
        <w:r>
          <w:rPr>
            <w:noProof/>
            <w:webHidden/>
          </w:rPr>
          <w:fldChar w:fldCharType="separate"/>
        </w:r>
        <w:r>
          <w:rPr>
            <w:noProof/>
            <w:webHidden/>
          </w:rPr>
          <w:t>6</w:t>
        </w:r>
        <w:r>
          <w:rPr>
            <w:noProof/>
            <w:webHidden/>
          </w:rPr>
          <w:fldChar w:fldCharType="end"/>
        </w:r>
      </w:hyperlink>
    </w:p>
    <w:p>
      <w:pPr>
        <w:pStyle w:val="TOC3"/>
        <w:rPr>
          <w:rFonts w:ascii="Calibri" w:hAnsi="Calibri"/>
          <w:noProof/>
          <w:sz w:val="22"/>
        </w:rPr>
      </w:pPr>
      <w:hyperlink w:anchor="_Toc485997136" w:history="1">
        <w:r>
          <w:rPr>
            <w:rStyle w:val="Hyperlink"/>
            <w:i/>
            <w:noProof/>
          </w:rPr>
          <w:t>2.2.1.</w:t>
        </w:r>
        <w:r>
          <w:rPr>
            <w:rFonts w:ascii="Calibri" w:hAnsi="Calibri"/>
            <w:noProof/>
            <w:sz w:val="22"/>
          </w:rPr>
          <w:tab/>
        </w:r>
        <w:r>
          <w:rPr>
            <w:rStyle w:val="Hyperlink"/>
            <w:i/>
            <w:noProof/>
          </w:rPr>
          <w:t>EAFRD rural development programmes</w:t>
        </w:r>
        <w:r>
          <w:rPr>
            <w:noProof/>
            <w:webHidden/>
          </w:rPr>
          <w:tab/>
        </w:r>
        <w:r>
          <w:rPr>
            <w:noProof/>
            <w:webHidden/>
          </w:rPr>
          <w:fldChar w:fldCharType="begin"/>
        </w:r>
        <w:r>
          <w:rPr>
            <w:noProof/>
            <w:webHidden/>
          </w:rPr>
          <w:instrText xml:space="preserve"> PAGEREF _Toc485997136 \h </w:instrText>
        </w:r>
        <w:r>
          <w:rPr>
            <w:noProof/>
            <w:webHidden/>
          </w:rPr>
        </w:r>
        <w:r>
          <w:rPr>
            <w:noProof/>
            <w:webHidden/>
          </w:rPr>
          <w:fldChar w:fldCharType="separate"/>
        </w:r>
        <w:r>
          <w:rPr>
            <w:noProof/>
            <w:webHidden/>
          </w:rPr>
          <w:t>6</w:t>
        </w:r>
        <w:r>
          <w:rPr>
            <w:noProof/>
            <w:webHidden/>
          </w:rPr>
          <w:fldChar w:fldCharType="end"/>
        </w:r>
      </w:hyperlink>
    </w:p>
    <w:p>
      <w:pPr>
        <w:pStyle w:val="TOC3"/>
        <w:rPr>
          <w:rFonts w:ascii="Calibri" w:hAnsi="Calibri"/>
          <w:noProof/>
          <w:sz w:val="22"/>
        </w:rPr>
      </w:pPr>
      <w:hyperlink w:anchor="_Toc485997137" w:history="1">
        <w:r>
          <w:rPr>
            <w:rStyle w:val="Hyperlink"/>
            <w:i/>
            <w:noProof/>
          </w:rPr>
          <w:t>2.2.2.</w:t>
        </w:r>
        <w:r>
          <w:rPr>
            <w:rFonts w:ascii="Calibri" w:hAnsi="Calibri"/>
            <w:noProof/>
            <w:sz w:val="22"/>
          </w:rPr>
          <w:tab/>
        </w:r>
        <w:r>
          <w:rPr>
            <w:rStyle w:val="Hyperlink"/>
            <w:i/>
            <w:noProof/>
          </w:rPr>
          <w:t>Technical assistance</w:t>
        </w:r>
        <w:r>
          <w:rPr>
            <w:noProof/>
            <w:webHidden/>
          </w:rPr>
          <w:tab/>
        </w:r>
        <w:r>
          <w:rPr>
            <w:noProof/>
            <w:webHidden/>
          </w:rPr>
          <w:fldChar w:fldCharType="begin"/>
        </w:r>
        <w:r>
          <w:rPr>
            <w:noProof/>
            <w:webHidden/>
          </w:rPr>
          <w:instrText xml:space="preserve"> PAGEREF _Toc485997137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Calibri" w:hAnsi="Calibri"/>
          <w:noProof/>
          <w:sz w:val="22"/>
        </w:rPr>
      </w:pPr>
      <w:hyperlink w:anchor="_Toc485997138" w:history="1">
        <w:r>
          <w:rPr>
            <w:rStyle w:val="Hyperlink"/>
            <w:b/>
            <w:smallCaps/>
            <w:noProof/>
          </w:rPr>
          <w:t>3.</w:t>
        </w:r>
        <w:r>
          <w:rPr>
            <w:rFonts w:ascii="Calibri" w:hAnsi="Calibri"/>
            <w:noProof/>
            <w:sz w:val="22"/>
          </w:rPr>
          <w:tab/>
        </w:r>
        <w:r>
          <w:rPr>
            <w:rStyle w:val="Hyperlink"/>
            <w:b/>
            <w:smallCaps/>
            <w:noProof/>
          </w:rPr>
          <w:t>Implementation of the 2016 EAFRD budget</w:t>
        </w:r>
        <w:r>
          <w:rPr>
            <w:noProof/>
            <w:webHidden/>
          </w:rPr>
          <w:tab/>
        </w:r>
        <w:r>
          <w:rPr>
            <w:noProof/>
            <w:webHidden/>
          </w:rPr>
          <w:fldChar w:fldCharType="begin"/>
        </w:r>
        <w:r>
          <w:rPr>
            <w:noProof/>
            <w:webHidden/>
          </w:rPr>
          <w:instrText xml:space="preserve"> PAGEREF _Toc485997138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Calibri" w:hAnsi="Calibri"/>
          <w:noProof/>
          <w:sz w:val="22"/>
        </w:rPr>
      </w:pPr>
      <w:hyperlink w:anchor="_Toc485997139" w:history="1">
        <w:r>
          <w:rPr>
            <w:rStyle w:val="Hyperlink"/>
            <w:b/>
            <w:noProof/>
          </w:rPr>
          <w:t>3.1.</w:t>
        </w:r>
        <w:r>
          <w:rPr>
            <w:rFonts w:ascii="Calibri" w:hAnsi="Calibri"/>
            <w:noProof/>
            <w:sz w:val="22"/>
          </w:rPr>
          <w:tab/>
        </w:r>
        <w:r>
          <w:rPr>
            <w:rStyle w:val="Hyperlink"/>
            <w:b/>
            <w:noProof/>
          </w:rPr>
          <w:t>Implementation of commitment appropriations</w:t>
        </w:r>
        <w:r>
          <w:rPr>
            <w:noProof/>
            <w:webHidden/>
          </w:rPr>
          <w:tab/>
        </w:r>
        <w:r>
          <w:rPr>
            <w:noProof/>
            <w:webHidden/>
          </w:rPr>
          <w:fldChar w:fldCharType="begin"/>
        </w:r>
        <w:r>
          <w:rPr>
            <w:noProof/>
            <w:webHidden/>
          </w:rPr>
          <w:instrText xml:space="preserve"> PAGEREF _Toc485997139 \h </w:instrText>
        </w:r>
        <w:r>
          <w:rPr>
            <w:noProof/>
            <w:webHidden/>
          </w:rPr>
        </w:r>
        <w:r>
          <w:rPr>
            <w:noProof/>
            <w:webHidden/>
          </w:rPr>
          <w:fldChar w:fldCharType="separate"/>
        </w:r>
        <w:r>
          <w:rPr>
            <w:noProof/>
            <w:webHidden/>
          </w:rPr>
          <w:t>7</w:t>
        </w:r>
        <w:r>
          <w:rPr>
            <w:noProof/>
            <w:webHidden/>
          </w:rPr>
          <w:fldChar w:fldCharType="end"/>
        </w:r>
      </w:hyperlink>
    </w:p>
    <w:p>
      <w:pPr>
        <w:pStyle w:val="TOC3"/>
        <w:rPr>
          <w:rFonts w:ascii="Calibri" w:hAnsi="Calibri"/>
          <w:noProof/>
          <w:sz w:val="22"/>
        </w:rPr>
      </w:pPr>
      <w:hyperlink w:anchor="_Toc485997140" w:history="1">
        <w:r>
          <w:rPr>
            <w:rStyle w:val="Hyperlink"/>
            <w:i/>
            <w:noProof/>
          </w:rPr>
          <w:t>3.1.1.</w:t>
        </w:r>
        <w:r>
          <w:rPr>
            <w:rFonts w:ascii="Calibri" w:hAnsi="Calibri"/>
            <w:noProof/>
            <w:sz w:val="22"/>
          </w:rPr>
          <w:tab/>
        </w:r>
        <w:r>
          <w:rPr>
            <w:rStyle w:val="Hyperlink"/>
            <w:i/>
            <w:noProof/>
          </w:rPr>
          <w:t>EAFRD rural development programmes</w:t>
        </w:r>
        <w:r>
          <w:rPr>
            <w:noProof/>
            <w:webHidden/>
          </w:rPr>
          <w:tab/>
        </w:r>
        <w:r>
          <w:rPr>
            <w:noProof/>
            <w:webHidden/>
          </w:rPr>
          <w:fldChar w:fldCharType="begin"/>
        </w:r>
        <w:r>
          <w:rPr>
            <w:noProof/>
            <w:webHidden/>
          </w:rPr>
          <w:instrText xml:space="preserve"> PAGEREF _Toc485997140 \h </w:instrText>
        </w:r>
        <w:r>
          <w:rPr>
            <w:noProof/>
            <w:webHidden/>
          </w:rPr>
        </w:r>
        <w:r>
          <w:rPr>
            <w:noProof/>
            <w:webHidden/>
          </w:rPr>
          <w:fldChar w:fldCharType="separate"/>
        </w:r>
        <w:r>
          <w:rPr>
            <w:noProof/>
            <w:webHidden/>
          </w:rPr>
          <w:t>7</w:t>
        </w:r>
        <w:r>
          <w:rPr>
            <w:noProof/>
            <w:webHidden/>
          </w:rPr>
          <w:fldChar w:fldCharType="end"/>
        </w:r>
      </w:hyperlink>
    </w:p>
    <w:p>
      <w:pPr>
        <w:pStyle w:val="TOC3"/>
        <w:rPr>
          <w:rFonts w:ascii="Calibri" w:hAnsi="Calibri"/>
          <w:noProof/>
          <w:sz w:val="22"/>
        </w:rPr>
      </w:pPr>
      <w:hyperlink w:anchor="_Toc485997141" w:history="1">
        <w:r>
          <w:rPr>
            <w:rStyle w:val="Hyperlink"/>
            <w:i/>
            <w:noProof/>
          </w:rPr>
          <w:t>3.1.2.</w:t>
        </w:r>
        <w:r>
          <w:rPr>
            <w:rFonts w:ascii="Calibri" w:hAnsi="Calibri"/>
            <w:noProof/>
            <w:sz w:val="22"/>
          </w:rPr>
          <w:tab/>
        </w:r>
        <w:r>
          <w:rPr>
            <w:rStyle w:val="Hyperlink"/>
            <w:i/>
            <w:noProof/>
          </w:rPr>
          <w:t>Technical assistance</w:t>
        </w:r>
        <w:r>
          <w:rPr>
            <w:noProof/>
            <w:webHidden/>
          </w:rPr>
          <w:tab/>
        </w:r>
        <w:r>
          <w:rPr>
            <w:noProof/>
            <w:webHidden/>
          </w:rPr>
          <w:fldChar w:fldCharType="begin"/>
        </w:r>
        <w:r>
          <w:rPr>
            <w:noProof/>
            <w:webHidden/>
          </w:rPr>
          <w:instrText xml:space="preserve"> PAGEREF _Toc485997141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Calibri" w:hAnsi="Calibri"/>
          <w:noProof/>
          <w:sz w:val="22"/>
        </w:rPr>
      </w:pPr>
      <w:hyperlink w:anchor="_Toc485997142" w:history="1">
        <w:r>
          <w:rPr>
            <w:rStyle w:val="Hyperlink"/>
            <w:b/>
            <w:noProof/>
          </w:rPr>
          <w:t>3.2.</w:t>
        </w:r>
        <w:r>
          <w:rPr>
            <w:rFonts w:ascii="Calibri" w:hAnsi="Calibri"/>
            <w:noProof/>
            <w:sz w:val="22"/>
          </w:rPr>
          <w:tab/>
        </w:r>
        <w:r>
          <w:rPr>
            <w:rStyle w:val="Hyperlink"/>
            <w:b/>
            <w:noProof/>
          </w:rPr>
          <w:t>Implementation of payment appropriations</w:t>
        </w:r>
        <w:r>
          <w:rPr>
            <w:noProof/>
            <w:webHidden/>
          </w:rPr>
          <w:tab/>
        </w:r>
        <w:r>
          <w:rPr>
            <w:noProof/>
            <w:webHidden/>
          </w:rPr>
          <w:fldChar w:fldCharType="begin"/>
        </w:r>
        <w:r>
          <w:rPr>
            <w:noProof/>
            <w:webHidden/>
          </w:rPr>
          <w:instrText xml:space="preserve"> PAGEREF _Toc485997142 \h </w:instrText>
        </w:r>
        <w:r>
          <w:rPr>
            <w:noProof/>
            <w:webHidden/>
          </w:rPr>
        </w:r>
        <w:r>
          <w:rPr>
            <w:noProof/>
            <w:webHidden/>
          </w:rPr>
          <w:fldChar w:fldCharType="separate"/>
        </w:r>
        <w:r>
          <w:rPr>
            <w:noProof/>
            <w:webHidden/>
          </w:rPr>
          <w:t>9</w:t>
        </w:r>
        <w:r>
          <w:rPr>
            <w:noProof/>
            <w:webHidden/>
          </w:rPr>
          <w:fldChar w:fldCharType="end"/>
        </w:r>
      </w:hyperlink>
    </w:p>
    <w:p>
      <w:pPr>
        <w:pStyle w:val="TOC3"/>
        <w:rPr>
          <w:rFonts w:ascii="Calibri" w:hAnsi="Calibri"/>
          <w:noProof/>
          <w:sz w:val="22"/>
        </w:rPr>
      </w:pPr>
      <w:hyperlink w:anchor="_Toc485997143" w:history="1">
        <w:r>
          <w:rPr>
            <w:rStyle w:val="Hyperlink"/>
            <w:i/>
            <w:noProof/>
          </w:rPr>
          <w:t>3.2.1.</w:t>
        </w:r>
        <w:r>
          <w:rPr>
            <w:rFonts w:ascii="Calibri" w:hAnsi="Calibri"/>
            <w:noProof/>
            <w:sz w:val="22"/>
          </w:rPr>
          <w:tab/>
        </w:r>
        <w:r>
          <w:rPr>
            <w:rStyle w:val="Hyperlink"/>
            <w:i/>
            <w:noProof/>
          </w:rPr>
          <w:t>EAFRD rural development programmes</w:t>
        </w:r>
        <w:r>
          <w:rPr>
            <w:noProof/>
            <w:webHidden/>
          </w:rPr>
          <w:tab/>
        </w:r>
        <w:r>
          <w:rPr>
            <w:noProof/>
            <w:webHidden/>
          </w:rPr>
          <w:fldChar w:fldCharType="begin"/>
        </w:r>
        <w:r>
          <w:rPr>
            <w:noProof/>
            <w:webHidden/>
          </w:rPr>
          <w:instrText xml:space="preserve"> PAGEREF _Toc485997143 \h </w:instrText>
        </w:r>
        <w:r>
          <w:rPr>
            <w:noProof/>
            <w:webHidden/>
          </w:rPr>
        </w:r>
        <w:r>
          <w:rPr>
            <w:noProof/>
            <w:webHidden/>
          </w:rPr>
          <w:fldChar w:fldCharType="separate"/>
        </w:r>
        <w:r>
          <w:rPr>
            <w:noProof/>
            <w:webHidden/>
          </w:rPr>
          <w:t>9</w:t>
        </w:r>
        <w:r>
          <w:rPr>
            <w:noProof/>
            <w:webHidden/>
          </w:rPr>
          <w:fldChar w:fldCharType="end"/>
        </w:r>
      </w:hyperlink>
    </w:p>
    <w:p>
      <w:pPr>
        <w:pStyle w:val="TOC3"/>
        <w:rPr>
          <w:rFonts w:ascii="Calibri" w:hAnsi="Calibri"/>
          <w:noProof/>
          <w:sz w:val="22"/>
        </w:rPr>
      </w:pPr>
      <w:hyperlink w:anchor="_Toc485997144" w:history="1">
        <w:r>
          <w:rPr>
            <w:rStyle w:val="Hyperlink"/>
            <w:i/>
            <w:noProof/>
          </w:rPr>
          <w:t>3.2.2.</w:t>
        </w:r>
        <w:r>
          <w:rPr>
            <w:rFonts w:ascii="Calibri" w:hAnsi="Calibri"/>
            <w:noProof/>
            <w:sz w:val="22"/>
          </w:rPr>
          <w:tab/>
        </w:r>
        <w:r>
          <w:rPr>
            <w:rStyle w:val="Hyperlink"/>
            <w:i/>
            <w:noProof/>
          </w:rPr>
          <w:t>Technical assistance</w:t>
        </w:r>
        <w:r>
          <w:rPr>
            <w:noProof/>
            <w:webHidden/>
          </w:rPr>
          <w:tab/>
        </w:r>
        <w:r>
          <w:rPr>
            <w:noProof/>
            <w:webHidden/>
          </w:rPr>
          <w:fldChar w:fldCharType="begin"/>
        </w:r>
        <w:r>
          <w:rPr>
            <w:noProof/>
            <w:webHidden/>
          </w:rPr>
          <w:instrText xml:space="preserve"> PAGEREF _Toc485997144 \h </w:instrText>
        </w:r>
        <w:r>
          <w:rPr>
            <w:noProof/>
            <w:webHidden/>
          </w:rPr>
        </w:r>
        <w:r>
          <w:rPr>
            <w:noProof/>
            <w:webHidden/>
          </w:rPr>
          <w:fldChar w:fldCharType="separate"/>
        </w:r>
        <w:r>
          <w:rPr>
            <w:noProof/>
            <w:webHidden/>
          </w:rPr>
          <w:t>15</w:t>
        </w:r>
        <w:r>
          <w:rPr>
            <w:noProof/>
            <w:webHidden/>
          </w:rPr>
          <w:fldChar w:fldCharType="end"/>
        </w:r>
      </w:hyperlink>
    </w:p>
    <w:p>
      <w:pPr>
        <w:pStyle w:val="TOC2"/>
        <w:rPr>
          <w:rFonts w:ascii="Calibri" w:hAnsi="Calibri"/>
          <w:noProof/>
          <w:sz w:val="22"/>
        </w:rPr>
      </w:pPr>
      <w:hyperlink w:anchor="_Toc485997145" w:history="1">
        <w:r>
          <w:rPr>
            <w:rStyle w:val="Hyperlink"/>
            <w:b/>
            <w:noProof/>
          </w:rPr>
          <w:t>3.3.</w:t>
        </w:r>
        <w:r>
          <w:rPr>
            <w:rFonts w:ascii="Calibri" w:hAnsi="Calibri"/>
            <w:noProof/>
            <w:sz w:val="22"/>
          </w:rPr>
          <w:tab/>
        </w:r>
        <w:r>
          <w:rPr>
            <w:rStyle w:val="Hyperlink"/>
            <w:b/>
            <w:noProof/>
          </w:rPr>
          <w:t>Analysis of expenditure declared by axis and/or by measure</w:t>
        </w:r>
        <w:r>
          <w:rPr>
            <w:noProof/>
            <w:webHidden/>
          </w:rPr>
          <w:tab/>
        </w:r>
        <w:r>
          <w:rPr>
            <w:noProof/>
            <w:webHidden/>
          </w:rPr>
          <w:fldChar w:fldCharType="begin"/>
        </w:r>
        <w:r>
          <w:rPr>
            <w:noProof/>
            <w:webHidden/>
          </w:rPr>
          <w:instrText xml:space="preserve"> PAGEREF _Toc485997145 \h </w:instrText>
        </w:r>
        <w:r>
          <w:rPr>
            <w:noProof/>
            <w:webHidden/>
          </w:rPr>
        </w:r>
        <w:r>
          <w:rPr>
            <w:noProof/>
            <w:webHidden/>
          </w:rPr>
          <w:fldChar w:fldCharType="separate"/>
        </w:r>
        <w:r>
          <w:rPr>
            <w:noProof/>
            <w:webHidden/>
          </w:rPr>
          <w:t>15</w:t>
        </w:r>
        <w:r>
          <w:rPr>
            <w:noProof/>
            <w:webHidden/>
          </w:rPr>
          <w:fldChar w:fldCharType="end"/>
        </w:r>
      </w:hyperlink>
    </w:p>
    <w:p>
      <w:pPr>
        <w:pStyle w:val="TOC2"/>
        <w:rPr>
          <w:rFonts w:ascii="Calibri" w:hAnsi="Calibri"/>
          <w:noProof/>
          <w:sz w:val="22"/>
        </w:rPr>
      </w:pPr>
      <w:hyperlink w:anchor="_Toc485997146" w:history="1">
        <w:r>
          <w:rPr>
            <w:rStyle w:val="Hyperlink"/>
            <w:b/>
            <w:noProof/>
          </w:rPr>
          <w:t>3.4.</w:t>
        </w:r>
        <w:r>
          <w:rPr>
            <w:rFonts w:ascii="Calibri" w:hAnsi="Calibri"/>
            <w:noProof/>
            <w:sz w:val="22"/>
          </w:rPr>
          <w:tab/>
        </w:r>
        <w:r>
          <w:rPr>
            <w:rStyle w:val="Hyperlink"/>
            <w:b/>
            <w:noProof/>
          </w:rPr>
          <w:t>Implementation of EAFRD programmes</w:t>
        </w:r>
        <w:r>
          <w:rPr>
            <w:noProof/>
            <w:webHidden/>
          </w:rPr>
          <w:tab/>
        </w:r>
        <w:r>
          <w:rPr>
            <w:noProof/>
            <w:webHidden/>
          </w:rPr>
          <w:fldChar w:fldCharType="begin"/>
        </w:r>
        <w:r>
          <w:rPr>
            <w:noProof/>
            <w:webHidden/>
          </w:rPr>
          <w:instrText xml:space="preserve"> PAGEREF _Toc485997146 \h </w:instrText>
        </w:r>
        <w:r>
          <w:rPr>
            <w:noProof/>
            <w:webHidden/>
          </w:rPr>
        </w:r>
        <w:r>
          <w:rPr>
            <w:noProof/>
            <w:webHidden/>
          </w:rPr>
          <w:fldChar w:fldCharType="separate"/>
        </w:r>
        <w:r>
          <w:rPr>
            <w:noProof/>
            <w:webHidden/>
          </w:rPr>
          <w:t>18</w:t>
        </w:r>
        <w:r>
          <w:rPr>
            <w:noProof/>
            <w:webHidden/>
          </w:rPr>
          <w:fldChar w:fldCharType="end"/>
        </w:r>
      </w:hyperlink>
    </w:p>
    <w:p>
      <w:pPr>
        <w:pStyle w:val="TOC3"/>
        <w:rPr>
          <w:rFonts w:ascii="Calibri" w:hAnsi="Calibri"/>
          <w:noProof/>
          <w:sz w:val="22"/>
        </w:rPr>
      </w:pPr>
      <w:hyperlink w:anchor="_Toc485997147" w:history="1">
        <w:r>
          <w:rPr>
            <w:rStyle w:val="Hyperlink"/>
            <w:i/>
            <w:noProof/>
          </w:rPr>
          <w:t>3.4.1.</w:t>
        </w:r>
        <w:r>
          <w:rPr>
            <w:rFonts w:ascii="Calibri" w:hAnsi="Calibri"/>
            <w:noProof/>
            <w:sz w:val="22"/>
          </w:rPr>
          <w:tab/>
        </w:r>
        <w:r>
          <w:rPr>
            <w:rStyle w:val="Hyperlink"/>
            <w:i/>
            <w:noProof/>
          </w:rPr>
          <w:t>Programming period 2007-2013</w:t>
        </w:r>
        <w:r>
          <w:rPr>
            <w:noProof/>
            <w:webHidden/>
          </w:rPr>
          <w:tab/>
        </w:r>
        <w:r>
          <w:rPr>
            <w:noProof/>
            <w:webHidden/>
          </w:rPr>
          <w:fldChar w:fldCharType="begin"/>
        </w:r>
        <w:r>
          <w:rPr>
            <w:noProof/>
            <w:webHidden/>
          </w:rPr>
          <w:instrText xml:space="preserve"> PAGEREF _Toc485997147 \h </w:instrText>
        </w:r>
        <w:r>
          <w:rPr>
            <w:noProof/>
            <w:webHidden/>
          </w:rPr>
        </w:r>
        <w:r>
          <w:rPr>
            <w:noProof/>
            <w:webHidden/>
          </w:rPr>
          <w:fldChar w:fldCharType="separate"/>
        </w:r>
        <w:r>
          <w:rPr>
            <w:noProof/>
            <w:webHidden/>
          </w:rPr>
          <w:t>18</w:t>
        </w:r>
        <w:r>
          <w:rPr>
            <w:noProof/>
            <w:webHidden/>
          </w:rPr>
          <w:fldChar w:fldCharType="end"/>
        </w:r>
      </w:hyperlink>
    </w:p>
    <w:p>
      <w:pPr>
        <w:pStyle w:val="TOC3"/>
        <w:rPr>
          <w:rFonts w:ascii="Calibri" w:hAnsi="Calibri"/>
          <w:noProof/>
          <w:sz w:val="22"/>
        </w:rPr>
      </w:pPr>
      <w:hyperlink w:anchor="_Toc485997148" w:history="1">
        <w:r>
          <w:rPr>
            <w:rStyle w:val="Hyperlink"/>
            <w:i/>
            <w:noProof/>
          </w:rPr>
          <w:t>3.4.2.</w:t>
        </w:r>
        <w:r>
          <w:rPr>
            <w:rFonts w:ascii="Calibri" w:hAnsi="Calibri"/>
            <w:noProof/>
            <w:sz w:val="22"/>
          </w:rPr>
          <w:tab/>
        </w:r>
        <w:r>
          <w:rPr>
            <w:rStyle w:val="Hyperlink"/>
            <w:i/>
            <w:noProof/>
          </w:rPr>
          <w:t>Programming period 2014-2020</w:t>
        </w:r>
        <w:r>
          <w:rPr>
            <w:noProof/>
            <w:webHidden/>
          </w:rPr>
          <w:tab/>
        </w:r>
        <w:r>
          <w:rPr>
            <w:noProof/>
            <w:webHidden/>
          </w:rPr>
          <w:fldChar w:fldCharType="begin"/>
        </w:r>
        <w:r>
          <w:rPr>
            <w:noProof/>
            <w:webHidden/>
          </w:rPr>
          <w:instrText xml:space="preserve"> PAGEREF _Toc485997148 \h </w:instrText>
        </w:r>
        <w:r>
          <w:rPr>
            <w:noProof/>
            <w:webHidden/>
          </w:rPr>
        </w:r>
        <w:r>
          <w:rPr>
            <w:noProof/>
            <w:webHidden/>
          </w:rPr>
          <w:fldChar w:fldCharType="separate"/>
        </w:r>
        <w:r>
          <w:rPr>
            <w:noProof/>
            <w:webHidden/>
          </w:rPr>
          <w:t>18</w:t>
        </w:r>
        <w:r>
          <w:rPr>
            <w:noProof/>
            <w:webHidden/>
          </w:rPr>
          <w:fldChar w:fldCharType="end"/>
        </w:r>
      </w:hyperlink>
    </w:p>
    <w:p>
      <w:pPr>
        <w:rPr>
          <w:noProof/>
        </w:rPr>
      </w:pPr>
      <w:r>
        <w:rPr>
          <w:b/>
          <w:bCs/>
          <w:noProof/>
        </w:rPr>
        <w:fldChar w:fldCharType="end"/>
      </w:r>
    </w:p>
    <w:p>
      <w:pPr>
        <w:rPr>
          <w:noProof/>
          <w:lang w:val="fr-BE"/>
        </w:rPr>
      </w:pPr>
    </w:p>
    <w:p>
      <w:pPr>
        <w:rPr>
          <w:noProof/>
          <w:lang w:val="fr-BE"/>
        </w:rPr>
        <w:sectPr>
          <w:headerReference w:type="even" r:id="rId16"/>
          <w:headerReference w:type="default" r:id="rId17"/>
          <w:footerReference w:type="even" r:id="rId18"/>
          <w:footerReference w:type="default" r:id="rId19"/>
          <w:headerReference w:type="first" r:id="rId20"/>
          <w:footerReference w:type="first" r:id="rId21"/>
          <w:pgSz w:w="11907" w:h="16839" w:code="9"/>
          <w:pgMar w:top="1134" w:right="1417" w:bottom="1134" w:left="1417" w:header="709" w:footer="709" w:gutter="0"/>
          <w:pgNumType w:start="2"/>
          <w:cols w:space="708"/>
          <w:docGrid w:linePitch="360"/>
        </w:sectPr>
      </w:pPr>
    </w:p>
    <w:p>
      <w:pPr>
        <w:keepNext/>
        <w:tabs>
          <w:tab w:val="left" w:pos="0"/>
          <w:tab w:val="left" w:pos="10080"/>
        </w:tabs>
        <w:spacing w:before="360" w:after="120" w:line="240" w:lineRule="auto"/>
        <w:ind w:left="850" w:hanging="850"/>
        <w:jc w:val="both"/>
        <w:outlineLvl w:val="0"/>
        <w:rPr>
          <w:rFonts w:ascii="Times New Roman" w:eastAsia="Times New Roman" w:hAnsi="Times New Roman"/>
          <w:b/>
          <w:smallCaps/>
          <w:noProof/>
          <w:sz w:val="24"/>
          <w:lang w:eastAsia="en-GB"/>
        </w:rPr>
      </w:pPr>
      <w:bookmarkStart w:id="2" w:name="_Toc331167057"/>
      <w:bookmarkStart w:id="3" w:name="_Toc393127465"/>
      <w:bookmarkStart w:id="4" w:name="_Toc485997126"/>
      <w:r>
        <w:rPr>
          <w:rFonts w:ascii="Times New Roman" w:eastAsia="Times New Roman" w:hAnsi="Times New Roman"/>
          <w:b/>
          <w:smallCaps/>
          <w:noProof/>
          <w:sz w:val="24"/>
          <w:lang w:eastAsia="en-GB"/>
        </w:rPr>
        <w:lastRenderedPageBreak/>
        <w:t>1.</w:t>
      </w:r>
      <w:r>
        <w:rPr>
          <w:rFonts w:ascii="Times New Roman" w:eastAsia="Times New Roman" w:hAnsi="Times New Roman"/>
          <w:b/>
          <w:smallCaps/>
          <w:noProof/>
          <w:sz w:val="24"/>
          <w:lang w:eastAsia="en-GB"/>
        </w:rPr>
        <w:tab/>
        <w:t>Budget procedure</w:t>
      </w:r>
      <w:bookmarkEnd w:id="2"/>
      <w:bookmarkEnd w:id="3"/>
      <w:bookmarkEnd w:id="4"/>
    </w:p>
    <w:p>
      <w:pPr>
        <w:keepNext/>
        <w:tabs>
          <w:tab w:val="left" w:pos="0"/>
        </w:tabs>
        <w:spacing w:before="240" w:after="120" w:line="240" w:lineRule="auto"/>
        <w:ind w:left="850" w:hanging="850"/>
        <w:jc w:val="both"/>
        <w:outlineLvl w:val="1"/>
        <w:rPr>
          <w:rFonts w:ascii="Times New Roman" w:eastAsia="Times New Roman" w:hAnsi="Times New Roman"/>
          <w:b/>
          <w:noProof/>
          <w:sz w:val="24"/>
          <w:lang w:eastAsia="en-GB"/>
        </w:rPr>
      </w:pPr>
      <w:bookmarkStart w:id="5" w:name="_Toc331167058"/>
      <w:bookmarkStart w:id="6" w:name="_Toc393127466"/>
      <w:bookmarkStart w:id="7" w:name="_Toc485997127"/>
      <w:r>
        <w:rPr>
          <w:rFonts w:ascii="Times New Roman" w:eastAsia="Times New Roman" w:hAnsi="Times New Roman"/>
          <w:b/>
          <w:noProof/>
          <w:sz w:val="24"/>
          <w:lang w:eastAsia="en-GB"/>
        </w:rPr>
        <w:t>1.1.</w:t>
      </w:r>
      <w:r>
        <w:rPr>
          <w:rFonts w:ascii="Times New Roman" w:eastAsia="Times New Roman" w:hAnsi="Times New Roman"/>
          <w:b/>
          <w:noProof/>
          <w:sz w:val="24"/>
          <w:lang w:eastAsia="en-GB"/>
        </w:rPr>
        <w:tab/>
        <w:t>Financial framework</w:t>
      </w:r>
      <w:bookmarkEnd w:id="5"/>
      <w:bookmarkEnd w:id="6"/>
      <w:bookmarkEnd w:id="7"/>
      <w:r>
        <w:rPr>
          <w:rFonts w:ascii="Times New Roman" w:eastAsia="Times New Roman" w:hAnsi="Times New Roman"/>
          <w:b/>
          <w:noProof/>
          <w:sz w:val="24"/>
          <w:lang w:eastAsia="en-GB"/>
        </w:rPr>
        <w:t xml:space="preserve"> </w:t>
      </w:r>
    </w:p>
    <w:p>
      <w:pPr>
        <w:spacing w:before="120" w:after="120" w:line="240" w:lineRule="auto"/>
        <w:ind w:left="840" w:right="-49"/>
        <w:jc w:val="both"/>
        <w:rPr>
          <w:rFonts w:ascii="Times New Roman" w:eastAsia="Times New Roman" w:hAnsi="Times New Roman"/>
          <w:noProof/>
          <w:sz w:val="24"/>
          <w:lang w:eastAsia="en-GB"/>
        </w:rPr>
      </w:pPr>
      <w:r>
        <w:rPr>
          <w:rFonts w:ascii="Times New Roman" w:eastAsia="Times New Roman" w:hAnsi="Times New Roman"/>
          <w:noProof/>
          <w:sz w:val="24"/>
          <w:lang w:eastAsia="en-GB"/>
        </w:rPr>
        <w:t>Rural development expenditure in 2016 is funded within two multiannual financial frameworks (MFFs): 2007-2013 and 2014-2020. The financial framework 2014-2020 is provided by Council Regulation (EU) No 1311/2013. The allocation for rural development and the allocation for market related expenditure and direct payments after the annual technical adjustment of the MFF are presented in table 1.</w:t>
      </w:r>
    </w:p>
    <w:p>
      <w:pPr>
        <w:tabs>
          <w:tab w:val="left" w:pos="0"/>
        </w:tabs>
        <w:spacing w:before="120" w:after="120" w:line="240" w:lineRule="auto"/>
        <w:jc w:val="both"/>
        <w:rPr>
          <w:rFonts w:ascii="Times New Roman" w:eastAsia="Times New Roman" w:hAnsi="Times New Roman"/>
          <w:noProof/>
          <w:sz w:val="24"/>
          <w:lang w:eastAsia="en-GB"/>
        </w:rPr>
      </w:pPr>
      <w:bookmarkStart w:id="8" w:name="_Toc331167059"/>
      <w:bookmarkStart w:id="9" w:name="_Toc393127467"/>
    </w:p>
    <w:p>
      <w:pPr>
        <w:tabs>
          <w:tab w:val="left" w:pos="0"/>
        </w:tabs>
        <w:spacing w:before="120" w:after="120" w:line="240" w:lineRule="auto"/>
        <w:jc w:val="both"/>
        <w:rPr>
          <w:rFonts w:ascii="Times New Roman" w:eastAsia="Times New Roman" w:hAnsi="Times New Roman"/>
          <w:noProof/>
          <w:sz w:val="24"/>
          <w:lang w:eastAsia="en-GB"/>
        </w:rPr>
      </w:pPr>
      <w:r>
        <w:rPr>
          <w:rFonts w:ascii="Times New Roman" w:eastAsia="Times New Roman" w:hAnsi="Times New Roman"/>
          <w:noProof/>
          <w:sz w:val="24"/>
          <w:lang w:eastAsia="en-GB"/>
        </w:rPr>
        <w:t>Table 1 – Financial framework 2014-2020</w:t>
      </w:r>
    </w:p>
    <w:tbl>
      <w:tblPr>
        <w:tblW w:w="9273" w:type="dxa"/>
        <w:tblLayout w:type="fixed"/>
        <w:tblLook w:val="04A0" w:firstRow="1" w:lastRow="0" w:firstColumn="1" w:lastColumn="0" w:noHBand="0" w:noVBand="1"/>
      </w:tblPr>
      <w:tblGrid>
        <w:gridCol w:w="2857"/>
        <w:gridCol w:w="900"/>
        <w:gridCol w:w="900"/>
        <w:gridCol w:w="900"/>
        <w:gridCol w:w="900"/>
        <w:gridCol w:w="958"/>
        <w:gridCol w:w="958"/>
        <w:gridCol w:w="900"/>
      </w:tblGrid>
      <w:tr>
        <w:trPr>
          <w:trHeight w:val="270"/>
        </w:trPr>
        <w:tc>
          <w:tcPr>
            <w:tcW w:w="2857" w:type="dxa"/>
            <w:tcBorders>
              <w:top w:val="single" w:sz="8" w:space="0" w:color="auto"/>
              <w:left w:val="single" w:sz="8" w:space="0" w:color="auto"/>
              <w:right w:val="single" w:sz="8" w:space="0" w:color="auto"/>
            </w:tcBorders>
            <w:shd w:val="clear" w:color="000000" w:fill="FFFF99"/>
            <w:vAlign w:val="center"/>
          </w:tcPr>
          <w:p>
            <w:pPr>
              <w:spacing w:after="0" w:line="240" w:lineRule="auto"/>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HEADING 2.</w:t>
            </w:r>
          </w:p>
        </w:tc>
        <w:tc>
          <w:tcPr>
            <w:tcW w:w="6416" w:type="dxa"/>
            <w:gridSpan w:val="7"/>
            <w:tcBorders>
              <w:top w:val="single" w:sz="8" w:space="0" w:color="auto"/>
              <w:left w:val="nil"/>
              <w:bottom w:val="nil"/>
              <w:right w:val="single" w:sz="8" w:space="0" w:color="000000"/>
            </w:tcBorders>
            <w:shd w:val="clear" w:color="000000" w:fill="FFFF99"/>
            <w:vAlign w:val="center"/>
          </w:tcPr>
          <w:p>
            <w:pPr>
              <w:spacing w:after="0" w:line="240" w:lineRule="auto"/>
              <w:jc w:val="center"/>
              <w:rPr>
                <w:rFonts w:ascii="Times New Roman" w:eastAsia="Times New Roman" w:hAnsi="Times New Roman"/>
                <w:bCs/>
                <w:noProof/>
                <w:sz w:val="20"/>
                <w:szCs w:val="20"/>
                <w:lang w:eastAsia="en-GB"/>
              </w:rPr>
            </w:pPr>
            <w:r>
              <w:rPr>
                <w:rFonts w:ascii="Times New Roman" w:eastAsia="Times New Roman" w:hAnsi="Times New Roman"/>
                <w:bCs/>
                <w:noProof/>
                <w:sz w:val="20"/>
                <w:szCs w:val="20"/>
                <w:lang w:eastAsia="en-GB"/>
              </w:rPr>
              <w:t>In million EUR; current prices</w:t>
            </w:r>
          </w:p>
        </w:tc>
      </w:tr>
      <w:tr>
        <w:trPr>
          <w:trHeight w:val="510"/>
        </w:trPr>
        <w:tc>
          <w:tcPr>
            <w:tcW w:w="2857" w:type="dxa"/>
            <w:tcBorders>
              <w:top w:val="nil"/>
              <w:left w:val="single" w:sz="8" w:space="0" w:color="auto"/>
              <w:bottom w:val="single" w:sz="4" w:space="0" w:color="auto"/>
              <w:right w:val="single" w:sz="8" w:space="0" w:color="auto"/>
            </w:tcBorders>
            <w:shd w:val="clear" w:color="000000" w:fill="FFFF99"/>
            <w:vAlign w:val="center"/>
          </w:tcPr>
          <w:p>
            <w:pPr>
              <w:spacing w:after="0" w:line="240" w:lineRule="auto"/>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Sustainable growth: natural resources</w:t>
            </w:r>
          </w:p>
        </w:tc>
        <w:tc>
          <w:tcPr>
            <w:tcW w:w="900" w:type="dxa"/>
            <w:tcBorders>
              <w:top w:val="single" w:sz="8" w:space="0" w:color="auto"/>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2014</w:t>
            </w:r>
          </w:p>
        </w:tc>
        <w:tc>
          <w:tcPr>
            <w:tcW w:w="900" w:type="dxa"/>
            <w:tcBorders>
              <w:top w:val="single" w:sz="8" w:space="0" w:color="auto"/>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2015</w:t>
            </w:r>
          </w:p>
        </w:tc>
        <w:tc>
          <w:tcPr>
            <w:tcW w:w="900" w:type="dxa"/>
            <w:tcBorders>
              <w:top w:val="single" w:sz="8" w:space="0" w:color="auto"/>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2016</w:t>
            </w:r>
          </w:p>
        </w:tc>
        <w:tc>
          <w:tcPr>
            <w:tcW w:w="900" w:type="dxa"/>
            <w:tcBorders>
              <w:top w:val="single" w:sz="8" w:space="0" w:color="auto"/>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2017</w:t>
            </w:r>
          </w:p>
        </w:tc>
        <w:tc>
          <w:tcPr>
            <w:tcW w:w="958" w:type="dxa"/>
            <w:tcBorders>
              <w:top w:val="single" w:sz="8" w:space="0" w:color="auto"/>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2018</w:t>
            </w:r>
          </w:p>
        </w:tc>
        <w:tc>
          <w:tcPr>
            <w:tcW w:w="958" w:type="dxa"/>
            <w:tcBorders>
              <w:top w:val="single" w:sz="8" w:space="0" w:color="auto"/>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2019</w:t>
            </w:r>
          </w:p>
        </w:tc>
        <w:tc>
          <w:tcPr>
            <w:tcW w:w="900" w:type="dxa"/>
            <w:tcBorders>
              <w:top w:val="single" w:sz="8" w:space="0" w:color="auto"/>
              <w:left w:val="nil"/>
              <w:bottom w:val="single" w:sz="8" w:space="0" w:color="auto"/>
              <w:right w:val="single" w:sz="8" w:space="0" w:color="auto"/>
            </w:tcBorders>
            <w:shd w:val="clear" w:color="000000" w:fill="FFFF99"/>
            <w:vAlign w:val="center"/>
          </w:tcPr>
          <w:p>
            <w:pPr>
              <w:spacing w:after="0" w:line="240" w:lineRule="auto"/>
              <w:jc w:val="center"/>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2020</w:t>
            </w:r>
          </w:p>
        </w:tc>
      </w:tr>
      <w:tr>
        <w:trPr>
          <w:trHeight w:val="375"/>
        </w:trPr>
        <w:tc>
          <w:tcPr>
            <w:tcW w:w="2857" w:type="dxa"/>
            <w:tcBorders>
              <w:top w:val="single" w:sz="4" w:space="0" w:color="auto"/>
              <w:left w:val="single" w:sz="8" w:space="0" w:color="auto"/>
              <w:bottom w:val="dotted" w:sz="4" w:space="0" w:color="auto"/>
              <w:right w:val="single" w:sz="8" w:space="0" w:color="auto"/>
            </w:tcBorders>
            <w:shd w:val="clear" w:color="auto" w:fill="auto"/>
            <w:vAlign w:val="center"/>
          </w:tcPr>
          <w:p>
            <w:pPr>
              <w:spacing w:after="0" w:line="240" w:lineRule="auto"/>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 xml:space="preserve">TOTAL </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49 857</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64 692</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64 262</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60 191</w:t>
            </w:r>
          </w:p>
        </w:tc>
        <w:tc>
          <w:tcPr>
            <w:tcW w:w="958"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60 267</w:t>
            </w:r>
          </w:p>
        </w:tc>
        <w:tc>
          <w:tcPr>
            <w:tcW w:w="958"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60 344</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60 421</w:t>
            </w:r>
          </w:p>
        </w:tc>
      </w:tr>
      <w:tr>
        <w:trPr>
          <w:trHeight w:val="255"/>
        </w:trPr>
        <w:tc>
          <w:tcPr>
            <w:tcW w:w="9273" w:type="dxa"/>
            <w:gridSpan w:val="8"/>
            <w:tcBorders>
              <w:top w:val="dotted" w:sz="4" w:space="0" w:color="auto"/>
              <w:left w:val="single" w:sz="8" w:space="0" w:color="auto"/>
              <w:bottom w:val="dotted" w:sz="4" w:space="0" w:color="auto"/>
              <w:right w:val="single" w:sz="8" w:space="0" w:color="000000"/>
            </w:tcBorders>
            <w:shd w:val="clear" w:color="auto" w:fill="auto"/>
            <w:vAlign w:val="center"/>
          </w:tcPr>
          <w:p>
            <w:pPr>
              <w:spacing w:after="0" w:line="240" w:lineRule="auto"/>
              <w:jc w:val="both"/>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of which :</w:t>
            </w:r>
          </w:p>
        </w:tc>
      </w:tr>
      <w:tr>
        <w:trPr>
          <w:trHeight w:val="540"/>
        </w:trPr>
        <w:tc>
          <w:tcPr>
            <w:tcW w:w="2857" w:type="dxa"/>
            <w:tcBorders>
              <w:top w:val="nil"/>
              <w:left w:val="single" w:sz="8" w:space="0" w:color="auto"/>
              <w:bottom w:val="dotted" w:sz="4" w:space="0" w:color="auto"/>
              <w:right w:val="single" w:sz="8" w:space="0" w:color="auto"/>
            </w:tcBorders>
            <w:shd w:val="clear" w:color="auto" w:fill="auto"/>
            <w:vAlign w:val="center"/>
          </w:tcPr>
          <w:p>
            <w:pPr>
              <w:spacing w:after="0" w:line="240" w:lineRule="auto"/>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xml:space="preserve">- Rural Development </w:t>
            </w:r>
            <w:r>
              <w:rPr>
                <w:rFonts w:ascii="Times New Roman" w:eastAsia="Times New Roman" w:hAnsi="Times New Roman"/>
                <w:noProof/>
                <w:vertAlign w:val="superscript"/>
                <w:lang w:eastAsia="en-GB"/>
              </w:rPr>
              <w:t>a), b), c), d), e)</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5 299</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18 184</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18 684</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14 371</w:t>
            </w:r>
          </w:p>
        </w:tc>
        <w:tc>
          <w:tcPr>
            <w:tcW w:w="958"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14 381</w:t>
            </w:r>
          </w:p>
        </w:tc>
        <w:tc>
          <w:tcPr>
            <w:tcW w:w="958"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14 330</w:t>
            </w:r>
          </w:p>
        </w:tc>
        <w:tc>
          <w:tcPr>
            <w:tcW w:w="900" w:type="dxa"/>
            <w:tcBorders>
              <w:top w:val="nil"/>
              <w:left w:val="nil"/>
              <w:bottom w:val="dotted" w:sz="4"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14 333</w:t>
            </w:r>
          </w:p>
        </w:tc>
      </w:tr>
      <w:tr>
        <w:trPr>
          <w:trHeight w:val="630"/>
        </w:trPr>
        <w:tc>
          <w:tcPr>
            <w:tcW w:w="2857" w:type="dxa"/>
            <w:tcBorders>
              <w:top w:val="nil"/>
              <w:left w:val="single" w:sz="8" w:space="0" w:color="auto"/>
              <w:bottom w:val="single" w:sz="8" w:space="0" w:color="auto"/>
              <w:right w:val="single" w:sz="8" w:space="0" w:color="auto"/>
            </w:tcBorders>
            <w:shd w:val="clear" w:color="auto" w:fill="auto"/>
            <w:vAlign w:val="center"/>
          </w:tcPr>
          <w:p>
            <w:pPr>
              <w:spacing w:after="0" w:line="240" w:lineRule="auto"/>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xml:space="preserve">- Market related expenditure and direct aids, </w:t>
            </w:r>
            <w:r>
              <w:rPr>
                <w:rFonts w:ascii="Times New Roman" w:eastAsia="Times New Roman" w:hAnsi="Times New Roman"/>
                <w:noProof/>
                <w:vertAlign w:val="superscript"/>
                <w:lang w:eastAsia="en-GB"/>
              </w:rPr>
              <w:t>a), b), c), d)</w:t>
            </w:r>
          </w:p>
        </w:tc>
        <w:tc>
          <w:tcPr>
            <w:tcW w:w="900" w:type="dxa"/>
            <w:tcBorders>
              <w:top w:val="nil"/>
              <w:left w:val="nil"/>
              <w:bottom w:val="single" w:sz="8"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43 778</w:t>
            </w:r>
          </w:p>
        </w:tc>
        <w:tc>
          <w:tcPr>
            <w:tcW w:w="900" w:type="dxa"/>
            <w:tcBorders>
              <w:top w:val="nil"/>
              <w:left w:val="nil"/>
              <w:bottom w:val="single" w:sz="8"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44 190</w:t>
            </w:r>
          </w:p>
        </w:tc>
        <w:tc>
          <w:tcPr>
            <w:tcW w:w="900" w:type="dxa"/>
            <w:tcBorders>
              <w:top w:val="nil"/>
              <w:left w:val="nil"/>
              <w:bottom w:val="single" w:sz="8"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43 950</w:t>
            </w:r>
          </w:p>
        </w:tc>
        <w:tc>
          <w:tcPr>
            <w:tcW w:w="900" w:type="dxa"/>
            <w:tcBorders>
              <w:top w:val="nil"/>
              <w:left w:val="nil"/>
              <w:bottom w:val="single" w:sz="8"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44 146</w:t>
            </w:r>
          </w:p>
        </w:tc>
        <w:tc>
          <w:tcPr>
            <w:tcW w:w="958" w:type="dxa"/>
            <w:tcBorders>
              <w:top w:val="nil"/>
              <w:left w:val="nil"/>
              <w:bottom w:val="single" w:sz="8"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44 162</w:t>
            </w:r>
          </w:p>
        </w:tc>
        <w:tc>
          <w:tcPr>
            <w:tcW w:w="958" w:type="dxa"/>
            <w:tcBorders>
              <w:top w:val="nil"/>
              <w:left w:val="nil"/>
              <w:bottom w:val="single" w:sz="8"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44  241</w:t>
            </w:r>
          </w:p>
        </w:tc>
        <w:tc>
          <w:tcPr>
            <w:tcW w:w="900" w:type="dxa"/>
            <w:tcBorders>
              <w:top w:val="nil"/>
              <w:left w:val="nil"/>
              <w:bottom w:val="single" w:sz="8" w:space="0" w:color="auto"/>
              <w:right w:val="single" w:sz="8" w:space="0" w:color="auto"/>
            </w:tcBorders>
            <w:shd w:val="clear" w:color="auto" w:fill="auto"/>
            <w:vAlign w:val="center"/>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44 263</w:t>
            </w:r>
          </w:p>
        </w:tc>
      </w:tr>
      <w:tr>
        <w:trPr>
          <w:trHeight w:val="255"/>
        </w:trPr>
        <w:tc>
          <w:tcPr>
            <w:tcW w:w="2857"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lang w:eastAsia="en-GB"/>
              </w:rPr>
            </w:pPr>
          </w:p>
        </w:tc>
        <w:tc>
          <w:tcPr>
            <w:tcW w:w="900"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lang w:eastAsia="en-GB"/>
              </w:rPr>
            </w:pPr>
          </w:p>
        </w:tc>
        <w:tc>
          <w:tcPr>
            <w:tcW w:w="900"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lang w:eastAsia="en-GB"/>
              </w:rPr>
            </w:pPr>
          </w:p>
        </w:tc>
        <w:tc>
          <w:tcPr>
            <w:tcW w:w="900"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lang w:eastAsia="en-GB"/>
              </w:rPr>
            </w:pPr>
          </w:p>
        </w:tc>
        <w:tc>
          <w:tcPr>
            <w:tcW w:w="900"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lang w:eastAsia="en-GB"/>
              </w:rPr>
            </w:pPr>
          </w:p>
        </w:tc>
        <w:tc>
          <w:tcPr>
            <w:tcW w:w="958"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lang w:eastAsia="en-GB"/>
              </w:rPr>
            </w:pPr>
          </w:p>
        </w:tc>
        <w:tc>
          <w:tcPr>
            <w:tcW w:w="958"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lang w:eastAsia="en-GB"/>
              </w:rPr>
            </w:pPr>
          </w:p>
        </w:tc>
        <w:tc>
          <w:tcPr>
            <w:tcW w:w="900" w:type="dxa"/>
            <w:tcBorders>
              <w:top w:val="nil"/>
              <w:left w:val="nil"/>
              <w:bottom w:val="nil"/>
              <w:right w:val="nil"/>
            </w:tcBorders>
            <w:shd w:val="clear" w:color="auto" w:fill="auto"/>
            <w:noWrap/>
            <w:vAlign w:val="bottom"/>
          </w:tcPr>
          <w:p>
            <w:pPr>
              <w:spacing w:after="0" w:line="240" w:lineRule="auto"/>
              <w:rPr>
                <w:rFonts w:ascii="Arial" w:eastAsia="Times New Roman" w:hAnsi="Arial" w:cs="Arial"/>
                <w:noProof/>
                <w:sz w:val="20"/>
                <w:szCs w:val="20"/>
                <w:lang w:eastAsia="en-GB"/>
              </w:rPr>
            </w:pPr>
          </w:p>
        </w:tc>
      </w:tr>
      <w:tr>
        <w:trPr>
          <w:trHeight w:val="255"/>
        </w:trPr>
        <w:tc>
          <w:tcPr>
            <w:tcW w:w="9273" w:type="dxa"/>
            <w:gridSpan w:val="8"/>
            <w:tcBorders>
              <w:top w:val="nil"/>
              <w:left w:val="nil"/>
              <w:bottom w:val="nil"/>
              <w:right w:val="nil"/>
            </w:tcBorders>
            <w:shd w:val="clear" w:color="auto" w:fill="auto"/>
            <w:noWrap/>
            <w:vAlign w:val="bottom"/>
          </w:tcPr>
          <w:p>
            <w:pPr>
              <w:spacing w:after="0" w:line="240" w:lineRule="auto"/>
              <w:jc w:val="both"/>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a) After net transfer of EUR 351.9 million between EAGF and EAFRD for the financial year 2014 (see note f for details)</w:t>
            </w:r>
          </w:p>
          <w:p>
            <w:pPr>
              <w:spacing w:after="0" w:line="240" w:lineRule="auto"/>
              <w:jc w:val="both"/>
              <w:rPr>
                <w:rFonts w:ascii="Times New Roman" w:eastAsia="Times New Roman" w:hAnsi="Times New Roman"/>
                <w:noProof/>
                <w:sz w:val="18"/>
                <w:szCs w:val="18"/>
                <w:lang w:eastAsia="en-GB"/>
              </w:rPr>
            </w:pPr>
          </w:p>
        </w:tc>
      </w:tr>
      <w:tr>
        <w:trPr>
          <w:trHeight w:val="255"/>
        </w:trPr>
        <w:tc>
          <w:tcPr>
            <w:tcW w:w="9273" w:type="dxa"/>
            <w:gridSpan w:val="8"/>
            <w:tcBorders>
              <w:top w:val="nil"/>
              <w:left w:val="nil"/>
              <w:bottom w:val="nil"/>
              <w:right w:val="nil"/>
            </w:tcBorders>
            <w:shd w:val="clear" w:color="auto" w:fill="auto"/>
            <w:noWrap/>
            <w:vAlign w:val="bottom"/>
          </w:tcPr>
          <w:p>
            <w:pPr>
              <w:spacing w:after="0" w:line="240" w:lineRule="auto"/>
              <w:jc w:val="both"/>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b) After net transfer of EUR 51.6 million between EAGF and EAFRD for the financial year 2015 (see note f for details)</w:t>
            </w:r>
          </w:p>
          <w:p>
            <w:pPr>
              <w:spacing w:after="0" w:line="240" w:lineRule="auto"/>
              <w:jc w:val="both"/>
              <w:rPr>
                <w:rFonts w:ascii="Times New Roman" w:eastAsia="Times New Roman" w:hAnsi="Times New Roman"/>
                <w:noProof/>
                <w:sz w:val="18"/>
                <w:szCs w:val="18"/>
                <w:lang w:eastAsia="en-GB"/>
              </w:rPr>
            </w:pPr>
          </w:p>
        </w:tc>
      </w:tr>
      <w:tr>
        <w:trPr>
          <w:trHeight w:val="255"/>
        </w:trPr>
        <w:tc>
          <w:tcPr>
            <w:tcW w:w="9273" w:type="dxa"/>
            <w:gridSpan w:val="8"/>
            <w:tcBorders>
              <w:top w:val="nil"/>
              <w:left w:val="nil"/>
              <w:bottom w:val="nil"/>
              <w:right w:val="nil"/>
            </w:tcBorders>
            <w:shd w:val="clear" w:color="auto" w:fill="auto"/>
            <w:noWrap/>
            <w:vAlign w:val="bottom"/>
          </w:tcPr>
          <w:p>
            <w:pPr>
              <w:spacing w:after="0" w:line="240" w:lineRule="auto"/>
              <w:jc w:val="both"/>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xml:space="preserve">c) After net transfer of EUR 28 million between EAGF and EAFRD for the financial years 2014-2020 (see note f for details) </w:t>
            </w:r>
          </w:p>
          <w:p>
            <w:pPr>
              <w:spacing w:after="0" w:line="240" w:lineRule="auto"/>
              <w:jc w:val="both"/>
              <w:rPr>
                <w:rFonts w:ascii="Times New Roman" w:eastAsia="Times New Roman" w:hAnsi="Times New Roman"/>
                <w:noProof/>
                <w:sz w:val="18"/>
                <w:szCs w:val="18"/>
                <w:lang w:eastAsia="en-GB"/>
              </w:rPr>
            </w:pPr>
          </w:p>
        </w:tc>
      </w:tr>
      <w:tr>
        <w:trPr>
          <w:trHeight w:val="255"/>
        </w:trPr>
        <w:tc>
          <w:tcPr>
            <w:tcW w:w="9273" w:type="dxa"/>
            <w:gridSpan w:val="8"/>
            <w:tcBorders>
              <w:top w:val="nil"/>
              <w:left w:val="nil"/>
              <w:bottom w:val="nil"/>
              <w:right w:val="nil"/>
            </w:tcBorders>
            <w:shd w:val="clear" w:color="auto" w:fill="auto"/>
            <w:noWrap/>
            <w:vAlign w:val="bottom"/>
          </w:tcPr>
          <w:p>
            <w:pPr>
              <w:spacing w:after="0" w:line="240" w:lineRule="auto"/>
              <w:jc w:val="both"/>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d) After net transfer of EUR 3 577.2 million between EAGF and EAFRD for financial years 2015-2020 (see note f for details)</w:t>
            </w:r>
          </w:p>
          <w:p>
            <w:pPr>
              <w:spacing w:after="0" w:line="240" w:lineRule="auto"/>
              <w:jc w:val="both"/>
              <w:rPr>
                <w:rFonts w:ascii="Times New Roman" w:eastAsia="Times New Roman" w:hAnsi="Times New Roman"/>
                <w:noProof/>
                <w:sz w:val="18"/>
                <w:szCs w:val="18"/>
                <w:lang w:eastAsia="en-GB"/>
              </w:rPr>
            </w:pPr>
          </w:p>
        </w:tc>
      </w:tr>
      <w:tr>
        <w:trPr>
          <w:trHeight w:val="255"/>
        </w:trPr>
        <w:tc>
          <w:tcPr>
            <w:tcW w:w="9273" w:type="dxa"/>
            <w:gridSpan w:val="8"/>
            <w:tcBorders>
              <w:top w:val="nil"/>
              <w:left w:val="nil"/>
              <w:bottom w:val="nil"/>
              <w:right w:val="nil"/>
            </w:tcBorders>
            <w:shd w:val="clear" w:color="auto" w:fill="auto"/>
            <w:noWrap/>
            <w:vAlign w:val="bottom"/>
          </w:tcPr>
          <w:p>
            <w:pPr>
              <w:pStyle w:val="Default"/>
              <w:rPr>
                <w:rFonts w:ascii="Times New Roman" w:eastAsia="Times New Roman" w:hAnsi="Times New Roman"/>
                <w:noProof/>
                <w:sz w:val="18"/>
                <w:szCs w:val="18"/>
              </w:rPr>
            </w:pPr>
            <w:r>
              <w:rPr>
                <w:rFonts w:ascii="Times New Roman" w:eastAsia="Times New Roman" w:hAnsi="Times New Roman"/>
                <w:noProof/>
                <w:sz w:val="18"/>
                <w:szCs w:val="18"/>
              </w:rPr>
              <w:t>e) After the reprogramming of the EAFRD allocation of year 2014 following the application of Article 19 of MFF Regulation (EU) No 1311/2013 a total amount of EUR 8 705 million deducted from 2014 commitments was equally distributed to 2015 and 2016 commitments</w:t>
            </w:r>
          </w:p>
        </w:tc>
      </w:tr>
      <w:tr>
        <w:trPr>
          <w:trHeight w:val="255"/>
        </w:trPr>
        <w:tc>
          <w:tcPr>
            <w:tcW w:w="9273" w:type="dxa"/>
            <w:gridSpan w:val="8"/>
            <w:tcBorders>
              <w:top w:val="nil"/>
              <w:left w:val="nil"/>
              <w:bottom w:val="nil"/>
              <w:right w:val="nil"/>
            </w:tcBorders>
            <w:shd w:val="clear" w:color="auto" w:fill="auto"/>
            <w:noWrap/>
            <w:vAlign w:val="bottom"/>
          </w:tcPr>
          <w:p>
            <w:pPr>
              <w:spacing w:after="0" w:line="240" w:lineRule="auto"/>
              <w:jc w:val="both"/>
              <w:rPr>
                <w:rFonts w:ascii="Times New Roman" w:eastAsia="Times New Roman" w:hAnsi="Times New Roman"/>
                <w:noProof/>
                <w:sz w:val="18"/>
                <w:szCs w:val="18"/>
                <w:lang w:eastAsia="en-GB"/>
              </w:rPr>
            </w:pPr>
          </w:p>
          <w:p>
            <w:pPr>
              <w:spacing w:after="0" w:line="240" w:lineRule="auto"/>
              <w:jc w:val="both"/>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f) The transfers into Rural Development (EAFRD) mentioned in notes a) to d) above involve: EUR 4 million transferred annually for the whole period 2014-2020 from the cotton sector (EL) on the basis of Article 66(1) of Regulation (EU) No 1307/2013, EUR 296.3 million set for the voluntary adjustment transferred for the financial year 2014 (UK) on the basis of Article 10b and 10c(2) of Regulation (EC) No 73/2009, EUR 51.6 million for unspent amounts transferred each year for financial years 2014 and 2015 (SE and DE) on the basis of Articles 136 and 136b of Regulation (EC) No 73/2009 and EUR 3577.2 million for the reduction of payments and the flexibility between pillars on the basis of Articles</w:t>
            </w:r>
            <w:r>
              <w:rPr>
                <w:noProof/>
              </w:rPr>
              <w:t xml:space="preserve"> </w:t>
            </w:r>
            <w:r>
              <w:rPr>
                <w:rFonts w:ascii="Times New Roman" w:eastAsia="Times New Roman" w:hAnsi="Times New Roman"/>
                <w:noProof/>
                <w:sz w:val="18"/>
                <w:szCs w:val="18"/>
                <w:lang w:eastAsia="en-GB"/>
              </w:rPr>
              <w:t>7(2) and 14(1) of Regulation (EU) No 1307/2013</w:t>
            </w:r>
          </w:p>
          <w:p>
            <w:pPr>
              <w:spacing w:after="0" w:line="240" w:lineRule="auto"/>
              <w:jc w:val="both"/>
              <w:rPr>
                <w:rFonts w:ascii="Times New Roman" w:eastAsia="Times New Roman" w:hAnsi="Times New Roman"/>
                <w:noProof/>
                <w:sz w:val="18"/>
                <w:szCs w:val="18"/>
                <w:lang w:eastAsia="en-GB"/>
              </w:rPr>
            </w:pPr>
          </w:p>
        </w:tc>
      </w:tr>
    </w:tbl>
    <w:p>
      <w:pPr>
        <w:keepNext/>
        <w:tabs>
          <w:tab w:val="left" w:pos="850"/>
        </w:tabs>
        <w:spacing w:before="240" w:after="120" w:line="240" w:lineRule="auto"/>
        <w:ind w:left="850" w:hanging="850"/>
        <w:jc w:val="both"/>
        <w:outlineLvl w:val="1"/>
        <w:rPr>
          <w:rFonts w:ascii="Times New Roman" w:eastAsia="Times New Roman" w:hAnsi="Times New Roman"/>
          <w:b/>
          <w:noProof/>
          <w:sz w:val="24"/>
          <w:lang w:eastAsia="en-GB"/>
        </w:rPr>
      </w:pPr>
      <w:bookmarkStart w:id="10" w:name="_Toc485997128"/>
      <w:r>
        <w:rPr>
          <w:rFonts w:ascii="Times New Roman" w:eastAsia="Times New Roman" w:hAnsi="Times New Roman"/>
          <w:b/>
          <w:noProof/>
          <w:sz w:val="24"/>
          <w:lang w:eastAsia="en-GB"/>
        </w:rPr>
        <w:t>1.2.</w:t>
      </w:r>
      <w:r>
        <w:rPr>
          <w:rFonts w:ascii="Times New Roman" w:eastAsia="Times New Roman" w:hAnsi="Times New Roman"/>
          <w:b/>
          <w:noProof/>
          <w:sz w:val="24"/>
          <w:lang w:eastAsia="en-GB"/>
        </w:rPr>
        <w:tab/>
        <w:t xml:space="preserve">Draft Budget (DB) </w:t>
      </w:r>
      <w:bookmarkEnd w:id="8"/>
      <w:r>
        <w:rPr>
          <w:rFonts w:ascii="Times New Roman" w:eastAsia="Times New Roman" w:hAnsi="Times New Roman"/>
          <w:b/>
          <w:noProof/>
          <w:sz w:val="24"/>
          <w:lang w:eastAsia="en-GB"/>
        </w:rPr>
        <w:t>2016</w:t>
      </w:r>
      <w:bookmarkEnd w:id="9"/>
      <w:bookmarkEnd w:id="10"/>
    </w:p>
    <w:p>
      <w:pPr>
        <w:spacing w:before="120" w:after="120" w:line="240" w:lineRule="auto"/>
        <w:ind w:left="850" w:right="71"/>
        <w:jc w:val="both"/>
        <w:rPr>
          <w:rFonts w:ascii="Times New Roman" w:eastAsia="Times New Roman" w:hAnsi="Times New Roman"/>
          <w:noProof/>
          <w:sz w:val="24"/>
          <w:lang w:eastAsia="en-GB"/>
        </w:rPr>
      </w:pPr>
      <w:r>
        <w:rPr>
          <w:rFonts w:ascii="Times New Roman" w:eastAsia="Times New Roman" w:hAnsi="Times New Roman"/>
          <w:noProof/>
          <w:sz w:val="24"/>
          <w:lang w:eastAsia="en-GB"/>
        </w:rPr>
        <w:t>The 2016 Draft Budget (DB) was adopted by the Commission and proposed to the Budgetary Authority on 24 June 2015.</w:t>
      </w:r>
    </w:p>
    <w:p>
      <w:pPr>
        <w:spacing w:before="120" w:after="120" w:line="240" w:lineRule="auto"/>
        <w:ind w:left="850" w:right="71"/>
        <w:jc w:val="both"/>
        <w:rPr>
          <w:rFonts w:ascii="Times New Roman" w:eastAsia="Times New Roman" w:hAnsi="Times New Roman"/>
          <w:noProof/>
          <w:sz w:val="24"/>
          <w:lang w:eastAsia="en-GB"/>
        </w:rPr>
      </w:pPr>
      <w:r>
        <w:rPr>
          <w:rFonts w:ascii="Times New Roman" w:eastAsia="Times New Roman" w:hAnsi="Times New Roman"/>
          <w:noProof/>
          <w:sz w:val="24"/>
          <w:lang w:eastAsia="en-GB"/>
        </w:rPr>
        <w:t>The Draft Budget included EUR 3 268 million in payment appropriations for the European Agricultural Fund for Rural Development (EAFRD) for the 2007-2013 programming period.</w:t>
      </w:r>
      <w:bookmarkStart w:id="11" w:name="OLE_LINK6"/>
      <w:r>
        <w:rPr>
          <w:rFonts w:ascii="Times New Roman" w:eastAsia="Times New Roman" w:hAnsi="Times New Roman"/>
          <w:noProof/>
          <w:sz w:val="24"/>
          <w:lang w:eastAsia="en-GB"/>
        </w:rPr>
        <w:t xml:space="preserve"> No commitment appropriations were requested for year 2016 as the 2007-2013 programming period ended at the end of 2013. For the programming period 2014-2020, the DB 2016 included EUR 18 672 million in commitment appropriations and EUR 8 594 million in payment appropriations.</w:t>
      </w:r>
    </w:p>
    <w:p>
      <w:pPr>
        <w:spacing w:before="120" w:after="120" w:line="240" w:lineRule="auto"/>
        <w:ind w:left="850"/>
        <w:jc w:val="both"/>
        <w:rPr>
          <w:rFonts w:ascii="Times New Roman" w:eastAsia="Times New Roman" w:hAnsi="Times New Roman"/>
          <w:noProof/>
          <w:sz w:val="24"/>
          <w:lang w:eastAsia="en-GB"/>
        </w:rPr>
      </w:pPr>
    </w:p>
    <w:p>
      <w:pPr>
        <w:spacing w:before="120" w:after="120" w:line="240" w:lineRule="auto"/>
        <w:ind w:left="850"/>
        <w:jc w:val="both"/>
        <w:rPr>
          <w:rFonts w:ascii="Times New Roman" w:eastAsia="Times New Roman" w:hAnsi="Times New Roman"/>
          <w:noProof/>
          <w:sz w:val="24"/>
          <w:lang w:eastAsia="en-GB"/>
        </w:rPr>
      </w:pPr>
      <w:r>
        <w:rPr>
          <w:rFonts w:ascii="Times New Roman" w:eastAsia="Times New Roman" w:hAnsi="Times New Roman"/>
          <w:noProof/>
          <w:sz w:val="24"/>
          <w:lang w:eastAsia="en-GB"/>
        </w:rPr>
        <w:t>Table 2</w:t>
      </w:r>
    </w:p>
    <w:tbl>
      <w:tblPr>
        <w:tblW w:w="8160"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1920"/>
        <w:gridCol w:w="1920"/>
      </w:tblGrid>
      <w:tr>
        <w:trPr>
          <w:trHeight w:val="464"/>
        </w:trPr>
        <w:tc>
          <w:tcPr>
            <w:tcW w:w="8160" w:type="dxa"/>
            <w:gridSpan w:val="3"/>
            <w:tcBorders>
              <w:bottom w:val="single" w:sz="4" w:space="0" w:color="auto"/>
            </w:tcBorders>
            <w:shd w:val="clear" w:color="auto" w:fill="FFFF99"/>
            <w:vAlign w:val="center"/>
          </w:tcPr>
          <w:p>
            <w:pPr>
              <w:autoSpaceDE w:val="0"/>
              <w:autoSpaceDN w:val="0"/>
              <w:adjustRightInd w:val="0"/>
              <w:spacing w:after="0" w:line="240" w:lineRule="auto"/>
              <w:jc w:val="center"/>
              <w:rPr>
                <w:rFonts w:ascii="Times New Roman" w:eastAsia="Times New Roman" w:hAnsi="Times New Roman"/>
                <w:b/>
                <w:noProof/>
                <w:lang w:eastAsia="en-GB"/>
              </w:rPr>
            </w:pPr>
            <w:r>
              <w:rPr>
                <w:rFonts w:ascii="Times New Roman" w:eastAsia="Times New Roman" w:hAnsi="Times New Roman"/>
                <w:b/>
                <w:noProof/>
                <w:lang w:eastAsia="en-GB"/>
              </w:rPr>
              <w:t>Draft Budget 2016</w:t>
            </w:r>
          </w:p>
        </w:tc>
      </w:tr>
      <w:tr>
        <w:trPr>
          <w:trHeight w:val="763"/>
        </w:trPr>
        <w:tc>
          <w:tcPr>
            <w:tcW w:w="4320" w:type="dxa"/>
            <w:tcBorders>
              <w:bottom w:val="single" w:sz="4" w:space="0" w:color="auto"/>
            </w:tcBorders>
            <w:shd w:val="clear" w:color="auto" w:fill="FFFF99"/>
            <w:vAlign w:val="center"/>
          </w:tcPr>
          <w:p>
            <w:pPr>
              <w:autoSpaceDE w:val="0"/>
              <w:autoSpaceDN w:val="0"/>
              <w:adjustRightInd w:val="0"/>
              <w:spacing w:after="0" w:line="240" w:lineRule="auto"/>
              <w:rPr>
                <w:rFonts w:ascii="Times New Roman" w:eastAsia="Times New Roman" w:hAnsi="Times New Roman"/>
                <w:b/>
                <w:noProof/>
                <w:lang w:eastAsia="en-GB"/>
              </w:rPr>
            </w:pPr>
            <w:r>
              <w:rPr>
                <w:rFonts w:ascii="Times New Roman" w:eastAsia="Times New Roman" w:hAnsi="Times New Roman"/>
                <w:b/>
                <w:noProof/>
                <w:lang w:eastAsia="en-GB"/>
              </w:rPr>
              <w:t>Budget Item</w:t>
            </w:r>
          </w:p>
        </w:tc>
        <w:tc>
          <w:tcPr>
            <w:tcW w:w="1920" w:type="dxa"/>
            <w:tcBorders>
              <w:bottom w:val="single" w:sz="4" w:space="0" w:color="auto"/>
            </w:tcBorders>
            <w:shd w:val="clear" w:color="auto" w:fill="FFFF99"/>
            <w:vAlign w:val="center"/>
          </w:tcPr>
          <w:p>
            <w:pPr>
              <w:autoSpaceDE w:val="0"/>
              <w:autoSpaceDN w:val="0"/>
              <w:adjustRightInd w:val="0"/>
              <w:spacing w:after="0" w:line="240" w:lineRule="auto"/>
              <w:jc w:val="center"/>
              <w:rPr>
                <w:rFonts w:ascii="Times New Roman" w:eastAsia="Times New Roman" w:hAnsi="Times New Roman"/>
                <w:b/>
                <w:noProof/>
                <w:lang w:eastAsia="en-GB"/>
              </w:rPr>
            </w:pPr>
            <w:r>
              <w:rPr>
                <w:rFonts w:ascii="Times New Roman" w:eastAsia="Times New Roman" w:hAnsi="Times New Roman"/>
                <w:b/>
                <w:noProof/>
                <w:lang w:eastAsia="en-GB"/>
              </w:rPr>
              <w:t>Commitment appropriations</w:t>
            </w:r>
            <w:r>
              <w:rPr>
                <w:rFonts w:ascii="Times New Roman" w:eastAsia="Times New Roman" w:hAnsi="Times New Roman"/>
                <w:b/>
                <w:noProof/>
                <w:lang w:eastAsia="en-GB"/>
              </w:rPr>
              <w:br/>
            </w:r>
            <w:r>
              <w:rPr>
                <w:rFonts w:ascii="Times New Roman" w:eastAsia="Times New Roman" w:hAnsi="Times New Roman"/>
                <w:noProof/>
                <w:sz w:val="18"/>
                <w:szCs w:val="18"/>
                <w:lang w:eastAsia="en-GB"/>
              </w:rPr>
              <w:t>(in EUR)</w:t>
            </w:r>
          </w:p>
        </w:tc>
        <w:tc>
          <w:tcPr>
            <w:tcW w:w="1920" w:type="dxa"/>
            <w:tcBorders>
              <w:bottom w:val="single" w:sz="4" w:space="0" w:color="auto"/>
            </w:tcBorders>
            <w:shd w:val="clear" w:color="auto" w:fill="FFFF99"/>
            <w:vAlign w:val="center"/>
          </w:tcPr>
          <w:p>
            <w:pPr>
              <w:autoSpaceDE w:val="0"/>
              <w:autoSpaceDN w:val="0"/>
              <w:adjustRightInd w:val="0"/>
              <w:spacing w:after="0" w:line="240" w:lineRule="auto"/>
              <w:jc w:val="center"/>
              <w:rPr>
                <w:rFonts w:ascii="Times New Roman" w:eastAsia="Times New Roman" w:hAnsi="Times New Roman"/>
                <w:b/>
                <w:noProof/>
                <w:lang w:eastAsia="en-GB"/>
              </w:rPr>
            </w:pPr>
            <w:r>
              <w:rPr>
                <w:rFonts w:ascii="Times New Roman" w:eastAsia="Times New Roman" w:hAnsi="Times New Roman"/>
                <w:b/>
                <w:noProof/>
                <w:lang w:eastAsia="en-GB"/>
              </w:rPr>
              <w:t>Payment appropriations</w:t>
            </w:r>
            <w:r>
              <w:rPr>
                <w:rFonts w:ascii="Times New Roman" w:eastAsia="Times New Roman" w:hAnsi="Times New Roman"/>
                <w:b/>
                <w:noProof/>
                <w:lang w:eastAsia="en-GB"/>
              </w:rPr>
              <w:br/>
            </w:r>
            <w:r>
              <w:rPr>
                <w:rFonts w:ascii="Times New Roman" w:eastAsia="Times New Roman" w:hAnsi="Times New Roman"/>
                <w:noProof/>
                <w:sz w:val="18"/>
                <w:szCs w:val="18"/>
                <w:lang w:eastAsia="en-GB"/>
              </w:rPr>
              <w:t>(in EUR)</w:t>
            </w:r>
          </w:p>
        </w:tc>
      </w:tr>
      <w:tr>
        <w:trPr>
          <w:trHeight w:val="416"/>
        </w:trPr>
        <w:tc>
          <w:tcPr>
            <w:tcW w:w="8160" w:type="dxa"/>
            <w:gridSpan w:val="3"/>
            <w:shd w:val="clear" w:color="auto" w:fill="auto"/>
            <w:vAlign w:val="center"/>
          </w:tcPr>
          <w:p>
            <w:pPr>
              <w:autoSpaceDE w:val="0"/>
              <w:autoSpaceDN w:val="0"/>
              <w:adjustRightInd w:val="0"/>
              <w:spacing w:after="0" w:line="240" w:lineRule="auto"/>
              <w:jc w:val="center"/>
              <w:rPr>
                <w:rFonts w:ascii="Times New Roman" w:eastAsia="Times New Roman" w:hAnsi="Times New Roman"/>
                <w:b/>
                <w:noProof/>
                <w:lang w:eastAsia="en-GB"/>
              </w:rPr>
            </w:pPr>
            <w:r>
              <w:rPr>
                <w:rFonts w:ascii="Times New Roman" w:eastAsia="Times New Roman" w:hAnsi="Times New Roman"/>
                <w:b/>
                <w:noProof/>
                <w:lang w:eastAsia="en-GB"/>
              </w:rPr>
              <w:t>2007-2013</w:t>
            </w:r>
          </w:p>
        </w:tc>
      </w:tr>
      <w:tr>
        <w:tc>
          <w:tcPr>
            <w:tcW w:w="4320" w:type="dxa"/>
            <w:shd w:val="clear" w:color="auto" w:fill="auto"/>
            <w:vAlign w:val="center"/>
          </w:tcPr>
          <w:p>
            <w:pPr>
              <w:autoSpaceDE w:val="0"/>
              <w:autoSpaceDN w:val="0"/>
              <w:adjustRightInd w:val="0"/>
              <w:spacing w:before="100" w:after="100" w:line="240" w:lineRule="auto"/>
              <w:rPr>
                <w:rFonts w:ascii="Times New Roman" w:eastAsia="Times New Roman" w:hAnsi="Times New Roman"/>
                <w:noProof/>
                <w:lang w:eastAsia="en-GB"/>
              </w:rPr>
            </w:pPr>
            <w:r>
              <w:rPr>
                <w:rFonts w:ascii="Times New Roman" w:eastAsia="Times New Roman" w:hAnsi="Times New Roman"/>
                <w:noProof/>
                <w:lang w:eastAsia="en-GB"/>
              </w:rPr>
              <w:t xml:space="preserve">05.040501 (Rural development programmes) </w:t>
            </w:r>
          </w:p>
        </w:tc>
        <w:tc>
          <w:tcPr>
            <w:tcW w:w="1920" w:type="dxa"/>
            <w:shd w:val="clear" w:color="auto" w:fill="auto"/>
            <w:vAlign w:val="center"/>
          </w:tcPr>
          <w:p>
            <w:pPr>
              <w:autoSpaceDE w:val="0"/>
              <w:autoSpaceDN w:val="0"/>
              <w:adjustRightInd w:val="0"/>
              <w:spacing w:before="100" w:after="100" w:line="240" w:lineRule="auto"/>
              <w:jc w:val="right"/>
              <w:rPr>
                <w:rFonts w:ascii="Times New Roman" w:eastAsia="Times New Roman" w:hAnsi="Times New Roman"/>
                <w:noProof/>
                <w:lang w:eastAsia="en-GB"/>
              </w:rPr>
            </w:pPr>
            <w:r>
              <w:rPr>
                <w:rFonts w:ascii="Times New Roman" w:hAnsi="Times New Roman"/>
                <w:noProof/>
              </w:rPr>
              <w:t>-</w:t>
            </w:r>
          </w:p>
        </w:tc>
        <w:tc>
          <w:tcPr>
            <w:tcW w:w="1920" w:type="dxa"/>
            <w:shd w:val="clear" w:color="auto" w:fill="auto"/>
            <w:vAlign w:val="center"/>
          </w:tcPr>
          <w:p>
            <w:pPr>
              <w:autoSpaceDE w:val="0"/>
              <w:autoSpaceDN w:val="0"/>
              <w:adjustRightInd w:val="0"/>
              <w:spacing w:before="100" w:after="100" w:line="240" w:lineRule="auto"/>
              <w:jc w:val="right"/>
              <w:rPr>
                <w:rFonts w:ascii="Times New Roman" w:eastAsia="Times New Roman" w:hAnsi="Times New Roman"/>
                <w:noProof/>
                <w:lang w:eastAsia="en-GB"/>
              </w:rPr>
            </w:pPr>
            <w:r>
              <w:rPr>
                <w:rFonts w:ascii="Times New Roman" w:eastAsia="Times New Roman" w:hAnsi="Times New Roman"/>
                <w:noProof/>
                <w:lang w:eastAsia="en-GB"/>
              </w:rPr>
              <w:t>3 268 000 000</w:t>
            </w:r>
          </w:p>
        </w:tc>
      </w:tr>
      <w:tr>
        <w:tc>
          <w:tcPr>
            <w:tcW w:w="4320" w:type="dxa"/>
            <w:shd w:val="clear" w:color="auto" w:fill="auto"/>
            <w:vAlign w:val="center"/>
          </w:tcPr>
          <w:p>
            <w:pPr>
              <w:autoSpaceDE w:val="0"/>
              <w:autoSpaceDN w:val="0"/>
              <w:adjustRightInd w:val="0"/>
              <w:spacing w:before="100" w:after="100" w:line="240" w:lineRule="auto"/>
              <w:rPr>
                <w:rFonts w:ascii="Times New Roman" w:eastAsia="Times New Roman" w:hAnsi="Times New Roman"/>
                <w:noProof/>
                <w:lang w:eastAsia="en-GB"/>
              </w:rPr>
            </w:pPr>
            <w:r>
              <w:rPr>
                <w:rFonts w:ascii="Times New Roman" w:eastAsia="Times New Roman" w:hAnsi="Times New Roman"/>
                <w:noProof/>
                <w:lang w:eastAsia="en-GB"/>
              </w:rPr>
              <w:t>05.040502 (Operational technical assistance)</w:t>
            </w:r>
          </w:p>
        </w:tc>
        <w:tc>
          <w:tcPr>
            <w:tcW w:w="1920" w:type="dxa"/>
            <w:shd w:val="clear" w:color="auto" w:fill="auto"/>
            <w:vAlign w:val="center"/>
          </w:tcPr>
          <w:p>
            <w:pPr>
              <w:autoSpaceDE w:val="0"/>
              <w:autoSpaceDN w:val="0"/>
              <w:adjustRightInd w:val="0"/>
              <w:spacing w:before="100" w:after="100" w:line="240" w:lineRule="auto"/>
              <w:jc w:val="right"/>
              <w:rPr>
                <w:rFonts w:ascii="Times New Roman" w:eastAsia="Times New Roman" w:hAnsi="Times New Roman"/>
                <w:noProof/>
                <w:lang w:eastAsia="en-GB"/>
              </w:rPr>
            </w:pPr>
            <w:r>
              <w:rPr>
                <w:rFonts w:ascii="Times New Roman" w:hAnsi="Times New Roman"/>
                <w:noProof/>
              </w:rPr>
              <w:t>-</w:t>
            </w:r>
          </w:p>
        </w:tc>
        <w:tc>
          <w:tcPr>
            <w:tcW w:w="1920" w:type="dxa"/>
            <w:shd w:val="clear" w:color="auto" w:fill="auto"/>
            <w:vAlign w:val="center"/>
          </w:tcPr>
          <w:p>
            <w:pPr>
              <w:autoSpaceDE w:val="0"/>
              <w:autoSpaceDN w:val="0"/>
              <w:adjustRightInd w:val="0"/>
              <w:spacing w:before="100" w:after="100" w:line="240" w:lineRule="auto"/>
              <w:jc w:val="right"/>
              <w:rPr>
                <w:rFonts w:ascii="Times New Roman" w:eastAsia="Times New Roman" w:hAnsi="Times New Roman"/>
                <w:noProof/>
                <w:lang w:eastAsia="en-GB"/>
              </w:rPr>
            </w:pPr>
            <w:r>
              <w:rPr>
                <w:rFonts w:ascii="Times New Roman" w:eastAsia="Times New Roman" w:hAnsi="Times New Roman"/>
                <w:noProof/>
                <w:lang w:eastAsia="en-GB"/>
              </w:rPr>
              <w:t>-</w:t>
            </w:r>
          </w:p>
        </w:tc>
      </w:tr>
      <w:tr>
        <w:trPr>
          <w:trHeight w:val="296"/>
        </w:trPr>
        <w:tc>
          <w:tcPr>
            <w:tcW w:w="8160" w:type="dxa"/>
            <w:gridSpan w:val="3"/>
            <w:shd w:val="clear" w:color="auto" w:fill="auto"/>
            <w:vAlign w:val="center"/>
          </w:tcPr>
          <w:p>
            <w:pPr>
              <w:autoSpaceDE w:val="0"/>
              <w:autoSpaceDN w:val="0"/>
              <w:adjustRightInd w:val="0"/>
              <w:spacing w:before="100" w:after="100" w:line="240" w:lineRule="auto"/>
              <w:jc w:val="center"/>
              <w:rPr>
                <w:noProof/>
              </w:rPr>
            </w:pPr>
            <w:r>
              <w:rPr>
                <w:rFonts w:ascii="Times New Roman" w:eastAsia="Times New Roman" w:hAnsi="Times New Roman"/>
                <w:b/>
                <w:noProof/>
                <w:lang w:eastAsia="en-GB"/>
              </w:rPr>
              <w:t>2014-2020</w:t>
            </w:r>
          </w:p>
        </w:tc>
      </w:tr>
      <w:tr>
        <w:tc>
          <w:tcPr>
            <w:tcW w:w="4320" w:type="dxa"/>
            <w:shd w:val="clear" w:color="auto" w:fill="auto"/>
            <w:vAlign w:val="center"/>
          </w:tcPr>
          <w:p>
            <w:pPr>
              <w:autoSpaceDE w:val="0"/>
              <w:autoSpaceDN w:val="0"/>
              <w:adjustRightInd w:val="0"/>
              <w:spacing w:before="100" w:after="100" w:line="240" w:lineRule="auto"/>
              <w:rPr>
                <w:rFonts w:ascii="Times New Roman" w:eastAsia="Times New Roman" w:hAnsi="Times New Roman"/>
                <w:noProof/>
                <w:lang w:eastAsia="en-GB"/>
              </w:rPr>
            </w:pPr>
            <w:r>
              <w:rPr>
                <w:rFonts w:ascii="Times New Roman" w:eastAsia="Times New Roman" w:hAnsi="Times New Roman"/>
                <w:noProof/>
                <w:lang w:eastAsia="en-GB"/>
              </w:rPr>
              <w:t>05.046001 (Rural development programmes)</w:t>
            </w:r>
          </w:p>
        </w:tc>
        <w:tc>
          <w:tcPr>
            <w:tcW w:w="1920" w:type="dxa"/>
            <w:shd w:val="clear" w:color="auto" w:fill="auto"/>
            <w:vAlign w:val="center"/>
          </w:tcPr>
          <w:p>
            <w:pPr>
              <w:autoSpaceDE w:val="0"/>
              <w:autoSpaceDN w:val="0"/>
              <w:adjustRightInd w:val="0"/>
              <w:spacing w:before="100" w:after="100" w:line="240" w:lineRule="auto"/>
              <w:jc w:val="right"/>
              <w:rPr>
                <w:noProof/>
              </w:rPr>
            </w:pPr>
            <w:r>
              <w:rPr>
                <w:rFonts w:ascii="Times New Roman" w:hAnsi="Times New Roman"/>
                <w:noProof/>
              </w:rPr>
              <w:t>18 650 559 495</w:t>
            </w:r>
          </w:p>
        </w:tc>
        <w:tc>
          <w:tcPr>
            <w:tcW w:w="1920" w:type="dxa"/>
            <w:shd w:val="clear" w:color="auto" w:fill="auto"/>
            <w:vAlign w:val="center"/>
          </w:tcPr>
          <w:p>
            <w:pPr>
              <w:autoSpaceDE w:val="0"/>
              <w:autoSpaceDN w:val="0"/>
              <w:adjustRightInd w:val="0"/>
              <w:spacing w:before="100" w:after="100" w:line="240" w:lineRule="auto"/>
              <w:jc w:val="right"/>
              <w:rPr>
                <w:noProof/>
              </w:rPr>
            </w:pPr>
            <w:r>
              <w:rPr>
                <w:rFonts w:ascii="Times New Roman" w:hAnsi="Times New Roman"/>
                <w:noProof/>
              </w:rPr>
              <w:t>8 574 000 000</w:t>
            </w:r>
          </w:p>
        </w:tc>
      </w:tr>
      <w:tr>
        <w:tc>
          <w:tcPr>
            <w:tcW w:w="4320" w:type="dxa"/>
            <w:shd w:val="clear" w:color="auto" w:fill="auto"/>
            <w:vAlign w:val="center"/>
          </w:tcPr>
          <w:p>
            <w:pPr>
              <w:autoSpaceDE w:val="0"/>
              <w:autoSpaceDN w:val="0"/>
              <w:adjustRightInd w:val="0"/>
              <w:spacing w:before="100" w:after="100" w:line="240" w:lineRule="auto"/>
              <w:rPr>
                <w:rFonts w:ascii="Times New Roman" w:eastAsia="Times New Roman" w:hAnsi="Times New Roman"/>
                <w:noProof/>
                <w:lang w:eastAsia="en-GB"/>
              </w:rPr>
            </w:pPr>
            <w:r>
              <w:rPr>
                <w:rFonts w:ascii="Times New Roman" w:eastAsia="Times New Roman" w:hAnsi="Times New Roman"/>
                <w:noProof/>
                <w:lang w:eastAsia="en-GB"/>
              </w:rPr>
              <w:t>05.046002 (Operational technical assistance)</w:t>
            </w:r>
          </w:p>
        </w:tc>
        <w:tc>
          <w:tcPr>
            <w:tcW w:w="1920" w:type="dxa"/>
            <w:shd w:val="clear" w:color="auto" w:fill="auto"/>
            <w:vAlign w:val="center"/>
          </w:tcPr>
          <w:p>
            <w:pPr>
              <w:autoSpaceDE w:val="0"/>
              <w:autoSpaceDN w:val="0"/>
              <w:adjustRightInd w:val="0"/>
              <w:spacing w:before="100" w:after="100" w:line="240" w:lineRule="auto"/>
              <w:jc w:val="right"/>
              <w:rPr>
                <w:noProof/>
              </w:rPr>
            </w:pPr>
            <w:r>
              <w:rPr>
                <w:rFonts w:ascii="Times New Roman" w:hAnsi="Times New Roman"/>
                <w:noProof/>
              </w:rPr>
              <w:t>21 363 000</w:t>
            </w:r>
          </w:p>
        </w:tc>
        <w:tc>
          <w:tcPr>
            <w:tcW w:w="1920" w:type="dxa"/>
            <w:shd w:val="clear" w:color="auto" w:fill="auto"/>
            <w:vAlign w:val="center"/>
          </w:tcPr>
          <w:p>
            <w:pPr>
              <w:autoSpaceDE w:val="0"/>
              <w:autoSpaceDN w:val="0"/>
              <w:adjustRightInd w:val="0"/>
              <w:spacing w:before="100" w:after="100" w:line="240" w:lineRule="auto"/>
              <w:jc w:val="right"/>
              <w:rPr>
                <w:noProof/>
              </w:rPr>
            </w:pPr>
            <w:r>
              <w:rPr>
                <w:rFonts w:ascii="Times New Roman" w:hAnsi="Times New Roman"/>
                <w:noProof/>
              </w:rPr>
              <w:t>20 025 443</w:t>
            </w:r>
          </w:p>
        </w:tc>
      </w:tr>
      <w:bookmarkEnd w:id="11"/>
    </w:tbl>
    <w:p>
      <w:pPr>
        <w:spacing w:before="120" w:after="120" w:line="240" w:lineRule="auto"/>
        <w:ind w:left="850" w:right="749"/>
        <w:jc w:val="both"/>
        <w:rPr>
          <w:rFonts w:ascii="Times New Roman" w:eastAsia="Times New Roman" w:hAnsi="Times New Roman"/>
          <w:noProof/>
          <w:sz w:val="24"/>
          <w:lang w:eastAsia="en-GB"/>
        </w:rPr>
      </w:pPr>
    </w:p>
    <w:p>
      <w:pPr>
        <w:spacing w:before="120" w:after="120" w:line="240" w:lineRule="auto"/>
        <w:ind w:left="850" w:right="71"/>
        <w:jc w:val="both"/>
        <w:rPr>
          <w:rFonts w:ascii="Times New Roman" w:eastAsia="Times New Roman" w:hAnsi="Times New Roman"/>
          <w:noProof/>
          <w:sz w:val="24"/>
          <w:lang w:eastAsia="en-GB"/>
        </w:rPr>
      </w:pPr>
      <w:r>
        <w:rPr>
          <w:rFonts w:ascii="Times New Roman" w:eastAsia="Times New Roman" w:hAnsi="Times New Roman"/>
          <w:noProof/>
          <w:sz w:val="24"/>
          <w:lang w:eastAsia="en-GB"/>
        </w:rPr>
        <w:t>The Council adopted its position on the 2016 Draft Budget on 4 September 2015 and the European Parliament adopted its position on 28 October 2015. The Conciliation Committee had to be convened and the Committee agreed on a joint text within the 21-day time limit. The Council approved the joint text on 24 November 2015 and the European Parliament approved it on 25 November 2015,</w:t>
      </w:r>
    </w:p>
    <w:p>
      <w:pPr>
        <w:spacing w:before="120" w:after="120" w:line="240" w:lineRule="auto"/>
        <w:ind w:left="850" w:right="71"/>
        <w:jc w:val="both"/>
        <w:rPr>
          <w:rFonts w:ascii="Times New Roman" w:eastAsia="Times New Roman" w:hAnsi="Times New Roman"/>
          <w:noProof/>
          <w:sz w:val="24"/>
          <w:lang w:eastAsia="en-GB"/>
        </w:rPr>
      </w:pPr>
      <w:r>
        <w:rPr>
          <w:rFonts w:ascii="Times New Roman" w:eastAsia="Times New Roman" w:hAnsi="Times New Roman"/>
          <w:noProof/>
          <w:sz w:val="24"/>
          <w:lang w:eastAsia="en-GB"/>
        </w:rPr>
        <w:t>The 2016 budget was finally adopted on 25 November 2015 decreasing EAFRD payment appropriations by EUR 120 million, of which EUR 33 million for the 2007-2013 programming period and EUR 87 million for the 2014-2020 period.</w:t>
      </w:r>
    </w:p>
    <w:p>
      <w:pPr>
        <w:keepNext/>
        <w:tabs>
          <w:tab w:val="left" w:pos="850"/>
        </w:tabs>
        <w:spacing w:before="240" w:after="120" w:line="240" w:lineRule="auto"/>
        <w:ind w:left="850" w:hanging="850"/>
        <w:jc w:val="both"/>
        <w:outlineLvl w:val="1"/>
        <w:rPr>
          <w:rFonts w:ascii="Times New Roman" w:eastAsia="Times New Roman" w:hAnsi="Times New Roman"/>
          <w:b/>
          <w:noProof/>
          <w:sz w:val="24"/>
          <w:lang w:eastAsia="en-GB"/>
        </w:rPr>
      </w:pPr>
      <w:bookmarkStart w:id="12" w:name="_Toc331167061"/>
      <w:bookmarkStart w:id="13" w:name="_Toc393127468"/>
      <w:bookmarkStart w:id="14" w:name="_Toc485997129"/>
      <w:r>
        <w:rPr>
          <w:rFonts w:ascii="Times New Roman" w:eastAsia="Times New Roman" w:hAnsi="Times New Roman"/>
          <w:b/>
          <w:noProof/>
          <w:sz w:val="24"/>
          <w:lang w:eastAsia="en-GB"/>
        </w:rPr>
        <w:t>1.3.</w:t>
      </w:r>
      <w:r>
        <w:rPr>
          <w:rFonts w:ascii="Times New Roman" w:eastAsia="Times New Roman" w:hAnsi="Times New Roman"/>
          <w:b/>
          <w:noProof/>
          <w:sz w:val="24"/>
          <w:lang w:eastAsia="en-GB"/>
        </w:rPr>
        <w:tab/>
        <w:t>The adoption of the 2016 Budget</w:t>
      </w:r>
      <w:bookmarkEnd w:id="12"/>
      <w:bookmarkEnd w:id="13"/>
      <w:bookmarkEnd w:id="14"/>
    </w:p>
    <w:p>
      <w:pPr>
        <w:spacing w:before="120" w:after="120" w:line="240" w:lineRule="auto"/>
        <w:ind w:left="850" w:right="71"/>
        <w:jc w:val="both"/>
        <w:rPr>
          <w:rFonts w:ascii="Times New Roman" w:eastAsia="Times New Roman" w:hAnsi="Times New Roman"/>
          <w:noProof/>
          <w:sz w:val="24"/>
          <w:lang w:eastAsia="en-GB"/>
        </w:rPr>
      </w:pPr>
      <w:r>
        <w:rPr>
          <w:rFonts w:ascii="Times New Roman" w:eastAsia="Times New Roman" w:hAnsi="Times New Roman"/>
          <w:noProof/>
          <w:sz w:val="24"/>
          <w:lang w:eastAsia="en-GB"/>
        </w:rPr>
        <w:t>The 2016 Budget adopted on 25 November 2015 included for the EAFRD in chapter 05 04 an amount of EUR 3 235 million in payment appropriations for the programming period 2007-2013 and EUR 18 672 million in commitment appropriations and EUR 8 507 million in payment appropriations for the period 2014-2020.</w:t>
      </w:r>
    </w:p>
    <w:p>
      <w:pPr>
        <w:spacing w:before="120" w:after="120" w:line="240" w:lineRule="auto"/>
        <w:ind w:left="850" w:right="71"/>
        <w:jc w:val="both"/>
        <w:rPr>
          <w:rFonts w:ascii="Times New Roman" w:eastAsia="Times New Roman" w:hAnsi="Times New Roman"/>
          <w:noProof/>
          <w:sz w:val="24"/>
          <w:lang w:eastAsia="en-GB"/>
        </w:rPr>
      </w:pPr>
      <w:r>
        <w:rPr>
          <w:rFonts w:ascii="Times New Roman" w:eastAsia="Times New Roman" w:hAnsi="Times New Roman"/>
          <w:noProof/>
          <w:sz w:val="24"/>
          <w:lang w:eastAsia="en-GB"/>
        </w:rPr>
        <w:br w:type="page"/>
      </w:r>
      <w:bookmarkStart w:id="15" w:name="OLE_LINK7"/>
      <w:r>
        <w:rPr>
          <w:rFonts w:ascii="Times New Roman" w:eastAsia="Times New Roman" w:hAnsi="Times New Roman"/>
          <w:noProof/>
          <w:sz w:val="24"/>
          <w:lang w:eastAsia="en-GB"/>
        </w:rPr>
        <w:t>Table 3</w:t>
      </w:r>
    </w:p>
    <w:tbl>
      <w:tblPr>
        <w:tblW w:w="8148" w:type="dxa"/>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8"/>
        <w:gridCol w:w="1780"/>
        <w:gridCol w:w="20"/>
        <w:gridCol w:w="2020"/>
      </w:tblGrid>
      <w:tr>
        <w:trPr>
          <w:trHeight w:val="763"/>
        </w:trPr>
        <w:tc>
          <w:tcPr>
            <w:tcW w:w="8148" w:type="dxa"/>
            <w:gridSpan w:val="4"/>
            <w:shd w:val="clear" w:color="auto" w:fill="FFFF99"/>
            <w:vAlign w:val="center"/>
          </w:tcPr>
          <w:p>
            <w:pPr>
              <w:keepNext/>
              <w:autoSpaceDE w:val="0"/>
              <w:autoSpaceDN w:val="0"/>
              <w:adjustRightInd w:val="0"/>
              <w:spacing w:after="0" w:line="240" w:lineRule="auto"/>
              <w:jc w:val="center"/>
              <w:rPr>
                <w:rFonts w:ascii="Times New Roman" w:eastAsia="Times New Roman" w:hAnsi="Times New Roman"/>
                <w:b/>
                <w:noProof/>
                <w:lang w:eastAsia="en-GB"/>
              </w:rPr>
            </w:pPr>
            <w:r>
              <w:rPr>
                <w:rFonts w:ascii="Times New Roman" w:eastAsia="Times New Roman" w:hAnsi="Times New Roman"/>
                <w:b/>
                <w:noProof/>
                <w:lang w:eastAsia="en-GB"/>
              </w:rPr>
              <w:t>Adopted Budget 2016</w:t>
            </w:r>
          </w:p>
        </w:tc>
      </w:tr>
      <w:tr>
        <w:trPr>
          <w:trHeight w:val="763"/>
        </w:trPr>
        <w:tc>
          <w:tcPr>
            <w:tcW w:w="4328" w:type="dxa"/>
            <w:tcBorders>
              <w:bottom w:val="single" w:sz="4" w:space="0" w:color="auto"/>
            </w:tcBorders>
            <w:shd w:val="clear" w:color="auto" w:fill="FFFF99"/>
            <w:vAlign w:val="center"/>
          </w:tcPr>
          <w:p>
            <w:pPr>
              <w:autoSpaceDE w:val="0"/>
              <w:autoSpaceDN w:val="0"/>
              <w:adjustRightInd w:val="0"/>
              <w:spacing w:after="0" w:line="240" w:lineRule="auto"/>
              <w:rPr>
                <w:rFonts w:ascii="Times New Roman" w:eastAsia="Times New Roman" w:hAnsi="Times New Roman"/>
                <w:b/>
                <w:noProof/>
                <w:lang w:eastAsia="en-GB"/>
              </w:rPr>
            </w:pPr>
            <w:r>
              <w:rPr>
                <w:rFonts w:ascii="Times New Roman" w:eastAsia="Times New Roman" w:hAnsi="Times New Roman"/>
                <w:b/>
                <w:noProof/>
                <w:lang w:eastAsia="en-GB"/>
              </w:rPr>
              <w:t>Budget Item</w:t>
            </w:r>
          </w:p>
        </w:tc>
        <w:tc>
          <w:tcPr>
            <w:tcW w:w="1780" w:type="dxa"/>
            <w:tcBorders>
              <w:bottom w:val="single" w:sz="4" w:space="0" w:color="auto"/>
            </w:tcBorders>
            <w:shd w:val="clear" w:color="auto" w:fill="FFFF99"/>
            <w:vAlign w:val="center"/>
          </w:tcPr>
          <w:p>
            <w:pPr>
              <w:keepNext/>
              <w:autoSpaceDE w:val="0"/>
              <w:autoSpaceDN w:val="0"/>
              <w:adjustRightInd w:val="0"/>
              <w:spacing w:after="0" w:line="240" w:lineRule="auto"/>
              <w:jc w:val="center"/>
              <w:rPr>
                <w:rFonts w:ascii="Times New Roman" w:eastAsia="Times New Roman" w:hAnsi="Times New Roman"/>
                <w:b/>
                <w:noProof/>
                <w:lang w:eastAsia="en-GB"/>
              </w:rPr>
            </w:pPr>
            <w:r>
              <w:rPr>
                <w:rFonts w:ascii="Times New Roman" w:eastAsia="Times New Roman" w:hAnsi="Times New Roman"/>
                <w:b/>
                <w:noProof/>
                <w:lang w:eastAsia="en-GB"/>
              </w:rPr>
              <w:t>Commitment appropriations</w:t>
            </w:r>
            <w:r>
              <w:rPr>
                <w:rFonts w:ascii="Times New Roman" w:eastAsia="Times New Roman" w:hAnsi="Times New Roman"/>
                <w:b/>
                <w:noProof/>
                <w:lang w:eastAsia="en-GB"/>
              </w:rPr>
              <w:br/>
            </w:r>
            <w:r>
              <w:rPr>
                <w:rFonts w:ascii="Times New Roman" w:eastAsia="Times New Roman" w:hAnsi="Times New Roman"/>
                <w:noProof/>
                <w:sz w:val="18"/>
                <w:szCs w:val="18"/>
                <w:lang w:eastAsia="en-GB"/>
              </w:rPr>
              <w:t>(in EUR)</w:t>
            </w:r>
          </w:p>
        </w:tc>
        <w:tc>
          <w:tcPr>
            <w:tcW w:w="2040" w:type="dxa"/>
            <w:gridSpan w:val="2"/>
            <w:tcBorders>
              <w:bottom w:val="single" w:sz="4" w:space="0" w:color="auto"/>
            </w:tcBorders>
            <w:shd w:val="clear" w:color="auto" w:fill="FFFF99"/>
            <w:vAlign w:val="center"/>
          </w:tcPr>
          <w:p>
            <w:pPr>
              <w:autoSpaceDE w:val="0"/>
              <w:autoSpaceDN w:val="0"/>
              <w:adjustRightInd w:val="0"/>
              <w:spacing w:after="0" w:line="240" w:lineRule="auto"/>
              <w:jc w:val="center"/>
              <w:rPr>
                <w:rFonts w:ascii="Times New Roman" w:eastAsia="Times New Roman" w:hAnsi="Times New Roman"/>
                <w:b/>
                <w:noProof/>
                <w:lang w:eastAsia="en-GB"/>
              </w:rPr>
            </w:pPr>
            <w:r>
              <w:rPr>
                <w:rFonts w:ascii="Times New Roman" w:eastAsia="Times New Roman" w:hAnsi="Times New Roman"/>
                <w:b/>
                <w:noProof/>
                <w:lang w:eastAsia="en-GB"/>
              </w:rPr>
              <w:t>Payment appropriations</w:t>
            </w:r>
            <w:r>
              <w:rPr>
                <w:rFonts w:ascii="Times New Roman" w:eastAsia="Times New Roman" w:hAnsi="Times New Roman"/>
                <w:b/>
                <w:noProof/>
                <w:lang w:eastAsia="en-GB"/>
              </w:rPr>
              <w:br/>
            </w:r>
            <w:r>
              <w:rPr>
                <w:rFonts w:ascii="Times New Roman" w:eastAsia="Times New Roman" w:hAnsi="Times New Roman"/>
                <w:noProof/>
                <w:sz w:val="18"/>
                <w:szCs w:val="18"/>
                <w:lang w:eastAsia="en-GB"/>
              </w:rPr>
              <w:t>(in EUR)</w:t>
            </w:r>
          </w:p>
        </w:tc>
      </w:tr>
      <w:tr>
        <w:trPr>
          <w:trHeight w:val="452"/>
        </w:trPr>
        <w:tc>
          <w:tcPr>
            <w:tcW w:w="8148" w:type="dxa"/>
            <w:gridSpan w:val="4"/>
            <w:shd w:val="clear" w:color="auto" w:fill="auto"/>
            <w:vAlign w:val="center"/>
          </w:tcPr>
          <w:p>
            <w:pPr>
              <w:autoSpaceDE w:val="0"/>
              <w:autoSpaceDN w:val="0"/>
              <w:adjustRightInd w:val="0"/>
              <w:spacing w:after="0" w:line="240" w:lineRule="auto"/>
              <w:jc w:val="center"/>
              <w:rPr>
                <w:rFonts w:ascii="Times New Roman" w:eastAsia="Times New Roman" w:hAnsi="Times New Roman"/>
                <w:b/>
                <w:noProof/>
                <w:lang w:eastAsia="en-GB"/>
              </w:rPr>
            </w:pPr>
            <w:r>
              <w:rPr>
                <w:rFonts w:ascii="Times New Roman" w:eastAsia="Times New Roman" w:hAnsi="Times New Roman"/>
                <w:b/>
                <w:noProof/>
                <w:lang w:eastAsia="en-GB"/>
              </w:rPr>
              <w:t>2007-2013</w:t>
            </w:r>
          </w:p>
        </w:tc>
      </w:tr>
      <w:tr>
        <w:tc>
          <w:tcPr>
            <w:tcW w:w="4328" w:type="dxa"/>
            <w:shd w:val="clear" w:color="auto" w:fill="auto"/>
            <w:vAlign w:val="center"/>
          </w:tcPr>
          <w:p>
            <w:pPr>
              <w:autoSpaceDE w:val="0"/>
              <w:autoSpaceDN w:val="0"/>
              <w:adjustRightInd w:val="0"/>
              <w:spacing w:before="100" w:after="100" w:line="240" w:lineRule="auto"/>
              <w:rPr>
                <w:rFonts w:ascii="Times New Roman" w:eastAsia="Times New Roman" w:hAnsi="Times New Roman"/>
                <w:noProof/>
                <w:lang w:eastAsia="en-GB"/>
              </w:rPr>
            </w:pPr>
            <w:r>
              <w:rPr>
                <w:rFonts w:ascii="Times New Roman" w:eastAsia="Times New Roman" w:hAnsi="Times New Roman"/>
                <w:noProof/>
                <w:lang w:eastAsia="en-GB"/>
              </w:rPr>
              <w:t xml:space="preserve">05.040501 (Rural devevelopment programmes) </w:t>
            </w:r>
          </w:p>
        </w:tc>
        <w:tc>
          <w:tcPr>
            <w:tcW w:w="1780" w:type="dxa"/>
            <w:shd w:val="clear" w:color="auto" w:fill="auto"/>
          </w:tcPr>
          <w:p>
            <w:pPr>
              <w:autoSpaceDE w:val="0"/>
              <w:autoSpaceDN w:val="0"/>
              <w:adjustRightInd w:val="0"/>
              <w:spacing w:before="100" w:after="100" w:line="240" w:lineRule="auto"/>
              <w:jc w:val="right"/>
              <w:rPr>
                <w:rFonts w:ascii="Times New Roman" w:eastAsia="Times New Roman" w:hAnsi="Times New Roman"/>
                <w:noProof/>
                <w:lang w:eastAsia="en-GB"/>
              </w:rPr>
            </w:pPr>
            <w:r>
              <w:rPr>
                <w:rFonts w:ascii="Times New Roman" w:eastAsia="Times New Roman" w:hAnsi="Times New Roman"/>
                <w:noProof/>
                <w:lang w:eastAsia="en-GB"/>
              </w:rPr>
              <w:t xml:space="preserve">- </w:t>
            </w:r>
          </w:p>
        </w:tc>
        <w:tc>
          <w:tcPr>
            <w:tcW w:w="2040" w:type="dxa"/>
            <w:gridSpan w:val="2"/>
            <w:shd w:val="clear" w:color="auto" w:fill="auto"/>
          </w:tcPr>
          <w:p>
            <w:pPr>
              <w:autoSpaceDE w:val="0"/>
              <w:autoSpaceDN w:val="0"/>
              <w:adjustRightInd w:val="0"/>
              <w:spacing w:before="100" w:after="100" w:line="240" w:lineRule="auto"/>
              <w:jc w:val="right"/>
              <w:rPr>
                <w:rFonts w:ascii="Times New Roman" w:eastAsia="Times New Roman" w:hAnsi="Times New Roman"/>
                <w:noProof/>
                <w:lang w:eastAsia="en-GB"/>
              </w:rPr>
            </w:pPr>
            <w:r>
              <w:rPr>
                <w:rFonts w:ascii="Times New Roman" w:eastAsia="Times New Roman" w:hAnsi="Times New Roman"/>
                <w:noProof/>
                <w:lang w:eastAsia="en-GB"/>
              </w:rPr>
              <w:t>3 235 000 000</w:t>
            </w:r>
          </w:p>
        </w:tc>
      </w:tr>
      <w:tr>
        <w:tc>
          <w:tcPr>
            <w:tcW w:w="4328" w:type="dxa"/>
            <w:shd w:val="clear" w:color="auto" w:fill="auto"/>
            <w:vAlign w:val="center"/>
          </w:tcPr>
          <w:p>
            <w:pPr>
              <w:autoSpaceDE w:val="0"/>
              <w:autoSpaceDN w:val="0"/>
              <w:adjustRightInd w:val="0"/>
              <w:spacing w:before="100" w:after="100" w:line="240" w:lineRule="auto"/>
              <w:rPr>
                <w:rFonts w:ascii="Times New Roman" w:eastAsia="Times New Roman" w:hAnsi="Times New Roman"/>
                <w:noProof/>
                <w:lang w:eastAsia="en-GB"/>
              </w:rPr>
            </w:pPr>
            <w:r>
              <w:rPr>
                <w:rFonts w:ascii="Times New Roman" w:eastAsia="Times New Roman" w:hAnsi="Times New Roman"/>
                <w:noProof/>
                <w:lang w:eastAsia="en-GB"/>
              </w:rPr>
              <w:t>05.040502 (Operational technical assistance)</w:t>
            </w:r>
          </w:p>
        </w:tc>
        <w:tc>
          <w:tcPr>
            <w:tcW w:w="1780" w:type="dxa"/>
            <w:shd w:val="clear" w:color="auto" w:fill="auto"/>
          </w:tcPr>
          <w:p>
            <w:pPr>
              <w:autoSpaceDE w:val="0"/>
              <w:autoSpaceDN w:val="0"/>
              <w:adjustRightInd w:val="0"/>
              <w:spacing w:before="100" w:after="100" w:line="240" w:lineRule="auto"/>
              <w:jc w:val="right"/>
              <w:rPr>
                <w:rFonts w:ascii="Times New Roman" w:eastAsia="Times New Roman" w:hAnsi="Times New Roman"/>
                <w:noProof/>
                <w:lang w:eastAsia="en-GB"/>
              </w:rPr>
            </w:pPr>
            <w:r>
              <w:rPr>
                <w:rFonts w:ascii="Times New Roman" w:eastAsia="Times New Roman" w:hAnsi="Times New Roman"/>
                <w:noProof/>
                <w:lang w:eastAsia="en-GB"/>
              </w:rPr>
              <w:t xml:space="preserve">- </w:t>
            </w:r>
          </w:p>
        </w:tc>
        <w:tc>
          <w:tcPr>
            <w:tcW w:w="2040" w:type="dxa"/>
            <w:gridSpan w:val="2"/>
            <w:shd w:val="clear" w:color="auto" w:fill="auto"/>
          </w:tcPr>
          <w:p>
            <w:pPr>
              <w:autoSpaceDE w:val="0"/>
              <w:autoSpaceDN w:val="0"/>
              <w:adjustRightInd w:val="0"/>
              <w:spacing w:before="100" w:after="100" w:line="240" w:lineRule="auto"/>
              <w:jc w:val="right"/>
              <w:rPr>
                <w:rFonts w:ascii="Times New Roman" w:eastAsia="Times New Roman" w:hAnsi="Times New Roman"/>
                <w:noProof/>
                <w:lang w:eastAsia="en-GB"/>
              </w:rPr>
            </w:pPr>
            <w:r>
              <w:rPr>
                <w:rFonts w:ascii="Times New Roman" w:eastAsia="Times New Roman" w:hAnsi="Times New Roman"/>
                <w:noProof/>
                <w:lang w:eastAsia="en-GB"/>
              </w:rPr>
              <w:t>-</w:t>
            </w:r>
          </w:p>
        </w:tc>
      </w:tr>
      <w:tr>
        <w:tc>
          <w:tcPr>
            <w:tcW w:w="8148" w:type="dxa"/>
            <w:gridSpan w:val="4"/>
            <w:shd w:val="clear" w:color="auto" w:fill="auto"/>
            <w:vAlign w:val="center"/>
          </w:tcPr>
          <w:p>
            <w:pPr>
              <w:autoSpaceDE w:val="0"/>
              <w:autoSpaceDN w:val="0"/>
              <w:adjustRightInd w:val="0"/>
              <w:spacing w:before="100" w:after="100" w:line="240" w:lineRule="auto"/>
              <w:jc w:val="center"/>
              <w:rPr>
                <w:rFonts w:ascii="Times New Roman" w:eastAsia="Times New Roman" w:hAnsi="Times New Roman"/>
                <w:noProof/>
                <w:lang w:eastAsia="en-GB"/>
              </w:rPr>
            </w:pPr>
            <w:r>
              <w:rPr>
                <w:rFonts w:ascii="Times New Roman" w:eastAsia="Times New Roman" w:hAnsi="Times New Roman"/>
                <w:b/>
                <w:noProof/>
                <w:lang w:eastAsia="en-GB"/>
              </w:rPr>
              <w:t>2014-2020</w:t>
            </w:r>
          </w:p>
        </w:tc>
      </w:tr>
      <w:tr>
        <w:tc>
          <w:tcPr>
            <w:tcW w:w="4328" w:type="dxa"/>
            <w:shd w:val="clear" w:color="auto" w:fill="auto"/>
            <w:vAlign w:val="center"/>
          </w:tcPr>
          <w:p>
            <w:pPr>
              <w:autoSpaceDE w:val="0"/>
              <w:autoSpaceDN w:val="0"/>
              <w:adjustRightInd w:val="0"/>
              <w:spacing w:before="100" w:after="100" w:line="240" w:lineRule="auto"/>
              <w:rPr>
                <w:rFonts w:ascii="Times New Roman" w:eastAsia="Times New Roman" w:hAnsi="Times New Roman"/>
                <w:noProof/>
                <w:lang w:eastAsia="en-GB"/>
              </w:rPr>
            </w:pPr>
            <w:r>
              <w:rPr>
                <w:rFonts w:ascii="Times New Roman" w:eastAsia="Times New Roman" w:hAnsi="Times New Roman"/>
                <w:noProof/>
                <w:lang w:eastAsia="en-GB"/>
              </w:rPr>
              <w:t>05.046001 (Rural development programmes)</w:t>
            </w:r>
          </w:p>
        </w:tc>
        <w:tc>
          <w:tcPr>
            <w:tcW w:w="1800" w:type="dxa"/>
            <w:gridSpan w:val="2"/>
            <w:shd w:val="clear" w:color="auto" w:fill="auto"/>
            <w:vAlign w:val="center"/>
          </w:tcPr>
          <w:p>
            <w:pPr>
              <w:autoSpaceDE w:val="0"/>
              <w:autoSpaceDN w:val="0"/>
              <w:adjustRightInd w:val="0"/>
              <w:spacing w:before="100" w:after="100" w:line="240" w:lineRule="auto"/>
              <w:jc w:val="right"/>
              <w:rPr>
                <w:rFonts w:ascii="Times New Roman" w:eastAsia="Times New Roman" w:hAnsi="Times New Roman"/>
                <w:noProof/>
                <w:highlight w:val="yellow"/>
                <w:lang w:eastAsia="en-GB"/>
              </w:rPr>
            </w:pPr>
            <w:r>
              <w:rPr>
                <w:rFonts w:ascii="Times New Roman" w:hAnsi="Times New Roman"/>
                <w:noProof/>
              </w:rPr>
              <w:t>18 650 559 495</w:t>
            </w:r>
          </w:p>
        </w:tc>
        <w:tc>
          <w:tcPr>
            <w:tcW w:w="2020" w:type="dxa"/>
            <w:shd w:val="clear" w:color="auto" w:fill="auto"/>
            <w:vAlign w:val="center"/>
          </w:tcPr>
          <w:p>
            <w:pPr>
              <w:autoSpaceDE w:val="0"/>
              <w:autoSpaceDN w:val="0"/>
              <w:adjustRightInd w:val="0"/>
              <w:spacing w:before="100" w:after="100" w:line="240" w:lineRule="auto"/>
              <w:jc w:val="right"/>
              <w:rPr>
                <w:rFonts w:ascii="Times New Roman" w:eastAsia="Times New Roman" w:hAnsi="Times New Roman"/>
                <w:noProof/>
                <w:highlight w:val="yellow"/>
                <w:lang w:eastAsia="en-GB"/>
              </w:rPr>
            </w:pPr>
            <w:r>
              <w:rPr>
                <w:rFonts w:ascii="Times New Roman" w:hAnsi="Times New Roman"/>
                <w:noProof/>
              </w:rPr>
              <w:t>8 487 000 000</w:t>
            </w:r>
          </w:p>
        </w:tc>
      </w:tr>
      <w:tr>
        <w:tc>
          <w:tcPr>
            <w:tcW w:w="4328" w:type="dxa"/>
            <w:shd w:val="clear" w:color="auto" w:fill="auto"/>
            <w:vAlign w:val="center"/>
          </w:tcPr>
          <w:p>
            <w:pPr>
              <w:autoSpaceDE w:val="0"/>
              <w:autoSpaceDN w:val="0"/>
              <w:adjustRightInd w:val="0"/>
              <w:spacing w:before="100" w:after="100" w:line="240" w:lineRule="auto"/>
              <w:rPr>
                <w:rFonts w:ascii="Times New Roman" w:eastAsia="Times New Roman" w:hAnsi="Times New Roman"/>
                <w:noProof/>
                <w:lang w:eastAsia="en-GB"/>
              </w:rPr>
            </w:pPr>
            <w:r>
              <w:rPr>
                <w:rFonts w:ascii="Times New Roman" w:eastAsia="Times New Roman" w:hAnsi="Times New Roman"/>
                <w:noProof/>
                <w:lang w:eastAsia="en-GB"/>
              </w:rPr>
              <w:t>05.046002 (Operational technical assistance)</w:t>
            </w:r>
          </w:p>
        </w:tc>
        <w:tc>
          <w:tcPr>
            <w:tcW w:w="1800" w:type="dxa"/>
            <w:gridSpan w:val="2"/>
            <w:shd w:val="clear" w:color="auto" w:fill="auto"/>
            <w:vAlign w:val="center"/>
          </w:tcPr>
          <w:p>
            <w:pPr>
              <w:autoSpaceDE w:val="0"/>
              <w:autoSpaceDN w:val="0"/>
              <w:adjustRightInd w:val="0"/>
              <w:spacing w:before="100" w:after="100" w:line="240" w:lineRule="auto"/>
              <w:jc w:val="right"/>
              <w:rPr>
                <w:rFonts w:ascii="Times New Roman" w:eastAsia="Times New Roman" w:hAnsi="Times New Roman"/>
                <w:noProof/>
                <w:highlight w:val="yellow"/>
                <w:lang w:eastAsia="en-GB"/>
              </w:rPr>
            </w:pPr>
            <w:r>
              <w:rPr>
                <w:rFonts w:ascii="Times New Roman" w:hAnsi="Times New Roman"/>
                <w:noProof/>
              </w:rPr>
              <w:t>21 363 000</w:t>
            </w:r>
          </w:p>
        </w:tc>
        <w:tc>
          <w:tcPr>
            <w:tcW w:w="2020" w:type="dxa"/>
            <w:shd w:val="clear" w:color="auto" w:fill="auto"/>
            <w:vAlign w:val="center"/>
          </w:tcPr>
          <w:p>
            <w:pPr>
              <w:autoSpaceDE w:val="0"/>
              <w:autoSpaceDN w:val="0"/>
              <w:adjustRightInd w:val="0"/>
              <w:spacing w:before="100" w:after="100" w:line="240" w:lineRule="auto"/>
              <w:jc w:val="right"/>
              <w:rPr>
                <w:rFonts w:ascii="Times New Roman" w:eastAsia="Times New Roman" w:hAnsi="Times New Roman"/>
                <w:noProof/>
                <w:highlight w:val="yellow"/>
                <w:lang w:eastAsia="en-GB"/>
              </w:rPr>
            </w:pPr>
            <w:r>
              <w:rPr>
                <w:rFonts w:ascii="Times New Roman" w:hAnsi="Times New Roman"/>
                <w:noProof/>
              </w:rPr>
              <w:t>20 025 443</w:t>
            </w:r>
          </w:p>
        </w:tc>
      </w:tr>
    </w:tbl>
    <w:p>
      <w:pPr>
        <w:spacing w:before="120" w:after="120" w:line="240" w:lineRule="auto"/>
        <w:ind w:left="850"/>
        <w:jc w:val="both"/>
        <w:rPr>
          <w:rFonts w:ascii="Times New Roman" w:eastAsia="Times New Roman" w:hAnsi="Times New Roman"/>
          <w:noProof/>
          <w:sz w:val="24"/>
          <w:lang w:eastAsia="en-GB"/>
        </w:rPr>
      </w:pPr>
      <w:bookmarkStart w:id="16" w:name="_Toc331167062"/>
      <w:bookmarkEnd w:id="15"/>
    </w:p>
    <w:p>
      <w:pPr>
        <w:keepNext/>
        <w:tabs>
          <w:tab w:val="left" w:pos="850"/>
        </w:tabs>
        <w:spacing w:before="240" w:after="120" w:line="240" w:lineRule="auto"/>
        <w:ind w:left="850" w:hanging="850"/>
        <w:jc w:val="both"/>
        <w:outlineLvl w:val="1"/>
        <w:rPr>
          <w:rFonts w:ascii="Times New Roman" w:eastAsia="Times New Roman" w:hAnsi="Times New Roman"/>
          <w:b/>
          <w:noProof/>
          <w:sz w:val="24"/>
          <w:lang w:eastAsia="en-GB"/>
        </w:rPr>
      </w:pPr>
      <w:bookmarkStart w:id="17" w:name="_Toc393127469"/>
      <w:bookmarkStart w:id="18" w:name="_Toc485997130"/>
      <w:r>
        <w:rPr>
          <w:rFonts w:ascii="Times New Roman" w:eastAsia="Times New Roman" w:hAnsi="Times New Roman"/>
          <w:b/>
          <w:noProof/>
          <w:sz w:val="24"/>
          <w:lang w:eastAsia="en-GB"/>
        </w:rPr>
        <w:t>1.4.</w:t>
      </w:r>
      <w:r>
        <w:rPr>
          <w:rFonts w:ascii="Times New Roman" w:eastAsia="Times New Roman" w:hAnsi="Times New Roman"/>
          <w:b/>
          <w:noProof/>
          <w:sz w:val="24"/>
          <w:lang w:eastAsia="en-GB"/>
        </w:rPr>
        <w:tab/>
        <w:t>The adoption of the Amending Budgets</w:t>
      </w:r>
      <w:bookmarkEnd w:id="17"/>
      <w:bookmarkEnd w:id="18"/>
    </w:p>
    <w:p>
      <w:pPr>
        <w:spacing w:before="120" w:after="120" w:line="240" w:lineRule="auto"/>
        <w:ind w:left="850"/>
        <w:jc w:val="both"/>
        <w:rPr>
          <w:rFonts w:ascii="Times New Roman" w:eastAsia="Times New Roman" w:hAnsi="Times New Roman"/>
          <w:noProof/>
          <w:sz w:val="24"/>
          <w:highlight w:val="yellow"/>
          <w:lang w:eastAsia="en-GB"/>
        </w:rPr>
      </w:pPr>
      <w:r>
        <w:rPr>
          <w:rFonts w:ascii="Times New Roman" w:eastAsia="Times New Roman" w:hAnsi="Times New Roman"/>
          <w:noProof/>
          <w:sz w:val="24"/>
          <w:lang w:eastAsia="en-GB"/>
        </w:rPr>
        <w:t>None of the Amending Budgets concerned the EAFRD.</w:t>
      </w:r>
    </w:p>
    <w:p>
      <w:pPr>
        <w:keepNext/>
        <w:tabs>
          <w:tab w:val="left" w:pos="850"/>
        </w:tabs>
        <w:spacing w:before="360" w:after="120" w:line="240" w:lineRule="auto"/>
        <w:ind w:left="850" w:hanging="850"/>
        <w:jc w:val="both"/>
        <w:outlineLvl w:val="0"/>
        <w:rPr>
          <w:rFonts w:ascii="Times New Roman" w:eastAsia="Times New Roman" w:hAnsi="Times New Roman"/>
          <w:b/>
          <w:smallCaps/>
          <w:noProof/>
          <w:sz w:val="24"/>
          <w:lang w:eastAsia="en-GB"/>
        </w:rPr>
      </w:pPr>
      <w:bookmarkStart w:id="19" w:name="_Toc393127470"/>
      <w:bookmarkStart w:id="20" w:name="_Toc485997131"/>
      <w:r>
        <w:rPr>
          <w:rFonts w:ascii="Times New Roman" w:eastAsia="Times New Roman" w:hAnsi="Times New Roman"/>
          <w:b/>
          <w:smallCaps/>
          <w:noProof/>
          <w:sz w:val="24"/>
          <w:lang w:eastAsia="en-GB"/>
        </w:rPr>
        <w:t>2.</w:t>
      </w:r>
      <w:r>
        <w:rPr>
          <w:rFonts w:ascii="Times New Roman" w:eastAsia="Times New Roman" w:hAnsi="Times New Roman"/>
          <w:b/>
          <w:smallCaps/>
          <w:noProof/>
          <w:sz w:val="24"/>
          <w:lang w:eastAsia="en-GB"/>
        </w:rPr>
        <w:tab/>
        <w:t>Management of appropriations</w:t>
      </w:r>
      <w:bookmarkEnd w:id="16"/>
      <w:bookmarkEnd w:id="19"/>
      <w:bookmarkEnd w:id="20"/>
    </w:p>
    <w:p>
      <w:pPr>
        <w:keepNext/>
        <w:tabs>
          <w:tab w:val="left" w:pos="850"/>
        </w:tabs>
        <w:spacing w:before="240" w:after="120" w:line="240" w:lineRule="auto"/>
        <w:ind w:left="850" w:hanging="850"/>
        <w:jc w:val="both"/>
        <w:outlineLvl w:val="1"/>
        <w:rPr>
          <w:rFonts w:ascii="Times New Roman" w:eastAsia="Times New Roman" w:hAnsi="Times New Roman"/>
          <w:b/>
          <w:noProof/>
          <w:sz w:val="24"/>
          <w:lang w:eastAsia="en-GB"/>
        </w:rPr>
      </w:pPr>
      <w:bookmarkStart w:id="21" w:name="_Toc331167063"/>
      <w:bookmarkStart w:id="22" w:name="_Toc393127471"/>
      <w:bookmarkStart w:id="23" w:name="_Toc485997132"/>
      <w:r>
        <w:rPr>
          <w:rFonts w:ascii="Times New Roman" w:eastAsia="Times New Roman" w:hAnsi="Times New Roman"/>
          <w:b/>
          <w:noProof/>
          <w:sz w:val="24"/>
          <w:lang w:eastAsia="en-GB"/>
        </w:rPr>
        <w:t>2.1.</w:t>
      </w:r>
      <w:r>
        <w:rPr>
          <w:rFonts w:ascii="Times New Roman" w:eastAsia="Times New Roman" w:hAnsi="Times New Roman"/>
          <w:b/>
          <w:noProof/>
          <w:sz w:val="24"/>
          <w:lang w:eastAsia="en-GB"/>
        </w:rPr>
        <w:tab/>
        <w:t>Management of commitment appropriations</w:t>
      </w:r>
      <w:bookmarkEnd w:id="21"/>
      <w:bookmarkEnd w:id="22"/>
      <w:bookmarkEnd w:id="23"/>
    </w:p>
    <w:p>
      <w:pPr>
        <w:keepNext/>
        <w:tabs>
          <w:tab w:val="left" w:pos="850"/>
        </w:tabs>
        <w:spacing w:before="240" w:after="120" w:line="240" w:lineRule="auto"/>
        <w:ind w:left="850" w:hanging="850"/>
        <w:jc w:val="both"/>
        <w:outlineLvl w:val="2"/>
        <w:rPr>
          <w:rFonts w:ascii="Times New Roman" w:eastAsia="Times New Roman" w:hAnsi="Times New Roman"/>
          <w:i/>
          <w:noProof/>
          <w:sz w:val="24"/>
          <w:lang w:eastAsia="en-GB"/>
        </w:rPr>
      </w:pPr>
      <w:bookmarkStart w:id="24" w:name="_Toc331167064"/>
      <w:bookmarkStart w:id="25" w:name="_Toc393127472"/>
      <w:bookmarkStart w:id="26" w:name="_Toc485997133"/>
      <w:r>
        <w:rPr>
          <w:rFonts w:ascii="Times New Roman" w:eastAsia="Times New Roman" w:hAnsi="Times New Roman"/>
          <w:i/>
          <w:noProof/>
          <w:sz w:val="24"/>
          <w:lang w:eastAsia="en-GB"/>
        </w:rPr>
        <w:t>2.1.1.</w:t>
      </w:r>
      <w:r>
        <w:rPr>
          <w:rFonts w:ascii="Times New Roman" w:eastAsia="Times New Roman" w:hAnsi="Times New Roman"/>
          <w:i/>
          <w:noProof/>
          <w:sz w:val="24"/>
          <w:lang w:eastAsia="en-GB"/>
        </w:rPr>
        <w:tab/>
        <w:t>EAFRD rural development programmes</w:t>
      </w:r>
      <w:bookmarkEnd w:id="24"/>
      <w:bookmarkEnd w:id="25"/>
      <w:bookmarkEnd w:id="26"/>
    </w:p>
    <w:p>
      <w:pPr>
        <w:spacing w:before="120" w:after="120" w:line="240" w:lineRule="auto"/>
        <w:ind w:left="850" w:right="71"/>
        <w:jc w:val="both"/>
        <w:rPr>
          <w:rFonts w:ascii="Times New Roman" w:eastAsia="Times New Roman" w:hAnsi="Times New Roman"/>
          <w:noProof/>
          <w:sz w:val="24"/>
          <w:lang w:eastAsia="en-GB"/>
        </w:rPr>
      </w:pPr>
      <w:r>
        <w:rPr>
          <w:rFonts w:ascii="Times New Roman" w:eastAsia="Times New Roman" w:hAnsi="Times New Roman"/>
          <w:noProof/>
          <w:sz w:val="24"/>
          <w:lang w:eastAsia="en-GB"/>
        </w:rPr>
        <w:t xml:space="preserve">As regards commitment appropriations, the 2016 voted budget amounted to EUR 18 651 million, all related to the 2014-2020 programmes. </w:t>
      </w:r>
    </w:p>
    <w:p>
      <w:pPr>
        <w:spacing w:before="120" w:after="120" w:line="240" w:lineRule="auto"/>
        <w:ind w:left="850" w:right="71"/>
        <w:jc w:val="both"/>
        <w:rPr>
          <w:rFonts w:ascii="Times New Roman" w:eastAsia="Times New Roman" w:hAnsi="Times New Roman"/>
          <w:noProof/>
          <w:sz w:val="24"/>
          <w:lang w:eastAsia="en-GB"/>
        </w:rPr>
      </w:pPr>
      <w:r>
        <w:rPr>
          <w:rFonts w:ascii="Times New Roman" w:eastAsia="Times New Roman" w:hAnsi="Times New Roman"/>
          <w:noProof/>
          <w:sz w:val="24"/>
          <w:lang w:eastAsia="en-GB"/>
        </w:rPr>
        <w:t>The Budget 2016 did not include any commitment appropriations for EAFRD 2007-2013 programmes.</w:t>
      </w:r>
    </w:p>
    <w:p>
      <w:pPr>
        <w:keepNext/>
        <w:keepLines/>
        <w:spacing w:before="120" w:after="120" w:line="240" w:lineRule="auto"/>
        <w:ind w:left="850"/>
        <w:jc w:val="both"/>
        <w:rPr>
          <w:rFonts w:ascii="Times New Roman" w:eastAsia="Times New Roman" w:hAnsi="Times New Roman"/>
          <w:noProof/>
          <w:sz w:val="24"/>
          <w:lang w:eastAsia="en-GB"/>
        </w:rPr>
      </w:pPr>
      <w:bookmarkStart w:id="27" w:name="OLE_LINK8"/>
      <w:r>
        <w:rPr>
          <w:rFonts w:ascii="Times New Roman" w:eastAsia="Times New Roman" w:hAnsi="Times New Roman"/>
          <w:noProof/>
          <w:sz w:val="24"/>
          <w:lang w:eastAsia="en-GB"/>
        </w:rPr>
        <w:t>Table 4</w:t>
      </w:r>
    </w:p>
    <w:tbl>
      <w:tblPr>
        <w:tblW w:w="8341"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0"/>
        <w:gridCol w:w="1920"/>
        <w:gridCol w:w="1861"/>
      </w:tblGrid>
      <w:tr>
        <w:trPr>
          <w:trHeight w:val="763"/>
        </w:trPr>
        <w:tc>
          <w:tcPr>
            <w:tcW w:w="4560" w:type="dxa"/>
            <w:shd w:val="clear" w:color="auto" w:fill="FFFF99"/>
            <w:vAlign w:val="center"/>
          </w:tcPr>
          <w:p>
            <w:pPr>
              <w:keepNext/>
              <w:keepLines/>
              <w:autoSpaceDE w:val="0"/>
              <w:autoSpaceDN w:val="0"/>
              <w:adjustRightInd w:val="0"/>
              <w:spacing w:before="120" w:after="0" w:line="240" w:lineRule="auto"/>
              <w:jc w:val="center"/>
              <w:rPr>
                <w:rFonts w:ascii="Times New Roman" w:eastAsia="Times New Roman" w:hAnsi="Times New Roman"/>
                <w:b/>
                <w:noProof/>
                <w:lang w:eastAsia="en-GB"/>
              </w:rPr>
            </w:pPr>
            <w:r>
              <w:rPr>
                <w:rFonts w:ascii="Times New Roman" w:eastAsia="Times New Roman" w:hAnsi="Times New Roman"/>
                <w:b/>
                <w:noProof/>
                <w:lang w:eastAsia="en-GB"/>
              </w:rPr>
              <w:t>Management of commitment appropriations in 2016 – EAFRD</w:t>
            </w:r>
          </w:p>
        </w:tc>
        <w:tc>
          <w:tcPr>
            <w:tcW w:w="1920" w:type="dxa"/>
            <w:shd w:val="clear" w:color="auto" w:fill="FFFF99"/>
            <w:vAlign w:val="center"/>
          </w:tcPr>
          <w:p>
            <w:pPr>
              <w:keepNext/>
              <w:keepLines/>
              <w:autoSpaceDE w:val="0"/>
              <w:autoSpaceDN w:val="0"/>
              <w:adjustRightInd w:val="0"/>
              <w:spacing w:after="0" w:line="240" w:lineRule="auto"/>
              <w:jc w:val="center"/>
              <w:rPr>
                <w:rFonts w:ascii="Times New Roman" w:eastAsia="Times New Roman" w:hAnsi="Times New Roman"/>
                <w:b/>
                <w:noProof/>
                <w:lang w:eastAsia="en-GB"/>
              </w:rPr>
            </w:pPr>
            <w:r>
              <w:rPr>
                <w:rFonts w:ascii="Times New Roman" w:eastAsia="Times New Roman" w:hAnsi="Times New Roman"/>
                <w:b/>
                <w:noProof/>
                <w:lang w:eastAsia="en-GB"/>
              </w:rPr>
              <w:t>Budget Item</w:t>
            </w:r>
          </w:p>
          <w:p>
            <w:pPr>
              <w:keepNext/>
              <w:keepLines/>
              <w:autoSpaceDE w:val="0"/>
              <w:autoSpaceDN w:val="0"/>
              <w:adjustRightInd w:val="0"/>
              <w:spacing w:after="0" w:line="240" w:lineRule="auto"/>
              <w:jc w:val="center"/>
              <w:rPr>
                <w:rFonts w:ascii="Times New Roman" w:eastAsia="Times New Roman" w:hAnsi="Times New Roman"/>
                <w:b/>
                <w:noProof/>
                <w:sz w:val="20"/>
                <w:lang w:eastAsia="en-GB"/>
              </w:rPr>
            </w:pPr>
            <w:r>
              <w:rPr>
                <w:rFonts w:ascii="Times New Roman" w:eastAsia="Times New Roman" w:hAnsi="Times New Roman"/>
                <w:b/>
                <w:noProof/>
                <w:sz w:val="20"/>
                <w:lang w:eastAsia="en-GB"/>
              </w:rPr>
              <w:t>05.040501</w:t>
            </w:r>
          </w:p>
          <w:p>
            <w:pPr>
              <w:keepNext/>
              <w:keepLines/>
              <w:autoSpaceDE w:val="0"/>
              <w:autoSpaceDN w:val="0"/>
              <w:adjustRightInd w:val="0"/>
              <w:spacing w:after="0" w:line="240" w:lineRule="auto"/>
              <w:jc w:val="center"/>
              <w:rPr>
                <w:rFonts w:ascii="Times New Roman" w:eastAsia="Times New Roman" w:hAnsi="Times New Roman"/>
                <w:b/>
                <w:noProof/>
                <w:lang w:eastAsia="en-GB"/>
              </w:rPr>
            </w:pPr>
            <w:r>
              <w:rPr>
                <w:rFonts w:ascii="Times New Roman" w:eastAsia="Times New Roman" w:hAnsi="Times New Roman"/>
                <w:b/>
                <w:noProof/>
                <w:sz w:val="20"/>
                <w:lang w:eastAsia="en-GB"/>
              </w:rPr>
              <w:t>(amounts in EUR)</w:t>
            </w:r>
          </w:p>
        </w:tc>
        <w:tc>
          <w:tcPr>
            <w:tcW w:w="1861" w:type="dxa"/>
            <w:shd w:val="clear" w:color="auto" w:fill="FFFF99"/>
          </w:tcPr>
          <w:p>
            <w:pPr>
              <w:keepNext/>
              <w:keepLines/>
              <w:autoSpaceDE w:val="0"/>
              <w:autoSpaceDN w:val="0"/>
              <w:adjustRightInd w:val="0"/>
              <w:spacing w:after="0" w:line="240" w:lineRule="auto"/>
              <w:jc w:val="center"/>
              <w:rPr>
                <w:rFonts w:ascii="Times New Roman" w:eastAsia="Times New Roman" w:hAnsi="Times New Roman"/>
                <w:b/>
                <w:noProof/>
                <w:lang w:eastAsia="en-GB"/>
              </w:rPr>
            </w:pPr>
            <w:r>
              <w:rPr>
                <w:rFonts w:ascii="Times New Roman" w:eastAsia="Times New Roman" w:hAnsi="Times New Roman"/>
                <w:b/>
                <w:noProof/>
                <w:lang w:eastAsia="en-GB"/>
              </w:rPr>
              <w:t>Budget Item</w:t>
            </w:r>
          </w:p>
          <w:p>
            <w:pPr>
              <w:keepNext/>
              <w:keepLines/>
              <w:autoSpaceDE w:val="0"/>
              <w:autoSpaceDN w:val="0"/>
              <w:adjustRightInd w:val="0"/>
              <w:spacing w:after="0" w:line="240" w:lineRule="auto"/>
              <w:jc w:val="center"/>
              <w:rPr>
                <w:rFonts w:ascii="Times New Roman" w:eastAsia="Times New Roman" w:hAnsi="Times New Roman"/>
                <w:b/>
                <w:noProof/>
                <w:sz w:val="20"/>
                <w:lang w:eastAsia="en-GB"/>
              </w:rPr>
            </w:pPr>
            <w:r>
              <w:rPr>
                <w:rFonts w:ascii="Times New Roman" w:eastAsia="Times New Roman" w:hAnsi="Times New Roman"/>
                <w:b/>
                <w:noProof/>
                <w:sz w:val="20"/>
                <w:lang w:eastAsia="en-GB"/>
              </w:rPr>
              <w:t>05.046001</w:t>
            </w:r>
          </w:p>
          <w:p>
            <w:pPr>
              <w:keepNext/>
              <w:keepLines/>
              <w:autoSpaceDE w:val="0"/>
              <w:autoSpaceDN w:val="0"/>
              <w:adjustRightInd w:val="0"/>
              <w:spacing w:after="0" w:line="240" w:lineRule="auto"/>
              <w:jc w:val="center"/>
              <w:rPr>
                <w:rFonts w:ascii="Times New Roman" w:eastAsia="Times New Roman" w:hAnsi="Times New Roman"/>
                <w:b/>
                <w:noProof/>
                <w:lang w:eastAsia="en-GB"/>
              </w:rPr>
            </w:pPr>
            <w:r>
              <w:rPr>
                <w:rFonts w:ascii="Times New Roman" w:eastAsia="Times New Roman" w:hAnsi="Times New Roman"/>
                <w:b/>
                <w:noProof/>
                <w:sz w:val="20"/>
                <w:lang w:eastAsia="en-GB"/>
              </w:rPr>
              <w:t>(amounts in EUR)</w:t>
            </w:r>
          </w:p>
        </w:tc>
      </w:tr>
      <w:tr>
        <w:tc>
          <w:tcPr>
            <w:tcW w:w="4560" w:type="dxa"/>
            <w:shd w:val="clear" w:color="auto" w:fill="auto"/>
            <w:vAlign w:val="center"/>
          </w:tcPr>
          <w:p>
            <w:pPr>
              <w:keepNext/>
              <w:keepLines/>
              <w:autoSpaceDE w:val="0"/>
              <w:autoSpaceDN w:val="0"/>
              <w:adjustRightInd w:val="0"/>
              <w:spacing w:before="120" w:after="0" w:line="240" w:lineRule="auto"/>
              <w:rPr>
                <w:rFonts w:ascii="Times New Roman" w:eastAsia="Times New Roman" w:hAnsi="Times New Roman"/>
                <w:noProof/>
                <w:lang w:eastAsia="en-GB"/>
              </w:rPr>
            </w:pPr>
            <w:r>
              <w:rPr>
                <w:rFonts w:ascii="Times New Roman" w:eastAsia="Times New Roman" w:hAnsi="Times New Roman"/>
                <w:noProof/>
                <w:lang w:eastAsia="en-GB"/>
              </w:rPr>
              <w:t>Appropriations at the beginning of 2016</w:t>
            </w:r>
          </w:p>
        </w:tc>
        <w:tc>
          <w:tcPr>
            <w:tcW w:w="1920" w:type="dxa"/>
            <w:shd w:val="clear" w:color="auto" w:fill="auto"/>
            <w:vAlign w:val="center"/>
          </w:tcPr>
          <w:p>
            <w:pPr>
              <w:keepNext/>
              <w:keepLines/>
              <w:autoSpaceDE w:val="0"/>
              <w:autoSpaceDN w:val="0"/>
              <w:adjustRightInd w:val="0"/>
              <w:spacing w:before="120" w:after="0" w:line="240" w:lineRule="auto"/>
              <w:jc w:val="right"/>
              <w:rPr>
                <w:rFonts w:ascii="Times New Roman" w:eastAsia="Times New Roman" w:hAnsi="Times New Roman"/>
                <w:noProof/>
                <w:lang w:eastAsia="en-GB"/>
              </w:rPr>
            </w:pPr>
            <w:r>
              <w:rPr>
                <w:rFonts w:ascii="Times New Roman" w:eastAsia="Times New Roman" w:hAnsi="Times New Roman"/>
                <w:noProof/>
                <w:lang w:eastAsia="en-GB"/>
              </w:rPr>
              <w:t>-</w:t>
            </w:r>
          </w:p>
        </w:tc>
        <w:tc>
          <w:tcPr>
            <w:tcW w:w="1861" w:type="dxa"/>
          </w:tcPr>
          <w:p>
            <w:pPr>
              <w:keepNext/>
              <w:keepLines/>
              <w:autoSpaceDE w:val="0"/>
              <w:autoSpaceDN w:val="0"/>
              <w:adjustRightInd w:val="0"/>
              <w:spacing w:before="120" w:after="0" w:line="240" w:lineRule="auto"/>
              <w:jc w:val="right"/>
              <w:rPr>
                <w:rFonts w:ascii="Times New Roman" w:eastAsia="Times New Roman" w:hAnsi="Times New Roman"/>
                <w:noProof/>
                <w:lang w:eastAsia="en-GB"/>
              </w:rPr>
            </w:pPr>
            <w:r>
              <w:rPr>
                <w:rFonts w:ascii="Times New Roman" w:eastAsia="Times New Roman" w:hAnsi="Times New Roman"/>
                <w:noProof/>
                <w:lang w:eastAsia="en-GB"/>
              </w:rPr>
              <w:t>18 650 559 495</w:t>
            </w:r>
          </w:p>
        </w:tc>
      </w:tr>
      <w:tr>
        <w:tc>
          <w:tcPr>
            <w:tcW w:w="4560" w:type="dxa"/>
            <w:shd w:val="clear" w:color="auto" w:fill="auto"/>
            <w:vAlign w:val="center"/>
          </w:tcPr>
          <w:p>
            <w:pPr>
              <w:autoSpaceDE w:val="0"/>
              <w:autoSpaceDN w:val="0"/>
              <w:adjustRightInd w:val="0"/>
              <w:spacing w:before="120" w:after="0" w:line="240" w:lineRule="auto"/>
              <w:rPr>
                <w:rFonts w:ascii="Times New Roman" w:eastAsia="Times New Roman" w:hAnsi="Times New Roman"/>
                <w:b/>
                <w:noProof/>
                <w:lang w:eastAsia="en-GB"/>
              </w:rPr>
            </w:pPr>
            <w:r>
              <w:rPr>
                <w:rFonts w:ascii="Times New Roman" w:eastAsia="Times New Roman" w:hAnsi="Times New Roman"/>
                <w:b/>
                <w:noProof/>
                <w:lang w:eastAsia="en-GB"/>
              </w:rPr>
              <w:t>Appropriations available in 2016</w:t>
            </w:r>
          </w:p>
        </w:tc>
        <w:tc>
          <w:tcPr>
            <w:tcW w:w="1920" w:type="dxa"/>
            <w:shd w:val="clear" w:color="auto" w:fill="auto"/>
          </w:tcPr>
          <w:p>
            <w:pPr>
              <w:autoSpaceDE w:val="0"/>
              <w:autoSpaceDN w:val="0"/>
              <w:adjustRightInd w:val="0"/>
              <w:spacing w:before="120" w:after="0" w:line="240" w:lineRule="auto"/>
              <w:jc w:val="right"/>
              <w:rPr>
                <w:rFonts w:ascii="Times New Roman" w:eastAsia="Times New Roman" w:hAnsi="Times New Roman"/>
                <w:b/>
                <w:noProof/>
                <w:lang w:eastAsia="en-GB"/>
              </w:rPr>
            </w:pPr>
            <w:r>
              <w:rPr>
                <w:rFonts w:ascii="Times New Roman" w:eastAsia="Times New Roman" w:hAnsi="Times New Roman"/>
                <w:b/>
                <w:noProof/>
                <w:lang w:eastAsia="en-GB"/>
              </w:rPr>
              <w:t>-</w:t>
            </w:r>
          </w:p>
        </w:tc>
        <w:tc>
          <w:tcPr>
            <w:tcW w:w="1861" w:type="dxa"/>
          </w:tcPr>
          <w:p>
            <w:pPr>
              <w:autoSpaceDE w:val="0"/>
              <w:autoSpaceDN w:val="0"/>
              <w:adjustRightInd w:val="0"/>
              <w:spacing w:before="120" w:after="0" w:line="240" w:lineRule="auto"/>
              <w:jc w:val="right"/>
              <w:rPr>
                <w:rFonts w:ascii="Times New Roman" w:eastAsia="Times New Roman" w:hAnsi="Times New Roman"/>
                <w:b/>
                <w:noProof/>
                <w:lang w:eastAsia="en-GB"/>
              </w:rPr>
            </w:pPr>
            <w:r>
              <w:rPr>
                <w:rFonts w:ascii="Times New Roman" w:eastAsia="Times New Roman" w:hAnsi="Times New Roman"/>
                <w:b/>
                <w:noProof/>
                <w:lang w:eastAsia="en-GB"/>
              </w:rPr>
              <w:t>18 650 559 495</w:t>
            </w:r>
          </w:p>
        </w:tc>
      </w:tr>
      <w:tr>
        <w:tc>
          <w:tcPr>
            <w:tcW w:w="4560" w:type="dxa"/>
            <w:shd w:val="clear" w:color="auto" w:fill="auto"/>
            <w:vAlign w:val="center"/>
          </w:tcPr>
          <w:p>
            <w:pPr>
              <w:autoSpaceDE w:val="0"/>
              <w:autoSpaceDN w:val="0"/>
              <w:adjustRightInd w:val="0"/>
              <w:spacing w:before="120" w:after="0" w:line="240" w:lineRule="auto"/>
              <w:rPr>
                <w:rFonts w:ascii="Times New Roman" w:eastAsia="Times New Roman" w:hAnsi="Times New Roman"/>
                <w:noProof/>
                <w:lang w:eastAsia="en-GB"/>
              </w:rPr>
            </w:pPr>
            <w:r>
              <w:rPr>
                <w:rFonts w:ascii="Times New Roman" w:eastAsia="Times New Roman" w:hAnsi="Times New Roman"/>
                <w:noProof/>
                <w:lang w:eastAsia="en-GB"/>
              </w:rPr>
              <w:t>Appropriations used in 2016</w:t>
            </w:r>
            <w:r>
              <w:rPr>
                <w:rStyle w:val="FootnoteReference"/>
                <w:rFonts w:ascii="Times New Roman" w:eastAsia="Times New Roman" w:hAnsi="Times New Roman"/>
                <w:noProof/>
                <w:lang w:eastAsia="en-GB"/>
              </w:rPr>
              <w:footnoteReference w:id="2"/>
            </w:r>
          </w:p>
        </w:tc>
        <w:tc>
          <w:tcPr>
            <w:tcW w:w="1920" w:type="dxa"/>
            <w:shd w:val="clear" w:color="auto" w:fill="auto"/>
          </w:tcPr>
          <w:p>
            <w:pPr>
              <w:autoSpaceDE w:val="0"/>
              <w:autoSpaceDN w:val="0"/>
              <w:adjustRightInd w:val="0"/>
              <w:spacing w:before="120" w:after="0" w:line="240" w:lineRule="auto"/>
              <w:jc w:val="right"/>
              <w:rPr>
                <w:rFonts w:ascii="Times New Roman" w:eastAsia="Times New Roman" w:hAnsi="Times New Roman"/>
                <w:noProof/>
                <w:lang w:eastAsia="en-GB"/>
              </w:rPr>
            </w:pPr>
            <w:r>
              <w:rPr>
                <w:rFonts w:ascii="Times New Roman" w:eastAsia="Times New Roman" w:hAnsi="Times New Roman"/>
                <w:noProof/>
                <w:lang w:eastAsia="en-GB"/>
              </w:rPr>
              <w:t>-</w:t>
            </w:r>
          </w:p>
        </w:tc>
        <w:tc>
          <w:tcPr>
            <w:tcW w:w="1861" w:type="dxa"/>
          </w:tcPr>
          <w:p>
            <w:pPr>
              <w:autoSpaceDE w:val="0"/>
              <w:autoSpaceDN w:val="0"/>
              <w:adjustRightInd w:val="0"/>
              <w:spacing w:before="120" w:after="0" w:line="240" w:lineRule="auto"/>
              <w:jc w:val="right"/>
              <w:rPr>
                <w:rFonts w:ascii="Times New Roman" w:eastAsia="Times New Roman" w:hAnsi="Times New Roman"/>
                <w:noProof/>
                <w:lang w:eastAsia="en-GB"/>
              </w:rPr>
            </w:pPr>
            <w:r>
              <w:rPr>
                <w:rFonts w:ascii="Times New Roman" w:eastAsia="Times New Roman" w:hAnsi="Times New Roman"/>
                <w:noProof/>
                <w:lang w:eastAsia="en-GB"/>
              </w:rPr>
              <w:t>18 649 599 495</w:t>
            </w:r>
          </w:p>
        </w:tc>
      </w:tr>
    </w:tbl>
    <w:p>
      <w:pPr>
        <w:spacing w:before="120" w:after="120" w:line="240" w:lineRule="auto"/>
        <w:ind w:left="850"/>
        <w:jc w:val="both"/>
        <w:rPr>
          <w:rFonts w:ascii="Times New Roman" w:eastAsia="Times New Roman" w:hAnsi="Times New Roman"/>
          <w:noProof/>
          <w:sz w:val="24"/>
          <w:lang w:eastAsia="en-GB"/>
        </w:rPr>
      </w:pPr>
      <w:bookmarkStart w:id="28" w:name="_Toc331167065"/>
      <w:bookmarkStart w:id="29" w:name="_Toc393127473"/>
      <w:bookmarkEnd w:id="27"/>
    </w:p>
    <w:p>
      <w:pPr>
        <w:keepNext/>
        <w:tabs>
          <w:tab w:val="left" w:pos="850"/>
        </w:tabs>
        <w:spacing w:before="240" w:after="120" w:line="240" w:lineRule="auto"/>
        <w:ind w:left="850" w:hanging="850"/>
        <w:jc w:val="both"/>
        <w:outlineLvl w:val="2"/>
        <w:rPr>
          <w:rFonts w:ascii="Times New Roman" w:eastAsia="Times New Roman" w:hAnsi="Times New Roman"/>
          <w:i/>
          <w:noProof/>
          <w:sz w:val="24"/>
          <w:lang w:eastAsia="en-GB"/>
        </w:rPr>
      </w:pPr>
      <w:bookmarkStart w:id="30" w:name="_Toc485997134"/>
      <w:r>
        <w:rPr>
          <w:rFonts w:ascii="Times New Roman" w:eastAsia="Times New Roman" w:hAnsi="Times New Roman"/>
          <w:i/>
          <w:noProof/>
          <w:sz w:val="24"/>
          <w:lang w:eastAsia="en-GB"/>
        </w:rPr>
        <w:t>2.1.2.</w:t>
      </w:r>
      <w:r>
        <w:rPr>
          <w:rFonts w:ascii="Times New Roman" w:eastAsia="Times New Roman" w:hAnsi="Times New Roman"/>
          <w:i/>
          <w:noProof/>
          <w:sz w:val="24"/>
          <w:lang w:eastAsia="en-GB"/>
        </w:rPr>
        <w:tab/>
        <w:t>Technical assistance</w:t>
      </w:r>
      <w:bookmarkEnd w:id="28"/>
      <w:bookmarkEnd w:id="29"/>
      <w:bookmarkEnd w:id="30"/>
    </w:p>
    <w:p>
      <w:pPr>
        <w:spacing w:before="120" w:after="120" w:line="240" w:lineRule="auto"/>
        <w:ind w:left="850" w:right="71"/>
        <w:jc w:val="both"/>
        <w:rPr>
          <w:rFonts w:ascii="Times New Roman" w:eastAsia="Times New Roman" w:hAnsi="Times New Roman"/>
          <w:noProof/>
          <w:sz w:val="24"/>
          <w:lang w:eastAsia="en-GB"/>
        </w:rPr>
      </w:pPr>
      <w:r>
        <w:rPr>
          <w:rFonts w:ascii="Times New Roman" w:eastAsia="Times New Roman" w:hAnsi="Times New Roman"/>
          <w:noProof/>
          <w:sz w:val="24"/>
          <w:lang w:eastAsia="en-GB"/>
        </w:rPr>
        <w:t>Article 51(1) of Regulation (EU) No 1305/2013 provides that the EAFRD may use up to 0.25% of its annual allocation to finance technical assistance actions at the initiative of the Commission. In the 2016 budget, the initial amount available for this purpose was EUR 4.4 million for non-operational technical assistance and EUR 21.4 million for operational technical assistance.</w:t>
      </w:r>
    </w:p>
    <w:p>
      <w:pPr>
        <w:keepNext/>
        <w:tabs>
          <w:tab w:val="left" w:pos="850"/>
        </w:tabs>
        <w:spacing w:before="240" w:after="120" w:line="240" w:lineRule="auto"/>
        <w:ind w:left="850" w:hanging="850"/>
        <w:jc w:val="both"/>
        <w:outlineLvl w:val="1"/>
        <w:rPr>
          <w:rFonts w:ascii="Times New Roman" w:eastAsia="Times New Roman" w:hAnsi="Times New Roman"/>
          <w:b/>
          <w:noProof/>
          <w:sz w:val="24"/>
          <w:lang w:eastAsia="en-GB"/>
        </w:rPr>
      </w:pPr>
      <w:bookmarkStart w:id="31" w:name="_Toc331167066"/>
      <w:bookmarkStart w:id="32" w:name="_Toc393127474"/>
      <w:bookmarkStart w:id="33" w:name="_Toc485997135"/>
      <w:r>
        <w:rPr>
          <w:rFonts w:ascii="Times New Roman" w:eastAsia="Times New Roman" w:hAnsi="Times New Roman"/>
          <w:b/>
          <w:noProof/>
          <w:sz w:val="24"/>
          <w:lang w:eastAsia="en-GB"/>
        </w:rPr>
        <w:t>2.2.</w:t>
      </w:r>
      <w:r>
        <w:rPr>
          <w:rFonts w:ascii="Times New Roman" w:eastAsia="Times New Roman" w:hAnsi="Times New Roman"/>
          <w:b/>
          <w:noProof/>
          <w:sz w:val="24"/>
          <w:lang w:eastAsia="en-GB"/>
        </w:rPr>
        <w:tab/>
        <w:t>Management of payment appropriations</w:t>
      </w:r>
      <w:bookmarkEnd w:id="31"/>
      <w:bookmarkEnd w:id="32"/>
      <w:bookmarkEnd w:id="33"/>
    </w:p>
    <w:p>
      <w:pPr>
        <w:keepNext/>
        <w:tabs>
          <w:tab w:val="left" w:pos="850"/>
        </w:tabs>
        <w:spacing w:before="240" w:after="120" w:line="240" w:lineRule="auto"/>
        <w:ind w:left="850" w:hanging="850"/>
        <w:jc w:val="both"/>
        <w:outlineLvl w:val="2"/>
        <w:rPr>
          <w:rFonts w:ascii="Times New Roman" w:eastAsia="Times New Roman" w:hAnsi="Times New Roman"/>
          <w:i/>
          <w:noProof/>
          <w:sz w:val="24"/>
          <w:lang w:eastAsia="en-GB"/>
        </w:rPr>
      </w:pPr>
      <w:bookmarkStart w:id="34" w:name="_Toc331167067"/>
      <w:bookmarkStart w:id="35" w:name="_Toc393127475"/>
      <w:bookmarkStart w:id="36" w:name="_Toc485997136"/>
      <w:r>
        <w:rPr>
          <w:rFonts w:ascii="Times New Roman" w:eastAsia="Times New Roman" w:hAnsi="Times New Roman"/>
          <w:i/>
          <w:noProof/>
          <w:sz w:val="24"/>
          <w:lang w:eastAsia="en-GB"/>
        </w:rPr>
        <w:t>2.2.1.</w:t>
      </w:r>
      <w:r>
        <w:rPr>
          <w:rFonts w:ascii="Times New Roman" w:eastAsia="Times New Roman" w:hAnsi="Times New Roman"/>
          <w:i/>
          <w:noProof/>
          <w:sz w:val="24"/>
          <w:lang w:eastAsia="en-GB"/>
        </w:rPr>
        <w:tab/>
        <w:t>EAFRD rural development programmes</w:t>
      </w:r>
      <w:bookmarkEnd w:id="34"/>
      <w:bookmarkEnd w:id="35"/>
      <w:bookmarkEnd w:id="36"/>
    </w:p>
    <w:p>
      <w:pPr>
        <w:spacing w:before="120" w:after="120" w:line="240" w:lineRule="auto"/>
        <w:ind w:left="850" w:right="71"/>
        <w:jc w:val="both"/>
        <w:rPr>
          <w:rFonts w:ascii="Times New Roman" w:eastAsia="Times New Roman" w:hAnsi="Times New Roman"/>
          <w:noProof/>
          <w:sz w:val="24"/>
          <w:lang w:eastAsia="en-GB"/>
        </w:rPr>
      </w:pPr>
      <w:r>
        <w:rPr>
          <w:rFonts w:ascii="Times New Roman" w:eastAsia="Times New Roman" w:hAnsi="Times New Roman"/>
          <w:noProof/>
          <w:sz w:val="24"/>
          <w:lang w:eastAsia="en-GB"/>
        </w:rPr>
        <w:t>For the rural development programmes 2014-2020, the payment appropriations of the voted budget 2016 amounted to EUR 8 487 million. The payment appropriations were reinforced with the transfer of EUR 1.0 million from the line of the completion of rural development financed by the EAGGF Guarantee Section (item 05.040114), where no appropriations were needed. On the other hand, the payment appropriations were reduced by two transfers totalling to EUR 32.1 million which were transferred to EAGGF-Guidance 2000-2006 in order to close one of the old programmes of Objective 1. Moreover, EUR 646.1 million was transferred to cover the urgent needs linked to the closure of EAFRD 2007-2013 programmes. Taking into account all transfers, the total amount of payment appropriations available in 2016 amounted to EUR 7 809.9 million. All appropriations of 2016 have been used during the year.</w:t>
      </w:r>
    </w:p>
    <w:p>
      <w:pPr>
        <w:spacing w:before="120" w:after="120" w:line="240" w:lineRule="auto"/>
        <w:ind w:left="850" w:right="71"/>
        <w:jc w:val="both"/>
        <w:rPr>
          <w:rFonts w:ascii="Times New Roman" w:eastAsia="Times New Roman" w:hAnsi="Times New Roman"/>
          <w:noProof/>
          <w:sz w:val="24"/>
          <w:lang w:eastAsia="en-GB"/>
        </w:rPr>
      </w:pPr>
      <w:r>
        <w:rPr>
          <w:rFonts w:ascii="Times New Roman" w:eastAsia="Times New Roman" w:hAnsi="Times New Roman"/>
          <w:noProof/>
          <w:sz w:val="24"/>
          <w:lang w:eastAsia="en-GB"/>
        </w:rPr>
        <w:t>For the rural development programmes 2007-2013, payment appropriations of the voted budget 2016 amounted to EUR 3 235 million. In addition, the available assigned revenue, either carried over from 2015 or collected during the year, amounted to EUR 359.1 million. At the end of the year, the closure of the 64 programmes required additional payment appropriations. This was partially covered with a transfer from the EAFRD 2014-2020 programmes line (EUR 646.1 million),  the technical assistance line (EUR 3.0 million) and the End-of-Year transfer (EUR 264.7 million). The total amount of payment appropriations available in 2016 was EUR 4 507.9 million. Of this amount, EUR 12.1 million of assigned revenue were automatically carried over to 2017.</w:t>
      </w:r>
    </w:p>
    <w:p>
      <w:pPr>
        <w:keepNext/>
        <w:keepLines/>
        <w:spacing w:before="120" w:after="120" w:line="240" w:lineRule="auto"/>
        <w:ind w:left="850"/>
        <w:jc w:val="both"/>
        <w:rPr>
          <w:rFonts w:ascii="Times New Roman" w:eastAsia="Times New Roman" w:hAnsi="Times New Roman"/>
          <w:noProof/>
          <w:sz w:val="24"/>
          <w:lang w:eastAsia="en-GB"/>
        </w:rPr>
      </w:pPr>
      <w:bookmarkStart w:id="37" w:name="OLE_LINK9"/>
      <w:r>
        <w:rPr>
          <w:rFonts w:ascii="Times New Roman" w:eastAsia="Times New Roman" w:hAnsi="Times New Roman"/>
          <w:noProof/>
          <w:sz w:val="24"/>
          <w:lang w:eastAsia="en-GB"/>
        </w:rPr>
        <w:t>Table 5</w:t>
      </w:r>
    </w:p>
    <w:tbl>
      <w:tblPr>
        <w:tblW w:w="7752" w:type="dxa"/>
        <w:tblInd w:w="948" w:type="dxa"/>
        <w:tblLook w:val="04A0" w:firstRow="1" w:lastRow="0" w:firstColumn="1" w:lastColumn="0" w:noHBand="0" w:noVBand="1"/>
      </w:tblPr>
      <w:tblGrid>
        <w:gridCol w:w="4992"/>
        <w:gridCol w:w="2760"/>
      </w:tblGrid>
      <w:tr>
        <w:trPr>
          <w:trHeight w:val="285"/>
        </w:trPr>
        <w:tc>
          <w:tcPr>
            <w:tcW w:w="7752" w:type="dxa"/>
            <w:gridSpan w:val="2"/>
            <w:tcBorders>
              <w:top w:val="single" w:sz="8" w:space="0" w:color="auto"/>
              <w:left w:val="single" w:sz="8" w:space="0" w:color="auto"/>
              <w:bottom w:val="nil"/>
              <w:right w:val="single" w:sz="8" w:space="0" w:color="000000"/>
            </w:tcBorders>
            <w:shd w:val="clear" w:color="000000" w:fill="FFFF99"/>
            <w:vAlign w:val="center"/>
            <w:hideMark/>
          </w:tcPr>
          <w:p>
            <w:pPr>
              <w:spacing w:after="0" w:line="240" w:lineRule="auto"/>
              <w:jc w:val="center"/>
              <w:rPr>
                <w:rFonts w:ascii="Times New Roman" w:eastAsia="Times New Roman" w:hAnsi="Times New Roman"/>
                <w:b/>
                <w:bCs/>
                <w:noProof/>
                <w:lang w:eastAsia="en-GB"/>
              </w:rPr>
            </w:pPr>
            <w:r>
              <w:rPr>
                <w:rFonts w:ascii="Times New Roman" w:eastAsia="Times New Roman" w:hAnsi="Times New Roman"/>
                <w:b/>
                <w:bCs/>
                <w:noProof/>
                <w:lang w:eastAsia="en-GB"/>
              </w:rPr>
              <w:t>Management of payment appropriations in 2016</w:t>
            </w:r>
          </w:p>
        </w:tc>
      </w:tr>
      <w:tr>
        <w:trPr>
          <w:trHeight w:val="300"/>
        </w:trPr>
        <w:tc>
          <w:tcPr>
            <w:tcW w:w="7752" w:type="dxa"/>
            <w:gridSpan w:val="2"/>
            <w:tcBorders>
              <w:top w:val="nil"/>
              <w:left w:val="single" w:sz="8" w:space="0" w:color="auto"/>
              <w:bottom w:val="single" w:sz="8" w:space="0" w:color="auto"/>
              <w:right w:val="single" w:sz="8" w:space="0" w:color="000000"/>
            </w:tcBorders>
            <w:shd w:val="clear" w:color="000000" w:fill="FFFF99"/>
            <w:vAlign w:val="center"/>
            <w:hideMark/>
          </w:tcPr>
          <w:p>
            <w:pPr>
              <w:spacing w:after="0" w:line="240" w:lineRule="auto"/>
              <w:jc w:val="center"/>
              <w:rPr>
                <w:rFonts w:ascii="Times New Roman" w:eastAsia="Times New Roman" w:hAnsi="Times New Roman"/>
                <w:b/>
                <w:bCs/>
                <w:noProof/>
                <w:lang w:eastAsia="en-GB"/>
              </w:rPr>
            </w:pPr>
            <w:r>
              <w:rPr>
                <w:rFonts w:ascii="Times New Roman" w:eastAsia="Times New Roman" w:hAnsi="Times New Roman"/>
                <w:b/>
                <w:bCs/>
                <w:noProof/>
                <w:lang w:eastAsia="en-GB"/>
              </w:rPr>
              <w:t>(in EUR)</w:t>
            </w:r>
          </w:p>
        </w:tc>
      </w:tr>
      <w:tr>
        <w:trPr>
          <w:trHeight w:val="178"/>
        </w:trPr>
        <w:tc>
          <w:tcPr>
            <w:tcW w:w="775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noProof/>
                <w:lang w:eastAsia="en-GB"/>
              </w:rPr>
            </w:pPr>
            <w:r>
              <w:rPr>
                <w:rFonts w:ascii="Times New Roman" w:eastAsia="Times New Roman" w:hAnsi="Times New Roman"/>
                <w:noProof/>
                <w:lang w:eastAsia="en-GB"/>
              </w:rPr>
              <w:t> </w:t>
            </w:r>
          </w:p>
        </w:tc>
      </w:tr>
      <w:tr>
        <w:trPr>
          <w:trHeight w:val="285"/>
        </w:trPr>
        <w:tc>
          <w:tcPr>
            <w:tcW w:w="7752" w:type="dxa"/>
            <w:gridSpan w:val="2"/>
            <w:tcBorders>
              <w:top w:val="single" w:sz="8" w:space="0" w:color="auto"/>
              <w:left w:val="single" w:sz="8" w:space="0" w:color="auto"/>
              <w:bottom w:val="nil"/>
              <w:right w:val="single" w:sz="8" w:space="0" w:color="000000"/>
            </w:tcBorders>
            <w:shd w:val="pct50" w:color="FFFF00" w:fill="FFFF9C"/>
            <w:vAlign w:val="center"/>
            <w:hideMark/>
          </w:tcPr>
          <w:p>
            <w:pPr>
              <w:spacing w:after="0" w:line="240" w:lineRule="auto"/>
              <w:jc w:val="center"/>
              <w:rPr>
                <w:rFonts w:ascii="Times New Roman" w:eastAsia="Times New Roman" w:hAnsi="Times New Roman"/>
                <w:b/>
                <w:bCs/>
                <w:noProof/>
                <w:lang w:eastAsia="en-GB"/>
              </w:rPr>
            </w:pPr>
            <w:r>
              <w:rPr>
                <w:rFonts w:ascii="Times New Roman" w:eastAsia="Times New Roman" w:hAnsi="Times New Roman"/>
                <w:b/>
                <w:bCs/>
                <w:noProof/>
                <w:lang w:eastAsia="en-GB"/>
              </w:rPr>
              <w:t>EAFRD (2014-2020)</w:t>
            </w:r>
          </w:p>
        </w:tc>
      </w:tr>
      <w:tr>
        <w:trPr>
          <w:trHeight w:val="300"/>
        </w:trPr>
        <w:tc>
          <w:tcPr>
            <w:tcW w:w="7752" w:type="dxa"/>
            <w:gridSpan w:val="2"/>
            <w:tcBorders>
              <w:top w:val="nil"/>
              <w:left w:val="single" w:sz="8" w:space="0" w:color="auto"/>
              <w:bottom w:val="single" w:sz="8" w:space="0" w:color="auto"/>
              <w:right w:val="single" w:sz="8" w:space="0" w:color="000000"/>
            </w:tcBorders>
            <w:shd w:val="pct50" w:color="FFFF00" w:fill="FFFF9C"/>
            <w:vAlign w:val="center"/>
            <w:hideMark/>
          </w:tcPr>
          <w:p>
            <w:pPr>
              <w:spacing w:after="0" w:line="240" w:lineRule="auto"/>
              <w:jc w:val="center"/>
              <w:rPr>
                <w:rFonts w:ascii="Times New Roman" w:eastAsia="Times New Roman" w:hAnsi="Times New Roman"/>
                <w:b/>
                <w:bCs/>
                <w:noProof/>
                <w:lang w:eastAsia="en-GB"/>
              </w:rPr>
            </w:pPr>
            <w:r>
              <w:rPr>
                <w:rFonts w:ascii="Times New Roman" w:eastAsia="Times New Roman" w:hAnsi="Times New Roman"/>
                <w:b/>
                <w:bCs/>
                <w:noProof/>
                <w:lang w:eastAsia="en-GB"/>
              </w:rPr>
              <w:t>Budget Item - 05.046001</w:t>
            </w:r>
          </w:p>
        </w:tc>
      </w:tr>
      <w:tr>
        <w:trPr>
          <w:trHeight w:val="315"/>
        </w:trPr>
        <w:tc>
          <w:tcPr>
            <w:tcW w:w="4992"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lang w:eastAsia="en-GB"/>
              </w:rPr>
            </w:pPr>
            <w:r>
              <w:rPr>
                <w:rFonts w:ascii="Times New Roman" w:eastAsia="Times New Roman" w:hAnsi="Times New Roman"/>
                <w:noProof/>
                <w:lang w:eastAsia="en-GB"/>
              </w:rPr>
              <w:t>Appropriations at the beginning of 2016</w:t>
            </w:r>
          </w:p>
        </w:tc>
        <w:tc>
          <w:tcPr>
            <w:tcW w:w="276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lang w:eastAsia="en-GB"/>
              </w:rPr>
            </w:pPr>
            <w:r>
              <w:rPr>
                <w:rFonts w:ascii="Times New Roman" w:eastAsia="Times New Roman" w:hAnsi="Times New Roman"/>
                <w:noProof/>
                <w:lang w:eastAsia="en-GB"/>
              </w:rPr>
              <w:t>8 487 000 000</w:t>
            </w:r>
          </w:p>
        </w:tc>
      </w:tr>
      <w:tr>
        <w:trPr>
          <w:trHeight w:val="615"/>
        </w:trPr>
        <w:tc>
          <w:tcPr>
            <w:tcW w:w="4992"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lang w:eastAsia="en-GB"/>
              </w:rPr>
            </w:pPr>
            <w:r>
              <w:rPr>
                <w:rFonts w:ascii="Times New Roman" w:eastAsia="Times New Roman" w:hAnsi="Times New Roman"/>
                <w:noProof/>
                <w:lang w:eastAsia="en-GB"/>
              </w:rPr>
              <w:t>Transfer to EAGGF-Guidance — Objective 1 regions (2000 to 2006)</w:t>
            </w:r>
          </w:p>
        </w:tc>
        <w:tc>
          <w:tcPr>
            <w:tcW w:w="276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lang w:eastAsia="en-GB"/>
              </w:rPr>
            </w:pPr>
            <w:r>
              <w:rPr>
                <w:rFonts w:ascii="Times New Roman" w:eastAsia="Times New Roman" w:hAnsi="Times New Roman"/>
                <w:noProof/>
                <w:lang w:eastAsia="en-GB"/>
              </w:rPr>
              <w:t>-5 124 931</w:t>
            </w:r>
          </w:p>
        </w:tc>
      </w:tr>
      <w:tr>
        <w:trPr>
          <w:trHeight w:val="615"/>
        </w:trPr>
        <w:tc>
          <w:tcPr>
            <w:tcW w:w="4992"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lang w:eastAsia="en-GB"/>
              </w:rPr>
            </w:pPr>
            <w:r>
              <w:rPr>
                <w:rFonts w:ascii="Times New Roman" w:eastAsia="Times New Roman" w:hAnsi="Times New Roman"/>
                <w:noProof/>
                <w:lang w:eastAsia="en-GB"/>
              </w:rPr>
              <w:t>Transfer to EAGGF-Guidance — Objective 1 regions (2000 to 2006)</w:t>
            </w:r>
          </w:p>
        </w:tc>
        <w:tc>
          <w:tcPr>
            <w:tcW w:w="276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lang w:eastAsia="en-GB"/>
              </w:rPr>
            </w:pPr>
            <w:r>
              <w:rPr>
                <w:rFonts w:ascii="Times New Roman" w:eastAsia="Times New Roman" w:hAnsi="Times New Roman"/>
                <w:noProof/>
                <w:lang w:eastAsia="en-GB"/>
              </w:rPr>
              <w:t>-26 940 235</w:t>
            </w:r>
          </w:p>
        </w:tc>
      </w:tr>
      <w:tr>
        <w:trPr>
          <w:trHeight w:val="394"/>
        </w:trPr>
        <w:tc>
          <w:tcPr>
            <w:tcW w:w="4992"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lang w:eastAsia="en-GB"/>
              </w:rPr>
            </w:pPr>
            <w:r>
              <w:rPr>
                <w:rFonts w:ascii="Times New Roman" w:eastAsia="Times New Roman" w:hAnsi="Times New Roman"/>
                <w:noProof/>
                <w:lang w:eastAsia="en-GB"/>
              </w:rPr>
              <w:t>Transfer from EAGGF Guarantee Section 2000-2006</w:t>
            </w:r>
          </w:p>
        </w:tc>
        <w:tc>
          <w:tcPr>
            <w:tcW w:w="276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lang w:eastAsia="en-GB"/>
              </w:rPr>
            </w:pPr>
            <w:r>
              <w:rPr>
                <w:rFonts w:ascii="Times New Roman" w:eastAsia="Times New Roman" w:hAnsi="Times New Roman"/>
                <w:noProof/>
                <w:lang w:eastAsia="en-GB"/>
              </w:rPr>
              <w:t>1 006 524</w:t>
            </w:r>
          </w:p>
        </w:tc>
      </w:tr>
      <w:tr>
        <w:trPr>
          <w:trHeight w:val="315"/>
        </w:trPr>
        <w:tc>
          <w:tcPr>
            <w:tcW w:w="4992"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lang w:eastAsia="en-GB"/>
              </w:rPr>
            </w:pPr>
            <w:r>
              <w:rPr>
                <w:rFonts w:ascii="Times New Roman" w:eastAsia="Times New Roman" w:hAnsi="Times New Roman"/>
                <w:noProof/>
                <w:lang w:eastAsia="en-GB"/>
              </w:rPr>
              <w:t>Transfer to EAFRD 2007-2013</w:t>
            </w:r>
          </w:p>
        </w:tc>
        <w:tc>
          <w:tcPr>
            <w:tcW w:w="276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lang w:eastAsia="en-GB"/>
              </w:rPr>
            </w:pPr>
            <w:r>
              <w:rPr>
                <w:rFonts w:ascii="Times New Roman" w:eastAsia="Times New Roman" w:hAnsi="Times New Roman"/>
                <w:noProof/>
                <w:lang w:eastAsia="en-GB"/>
              </w:rPr>
              <w:t>-646 066 430</w:t>
            </w:r>
          </w:p>
        </w:tc>
      </w:tr>
      <w:tr>
        <w:trPr>
          <w:trHeight w:val="315"/>
        </w:trPr>
        <w:tc>
          <w:tcPr>
            <w:tcW w:w="4992"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b/>
                <w:bCs/>
                <w:noProof/>
                <w:lang w:eastAsia="en-GB"/>
              </w:rPr>
            </w:pPr>
            <w:r>
              <w:rPr>
                <w:rFonts w:ascii="Times New Roman" w:eastAsia="Times New Roman" w:hAnsi="Times New Roman"/>
                <w:b/>
                <w:bCs/>
                <w:noProof/>
                <w:lang w:eastAsia="en-GB"/>
              </w:rPr>
              <w:t>Appropriations available in 2016</w:t>
            </w:r>
          </w:p>
        </w:tc>
        <w:tc>
          <w:tcPr>
            <w:tcW w:w="276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b/>
                <w:bCs/>
                <w:noProof/>
                <w:lang w:eastAsia="en-GB"/>
              </w:rPr>
            </w:pPr>
            <w:r>
              <w:rPr>
                <w:rFonts w:ascii="Times New Roman" w:eastAsia="Times New Roman" w:hAnsi="Times New Roman"/>
                <w:b/>
                <w:bCs/>
                <w:noProof/>
                <w:lang w:eastAsia="en-GB"/>
              </w:rPr>
              <w:t>7 809 874 928</w:t>
            </w:r>
          </w:p>
        </w:tc>
      </w:tr>
      <w:tr>
        <w:trPr>
          <w:trHeight w:val="315"/>
        </w:trPr>
        <w:tc>
          <w:tcPr>
            <w:tcW w:w="4992"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lang w:eastAsia="en-GB"/>
              </w:rPr>
            </w:pPr>
            <w:r>
              <w:rPr>
                <w:rFonts w:ascii="Times New Roman" w:eastAsia="Times New Roman" w:hAnsi="Times New Roman"/>
                <w:noProof/>
                <w:lang w:eastAsia="en-GB"/>
              </w:rPr>
              <w:t>Appropriations used in 2016</w:t>
            </w:r>
          </w:p>
        </w:tc>
        <w:tc>
          <w:tcPr>
            <w:tcW w:w="276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lang w:eastAsia="en-GB"/>
              </w:rPr>
            </w:pPr>
            <w:r>
              <w:rPr>
                <w:rFonts w:ascii="Times New Roman" w:eastAsia="Times New Roman" w:hAnsi="Times New Roman"/>
                <w:noProof/>
                <w:lang w:eastAsia="en-GB"/>
              </w:rPr>
              <w:t>7 809 874 920</w:t>
            </w:r>
          </w:p>
        </w:tc>
      </w:tr>
      <w:tr>
        <w:trPr>
          <w:trHeight w:val="315"/>
        </w:trPr>
        <w:tc>
          <w:tcPr>
            <w:tcW w:w="4992" w:type="dxa"/>
            <w:tcBorders>
              <w:top w:val="nil"/>
              <w:left w:val="single" w:sz="8" w:space="0" w:color="auto"/>
              <w:bottom w:val="single" w:sz="8" w:space="0" w:color="auto"/>
              <w:right w:val="single" w:sz="8" w:space="0" w:color="auto"/>
            </w:tcBorders>
            <w:shd w:val="clear" w:color="auto" w:fill="auto"/>
            <w:vAlign w:val="center"/>
          </w:tcPr>
          <w:p>
            <w:pPr>
              <w:spacing w:after="0" w:line="240" w:lineRule="auto"/>
              <w:rPr>
                <w:rFonts w:ascii="Times New Roman" w:eastAsia="Times New Roman" w:hAnsi="Times New Roman"/>
                <w:noProof/>
                <w:lang w:eastAsia="en-GB"/>
              </w:rPr>
            </w:pPr>
          </w:p>
          <w:p>
            <w:pPr>
              <w:spacing w:after="0" w:line="240" w:lineRule="auto"/>
              <w:rPr>
                <w:rFonts w:ascii="Times New Roman" w:eastAsia="Times New Roman" w:hAnsi="Times New Roman"/>
                <w:noProof/>
                <w:lang w:eastAsia="en-GB"/>
              </w:rPr>
            </w:pPr>
          </w:p>
        </w:tc>
        <w:tc>
          <w:tcPr>
            <w:tcW w:w="2760" w:type="dxa"/>
            <w:tcBorders>
              <w:top w:val="nil"/>
              <w:left w:val="nil"/>
              <w:bottom w:val="single" w:sz="8" w:space="0" w:color="auto"/>
              <w:right w:val="single" w:sz="8" w:space="0" w:color="auto"/>
            </w:tcBorders>
            <w:shd w:val="clear" w:color="auto" w:fill="auto"/>
            <w:vAlign w:val="center"/>
          </w:tcPr>
          <w:p>
            <w:pPr>
              <w:spacing w:after="0" w:line="240" w:lineRule="auto"/>
              <w:jc w:val="right"/>
              <w:rPr>
                <w:rFonts w:ascii="Times New Roman" w:eastAsia="Times New Roman" w:hAnsi="Times New Roman"/>
                <w:noProof/>
                <w:lang w:eastAsia="en-GB"/>
              </w:rPr>
            </w:pPr>
          </w:p>
        </w:tc>
      </w:tr>
      <w:tr>
        <w:trPr>
          <w:trHeight w:val="315"/>
        </w:trPr>
        <w:tc>
          <w:tcPr>
            <w:tcW w:w="7752" w:type="dxa"/>
            <w:gridSpan w:val="2"/>
            <w:tcBorders>
              <w:top w:val="single" w:sz="8" w:space="0" w:color="auto"/>
              <w:left w:val="single" w:sz="8" w:space="0" w:color="auto"/>
              <w:bottom w:val="nil"/>
              <w:right w:val="single" w:sz="8" w:space="0" w:color="000000"/>
            </w:tcBorders>
            <w:shd w:val="clear" w:color="000000" w:fill="FFFF99"/>
            <w:vAlign w:val="center"/>
            <w:hideMark/>
          </w:tcPr>
          <w:p>
            <w:pPr>
              <w:spacing w:after="0" w:line="240" w:lineRule="auto"/>
              <w:jc w:val="center"/>
              <w:rPr>
                <w:rFonts w:ascii="Times New Roman" w:eastAsia="Times New Roman" w:hAnsi="Times New Roman"/>
                <w:b/>
                <w:bCs/>
                <w:noProof/>
                <w:lang w:eastAsia="en-GB"/>
              </w:rPr>
            </w:pPr>
            <w:r>
              <w:rPr>
                <w:rFonts w:ascii="Times New Roman" w:eastAsia="Times New Roman" w:hAnsi="Times New Roman"/>
                <w:b/>
                <w:bCs/>
                <w:noProof/>
                <w:lang w:eastAsia="en-GB"/>
              </w:rPr>
              <w:t>EAFRD (2007-2013)</w:t>
            </w:r>
          </w:p>
        </w:tc>
      </w:tr>
      <w:tr>
        <w:trPr>
          <w:trHeight w:val="285"/>
        </w:trPr>
        <w:tc>
          <w:tcPr>
            <w:tcW w:w="7752" w:type="dxa"/>
            <w:gridSpan w:val="2"/>
            <w:tcBorders>
              <w:top w:val="nil"/>
              <w:left w:val="single" w:sz="8" w:space="0" w:color="auto"/>
              <w:bottom w:val="single" w:sz="8" w:space="0" w:color="auto"/>
              <w:right w:val="single" w:sz="8" w:space="0" w:color="000000"/>
            </w:tcBorders>
            <w:shd w:val="clear" w:color="000000" w:fill="FFFF99"/>
            <w:vAlign w:val="center"/>
            <w:hideMark/>
          </w:tcPr>
          <w:p>
            <w:pPr>
              <w:spacing w:after="0" w:line="240" w:lineRule="auto"/>
              <w:jc w:val="center"/>
              <w:rPr>
                <w:rFonts w:ascii="Times New Roman" w:eastAsia="Times New Roman" w:hAnsi="Times New Roman"/>
                <w:b/>
                <w:bCs/>
                <w:noProof/>
                <w:lang w:eastAsia="en-GB"/>
              </w:rPr>
            </w:pPr>
            <w:r>
              <w:rPr>
                <w:rFonts w:ascii="Times New Roman" w:eastAsia="Times New Roman" w:hAnsi="Times New Roman"/>
                <w:b/>
                <w:bCs/>
                <w:noProof/>
                <w:lang w:eastAsia="en-GB"/>
              </w:rPr>
              <w:t xml:space="preserve">Budget Item - </w:t>
            </w:r>
            <w:r>
              <w:rPr>
                <w:rFonts w:ascii="Times New Roman" w:eastAsia="Times New Roman" w:hAnsi="Times New Roman"/>
                <w:b/>
                <w:bCs/>
                <w:noProof/>
                <w:sz w:val="20"/>
                <w:szCs w:val="20"/>
                <w:lang w:eastAsia="en-GB"/>
              </w:rPr>
              <w:t>05.040501</w:t>
            </w:r>
          </w:p>
        </w:tc>
      </w:tr>
      <w:tr>
        <w:trPr>
          <w:trHeight w:val="315"/>
        </w:trPr>
        <w:tc>
          <w:tcPr>
            <w:tcW w:w="4992"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lang w:eastAsia="en-GB"/>
              </w:rPr>
            </w:pPr>
            <w:r>
              <w:rPr>
                <w:rFonts w:ascii="Times New Roman" w:eastAsia="Times New Roman" w:hAnsi="Times New Roman"/>
                <w:noProof/>
                <w:lang w:eastAsia="en-GB"/>
              </w:rPr>
              <w:t>Appropriations at the beginning of 2016</w:t>
            </w:r>
          </w:p>
        </w:tc>
        <w:tc>
          <w:tcPr>
            <w:tcW w:w="276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lang w:eastAsia="en-GB"/>
              </w:rPr>
            </w:pPr>
            <w:r>
              <w:rPr>
                <w:rFonts w:ascii="Times New Roman" w:eastAsia="Times New Roman" w:hAnsi="Times New Roman"/>
                <w:noProof/>
                <w:lang w:eastAsia="en-GB"/>
              </w:rPr>
              <w:t>3 235 000 000</w:t>
            </w:r>
          </w:p>
        </w:tc>
      </w:tr>
      <w:tr>
        <w:trPr>
          <w:trHeight w:val="315"/>
        </w:trPr>
        <w:tc>
          <w:tcPr>
            <w:tcW w:w="4992"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lang w:eastAsia="en-GB"/>
              </w:rPr>
            </w:pPr>
            <w:r>
              <w:rPr>
                <w:rFonts w:ascii="Times New Roman" w:eastAsia="Times New Roman" w:hAnsi="Times New Roman"/>
                <w:noProof/>
                <w:lang w:eastAsia="en-GB"/>
              </w:rPr>
              <w:t>Assigned revenue carried over from 2015</w:t>
            </w:r>
          </w:p>
        </w:tc>
        <w:tc>
          <w:tcPr>
            <w:tcW w:w="276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lang w:eastAsia="en-GB"/>
              </w:rPr>
            </w:pPr>
            <w:r>
              <w:rPr>
                <w:rFonts w:ascii="Times New Roman" w:eastAsia="Times New Roman" w:hAnsi="Times New Roman"/>
                <w:noProof/>
                <w:lang w:eastAsia="en-GB"/>
              </w:rPr>
              <w:t>22 697 504</w:t>
            </w:r>
          </w:p>
        </w:tc>
      </w:tr>
      <w:tr>
        <w:trPr>
          <w:trHeight w:val="315"/>
        </w:trPr>
        <w:tc>
          <w:tcPr>
            <w:tcW w:w="4992"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lang w:eastAsia="en-GB"/>
              </w:rPr>
            </w:pPr>
            <w:r>
              <w:rPr>
                <w:rFonts w:ascii="Times New Roman" w:eastAsia="Times New Roman" w:hAnsi="Times New Roman"/>
                <w:noProof/>
                <w:lang w:eastAsia="en-GB"/>
              </w:rPr>
              <w:t>Assigned revenue collected in 2016</w:t>
            </w:r>
          </w:p>
        </w:tc>
        <w:tc>
          <w:tcPr>
            <w:tcW w:w="276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lang w:eastAsia="en-GB"/>
              </w:rPr>
            </w:pPr>
            <w:r>
              <w:rPr>
                <w:rFonts w:ascii="Times New Roman" w:eastAsia="Times New Roman" w:hAnsi="Times New Roman"/>
                <w:noProof/>
                <w:lang w:eastAsia="en-GB"/>
              </w:rPr>
              <w:t>336 400 606</w:t>
            </w:r>
          </w:p>
        </w:tc>
      </w:tr>
      <w:tr>
        <w:trPr>
          <w:trHeight w:val="315"/>
        </w:trPr>
        <w:tc>
          <w:tcPr>
            <w:tcW w:w="4992"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lang w:eastAsia="en-GB"/>
              </w:rPr>
            </w:pPr>
            <w:r>
              <w:rPr>
                <w:rFonts w:ascii="Times New Roman" w:eastAsia="Times New Roman" w:hAnsi="Times New Roman"/>
                <w:noProof/>
                <w:lang w:eastAsia="en-GB"/>
              </w:rPr>
              <w:t xml:space="preserve">Transfer from EAFRD 2014-2020 </w:t>
            </w:r>
          </w:p>
        </w:tc>
        <w:tc>
          <w:tcPr>
            <w:tcW w:w="276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lang w:eastAsia="en-GB"/>
              </w:rPr>
            </w:pPr>
            <w:r>
              <w:rPr>
                <w:rFonts w:ascii="Times New Roman" w:eastAsia="Times New Roman" w:hAnsi="Times New Roman"/>
                <w:noProof/>
                <w:lang w:eastAsia="en-GB"/>
              </w:rPr>
              <w:t>646 066 430</w:t>
            </w:r>
          </w:p>
        </w:tc>
      </w:tr>
      <w:tr>
        <w:trPr>
          <w:trHeight w:val="315"/>
        </w:trPr>
        <w:tc>
          <w:tcPr>
            <w:tcW w:w="4992"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lang w:eastAsia="en-GB"/>
              </w:rPr>
            </w:pPr>
            <w:r>
              <w:rPr>
                <w:rFonts w:ascii="Times New Roman" w:eastAsia="Times New Roman" w:hAnsi="Times New Roman"/>
                <w:noProof/>
                <w:lang w:eastAsia="en-GB"/>
              </w:rPr>
              <w:t>Transfer from TA line of EAFRD 2014-2020</w:t>
            </w:r>
          </w:p>
        </w:tc>
        <w:tc>
          <w:tcPr>
            <w:tcW w:w="276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lang w:eastAsia="en-GB"/>
              </w:rPr>
            </w:pPr>
            <w:r>
              <w:rPr>
                <w:rFonts w:ascii="Times New Roman" w:eastAsia="Times New Roman" w:hAnsi="Times New Roman"/>
                <w:noProof/>
                <w:lang w:eastAsia="en-GB"/>
              </w:rPr>
              <w:t>3 000 000</w:t>
            </w:r>
          </w:p>
        </w:tc>
      </w:tr>
      <w:tr>
        <w:trPr>
          <w:trHeight w:val="315"/>
        </w:trPr>
        <w:tc>
          <w:tcPr>
            <w:tcW w:w="4992"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lang w:eastAsia="en-GB"/>
              </w:rPr>
            </w:pPr>
            <w:r>
              <w:rPr>
                <w:rFonts w:ascii="Times New Roman" w:eastAsia="Times New Roman" w:hAnsi="Times New Roman"/>
                <w:noProof/>
                <w:lang w:eastAsia="en-GB"/>
              </w:rPr>
              <w:t>End-of-the year transfer</w:t>
            </w:r>
          </w:p>
        </w:tc>
        <w:tc>
          <w:tcPr>
            <w:tcW w:w="276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lang w:eastAsia="en-GB"/>
              </w:rPr>
            </w:pPr>
            <w:r>
              <w:rPr>
                <w:rFonts w:ascii="Times New Roman" w:eastAsia="Times New Roman" w:hAnsi="Times New Roman"/>
                <w:noProof/>
                <w:lang w:eastAsia="en-GB"/>
              </w:rPr>
              <w:t>264 739 750</w:t>
            </w:r>
          </w:p>
        </w:tc>
      </w:tr>
      <w:tr>
        <w:trPr>
          <w:trHeight w:val="300"/>
        </w:trPr>
        <w:tc>
          <w:tcPr>
            <w:tcW w:w="4992"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b/>
                <w:bCs/>
                <w:noProof/>
                <w:lang w:eastAsia="en-GB"/>
              </w:rPr>
            </w:pPr>
            <w:r>
              <w:rPr>
                <w:rFonts w:ascii="Times New Roman" w:eastAsia="Times New Roman" w:hAnsi="Times New Roman"/>
                <w:b/>
                <w:bCs/>
                <w:noProof/>
                <w:lang w:eastAsia="en-GB"/>
              </w:rPr>
              <w:t>Appropriations available in 2016</w:t>
            </w:r>
          </w:p>
        </w:tc>
        <w:tc>
          <w:tcPr>
            <w:tcW w:w="276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b/>
                <w:bCs/>
                <w:noProof/>
                <w:lang w:eastAsia="en-GB"/>
              </w:rPr>
            </w:pPr>
            <w:r>
              <w:rPr>
                <w:rFonts w:ascii="Times New Roman" w:eastAsia="Times New Roman" w:hAnsi="Times New Roman"/>
                <w:b/>
                <w:bCs/>
                <w:noProof/>
                <w:lang w:eastAsia="en-GB"/>
              </w:rPr>
              <w:t>4 507 904 290</w:t>
            </w:r>
          </w:p>
        </w:tc>
      </w:tr>
      <w:tr>
        <w:trPr>
          <w:trHeight w:val="315"/>
        </w:trPr>
        <w:tc>
          <w:tcPr>
            <w:tcW w:w="4992"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lang w:eastAsia="en-GB"/>
              </w:rPr>
            </w:pPr>
            <w:r>
              <w:rPr>
                <w:rFonts w:ascii="Times New Roman" w:eastAsia="Times New Roman" w:hAnsi="Times New Roman"/>
                <w:noProof/>
                <w:lang w:eastAsia="en-GB"/>
              </w:rPr>
              <w:t>Appropriations used in 2016</w:t>
            </w:r>
          </w:p>
        </w:tc>
        <w:tc>
          <w:tcPr>
            <w:tcW w:w="276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lang w:eastAsia="en-GB"/>
              </w:rPr>
            </w:pPr>
            <w:r>
              <w:rPr>
                <w:rFonts w:ascii="Times New Roman" w:eastAsia="Times New Roman" w:hAnsi="Times New Roman"/>
                <w:noProof/>
                <w:lang w:eastAsia="en-GB"/>
              </w:rPr>
              <w:t>4 495 770 025</w:t>
            </w:r>
          </w:p>
        </w:tc>
      </w:tr>
    </w:tbl>
    <w:p>
      <w:pPr>
        <w:spacing w:before="120" w:after="120" w:line="240" w:lineRule="auto"/>
        <w:ind w:left="850"/>
        <w:jc w:val="both"/>
        <w:rPr>
          <w:rFonts w:ascii="Times New Roman" w:eastAsia="Times New Roman" w:hAnsi="Times New Roman"/>
          <w:noProof/>
          <w:sz w:val="24"/>
          <w:lang w:eastAsia="en-GB"/>
        </w:rPr>
      </w:pPr>
    </w:p>
    <w:p>
      <w:pPr>
        <w:keepNext/>
        <w:tabs>
          <w:tab w:val="left" w:pos="850"/>
        </w:tabs>
        <w:spacing w:before="240" w:after="120" w:line="240" w:lineRule="auto"/>
        <w:ind w:left="850" w:hanging="850"/>
        <w:jc w:val="both"/>
        <w:outlineLvl w:val="2"/>
        <w:rPr>
          <w:rFonts w:ascii="Times New Roman" w:eastAsia="Times New Roman" w:hAnsi="Times New Roman"/>
          <w:i/>
          <w:noProof/>
          <w:sz w:val="24"/>
          <w:lang w:eastAsia="en-GB"/>
        </w:rPr>
      </w:pPr>
      <w:bookmarkStart w:id="38" w:name="_Toc331167068"/>
      <w:bookmarkStart w:id="39" w:name="_Toc393127476"/>
      <w:bookmarkStart w:id="40" w:name="_Toc485997137"/>
      <w:bookmarkEnd w:id="37"/>
      <w:r>
        <w:rPr>
          <w:rFonts w:ascii="Times New Roman" w:eastAsia="Times New Roman" w:hAnsi="Times New Roman"/>
          <w:i/>
          <w:noProof/>
          <w:sz w:val="24"/>
          <w:lang w:eastAsia="en-GB"/>
        </w:rPr>
        <w:t>2.2.2.</w:t>
      </w:r>
      <w:r>
        <w:rPr>
          <w:rFonts w:ascii="Times New Roman" w:eastAsia="Times New Roman" w:hAnsi="Times New Roman"/>
          <w:i/>
          <w:noProof/>
          <w:sz w:val="24"/>
          <w:lang w:eastAsia="en-GB"/>
        </w:rPr>
        <w:tab/>
        <w:t>Technical assistance</w:t>
      </w:r>
      <w:bookmarkEnd w:id="38"/>
      <w:bookmarkEnd w:id="39"/>
      <w:bookmarkEnd w:id="40"/>
    </w:p>
    <w:p>
      <w:pPr>
        <w:spacing w:before="120" w:after="120" w:line="240" w:lineRule="auto"/>
        <w:ind w:left="850" w:right="71"/>
        <w:jc w:val="both"/>
        <w:rPr>
          <w:rFonts w:ascii="Times New Roman" w:eastAsia="Times New Roman" w:hAnsi="Times New Roman"/>
          <w:noProof/>
          <w:sz w:val="24"/>
          <w:lang w:eastAsia="en-GB"/>
        </w:rPr>
      </w:pPr>
      <w:r>
        <w:rPr>
          <w:rFonts w:ascii="Times New Roman" w:eastAsia="Times New Roman" w:hAnsi="Times New Roman"/>
          <w:noProof/>
          <w:sz w:val="24"/>
          <w:lang w:eastAsia="en-GB"/>
        </w:rPr>
        <w:t>As regards the EAFRD, total payment appropriations in the 2016 budget amounted to EUR 20.0 million. EUR 3.0 million were transferred to the EAFRD 2007-2013 programmes line in order to cover the closure of programmes EAFRD 2007-2013. The final payment appropriations was EUR 17.0 million. The total payments reached EUR 12.8 million.</w:t>
      </w:r>
    </w:p>
    <w:p>
      <w:pPr>
        <w:keepNext/>
        <w:tabs>
          <w:tab w:val="left" w:pos="850"/>
        </w:tabs>
        <w:spacing w:before="360" w:after="120" w:line="240" w:lineRule="auto"/>
        <w:ind w:left="850" w:right="749" w:hanging="850"/>
        <w:jc w:val="both"/>
        <w:outlineLvl w:val="0"/>
        <w:rPr>
          <w:rFonts w:ascii="Times New Roman" w:eastAsia="Times New Roman" w:hAnsi="Times New Roman"/>
          <w:b/>
          <w:smallCaps/>
          <w:noProof/>
          <w:sz w:val="24"/>
          <w:lang w:eastAsia="en-GB"/>
        </w:rPr>
      </w:pPr>
      <w:bookmarkStart w:id="41" w:name="_Toc331167069"/>
      <w:bookmarkStart w:id="42" w:name="_Toc393127477"/>
      <w:bookmarkStart w:id="43" w:name="_Toc485997138"/>
      <w:r>
        <w:rPr>
          <w:rFonts w:ascii="Times New Roman" w:eastAsia="Times New Roman" w:hAnsi="Times New Roman"/>
          <w:b/>
          <w:smallCaps/>
          <w:noProof/>
          <w:sz w:val="24"/>
          <w:lang w:eastAsia="en-GB"/>
        </w:rPr>
        <w:t>3.</w:t>
      </w:r>
      <w:r>
        <w:rPr>
          <w:rFonts w:ascii="Times New Roman" w:eastAsia="Times New Roman" w:hAnsi="Times New Roman"/>
          <w:b/>
          <w:smallCaps/>
          <w:noProof/>
          <w:sz w:val="24"/>
          <w:lang w:eastAsia="en-GB"/>
        </w:rPr>
        <w:tab/>
        <w:t>Implementation of the 2016 EAFRD budget</w:t>
      </w:r>
      <w:bookmarkEnd w:id="41"/>
      <w:bookmarkEnd w:id="42"/>
      <w:bookmarkEnd w:id="43"/>
    </w:p>
    <w:p>
      <w:pPr>
        <w:keepNext/>
        <w:tabs>
          <w:tab w:val="left" w:pos="850"/>
        </w:tabs>
        <w:spacing w:before="240" w:after="120" w:line="240" w:lineRule="auto"/>
        <w:ind w:left="850" w:right="749" w:hanging="850"/>
        <w:jc w:val="both"/>
        <w:outlineLvl w:val="1"/>
        <w:rPr>
          <w:rFonts w:ascii="Times New Roman" w:eastAsia="Times New Roman" w:hAnsi="Times New Roman"/>
          <w:b/>
          <w:noProof/>
          <w:sz w:val="24"/>
          <w:lang w:eastAsia="en-GB"/>
        </w:rPr>
      </w:pPr>
      <w:bookmarkStart w:id="44" w:name="_Toc331167071"/>
      <w:bookmarkStart w:id="45" w:name="_Toc393127479"/>
      <w:bookmarkStart w:id="46" w:name="_Toc485997139"/>
      <w:r>
        <w:rPr>
          <w:rFonts w:ascii="Times New Roman" w:eastAsia="Times New Roman" w:hAnsi="Times New Roman"/>
          <w:b/>
          <w:noProof/>
          <w:sz w:val="24"/>
          <w:lang w:eastAsia="en-GB"/>
        </w:rPr>
        <w:t>3.1.</w:t>
      </w:r>
      <w:r>
        <w:rPr>
          <w:rFonts w:ascii="Times New Roman" w:eastAsia="Times New Roman" w:hAnsi="Times New Roman"/>
          <w:b/>
          <w:noProof/>
          <w:sz w:val="24"/>
          <w:lang w:eastAsia="en-GB"/>
        </w:rPr>
        <w:tab/>
        <w:t>Implementation of commitment appropriations</w:t>
      </w:r>
      <w:bookmarkEnd w:id="44"/>
      <w:bookmarkEnd w:id="45"/>
      <w:bookmarkEnd w:id="46"/>
    </w:p>
    <w:p>
      <w:pPr>
        <w:keepNext/>
        <w:tabs>
          <w:tab w:val="left" w:pos="850"/>
          <w:tab w:val="right" w:pos="8322"/>
        </w:tabs>
        <w:spacing w:before="240" w:after="120" w:line="240" w:lineRule="auto"/>
        <w:ind w:left="850" w:right="749" w:hanging="850"/>
        <w:jc w:val="both"/>
        <w:outlineLvl w:val="2"/>
        <w:rPr>
          <w:rFonts w:ascii="Times New Roman" w:eastAsia="Times New Roman" w:hAnsi="Times New Roman"/>
          <w:i/>
          <w:noProof/>
          <w:sz w:val="24"/>
          <w:lang w:eastAsia="en-GB"/>
        </w:rPr>
      </w:pPr>
      <w:bookmarkStart w:id="47" w:name="_Toc331167072"/>
      <w:bookmarkStart w:id="48" w:name="_Toc393127480"/>
      <w:bookmarkStart w:id="49" w:name="_Toc485997140"/>
      <w:r>
        <w:rPr>
          <w:rFonts w:ascii="Times New Roman" w:eastAsia="Times New Roman" w:hAnsi="Times New Roman"/>
          <w:i/>
          <w:noProof/>
          <w:sz w:val="24"/>
          <w:lang w:eastAsia="en-GB"/>
        </w:rPr>
        <w:t>3.1.1.</w:t>
      </w:r>
      <w:r>
        <w:rPr>
          <w:rFonts w:ascii="Times New Roman" w:eastAsia="Times New Roman" w:hAnsi="Times New Roman"/>
          <w:i/>
          <w:noProof/>
          <w:sz w:val="24"/>
          <w:lang w:eastAsia="en-GB"/>
        </w:rPr>
        <w:tab/>
        <w:t>EAFRD rural development programmes</w:t>
      </w:r>
      <w:bookmarkEnd w:id="47"/>
      <w:bookmarkEnd w:id="48"/>
      <w:bookmarkEnd w:id="49"/>
      <w:r>
        <w:rPr>
          <w:rFonts w:ascii="Times New Roman" w:eastAsia="Times New Roman" w:hAnsi="Times New Roman"/>
          <w:i/>
          <w:noProof/>
          <w:sz w:val="24"/>
          <w:lang w:eastAsia="en-GB"/>
        </w:rPr>
        <w:tab/>
      </w:r>
    </w:p>
    <w:p>
      <w:pPr>
        <w:spacing w:before="120" w:after="240" w:line="240" w:lineRule="auto"/>
        <w:ind w:left="850" w:right="71"/>
        <w:jc w:val="both"/>
        <w:rPr>
          <w:rFonts w:ascii="Times New Roman" w:eastAsia="Times New Roman" w:hAnsi="Times New Roman"/>
          <w:noProof/>
          <w:sz w:val="24"/>
          <w:lang w:eastAsia="en-GB"/>
        </w:rPr>
      </w:pPr>
      <w:r>
        <w:rPr>
          <w:rFonts w:ascii="Times New Roman" w:eastAsia="Times New Roman" w:hAnsi="Times New Roman"/>
          <w:noProof/>
          <w:sz w:val="24"/>
          <w:lang w:eastAsia="en-GB"/>
        </w:rPr>
        <w:t>Of the total amount of commitment appropriations available in the 2016 budget for the EAFRD programmes 2014-2020 (EUR 18 650.6 million), EUR 18 649.6 million was committed. The minor amount not committed (EUR 0.96 million) was due to a modification of the allocation for the UK set out in Annex I to Regulation (EU) No 1305/2013</w:t>
      </w:r>
      <w:r>
        <w:rPr>
          <w:rStyle w:val="FootnoteReference"/>
          <w:rFonts w:ascii="Times New Roman" w:eastAsia="Times New Roman" w:hAnsi="Times New Roman"/>
          <w:noProof/>
          <w:sz w:val="24"/>
          <w:lang w:eastAsia="en-GB"/>
        </w:rPr>
        <w:footnoteReference w:id="3"/>
      </w:r>
      <w:r>
        <w:rPr>
          <w:rFonts w:ascii="Times New Roman" w:eastAsia="Times New Roman" w:hAnsi="Times New Roman"/>
          <w:noProof/>
          <w:sz w:val="24"/>
          <w:lang w:eastAsia="en-GB"/>
        </w:rPr>
        <w:t xml:space="preserve"> (see footnote 1).</w:t>
      </w:r>
    </w:p>
    <w:p>
      <w:pPr>
        <w:spacing w:before="120" w:after="240" w:line="240" w:lineRule="auto"/>
        <w:ind w:left="850" w:right="71"/>
        <w:jc w:val="both"/>
        <w:rPr>
          <w:rFonts w:ascii="Times New Roman" w:eastAsia="Times New Roman" w:hAnsi="Times New Roman"/>
          <w:noProof/>
          <w:sz w:val="24"/>
          <w:lang w:eastAsia="en-GB"/>
        </w:rPr>
      </w:pPr>
      <w:bookmarkStart w:id="50" w:name="OLE_LINK10"/>
      <w:r>
        <w:rPr>
          <w:rFonts w:ascii="Times New Roman" w:eastAsia="Times New Roman" w:hAnsi="Times New Roman"/>
          <w:noProof/>
          <w:sz w:val="24"/>
          <w:lang w:eastAsia="en-GB"/>
        </w:rPr>
        <w:t>Table 6 shows, per Member State, the allocation established by Regulation (EU) No 1305/2013 of 17/12/2013 as last amended by Commission Delegated Regulation (EU) 2016/142 of 02/12/2015</w:t>
      </w:r>
      <w:r>
        <w:rPr>
          <w:rStyle w:val="FootnoteReference"/>
          <w:rFonts w:ascii="Times New Roman" w:eastAsia="Times New Roman" w:hAnsi="Times New Roman"/>
          <w:noProof/>
          <w:sz w:val="24"/>
          <w:lang w:eastAsia="en-GB"/>
        </w:rPr>
        <w:t>1</w:t>
      </w:r>
      <w:r>
        <w:rPr>
          <w:rFonts w:ascii="Times New Roman" w:eastAsia="Times New Roman" w:hAnsi="Times New Roman"/>
          <w:noProof/>
          <w:sz w:val="24"/>
          <w:lang w:eastAsia="en-GB"/>
        </w:rPr>
        <w:t xml:space="preserve"> and the amounts committed in 2016.</w:t>
      </w:r>
    </w:p>
    <w:p>
      <w:pPr>
        <w:keepNext/>
        <w:keepLines/>
        <w:spacing w:before="120" w:after="120" w:line="240" w:lineRule="auto"/>
        <w:ind w:left="850"/>
        <w:jc w:val="both"/>
        <w:rPr>
          <w:rFonts w:ascii="Times New Roman" w:eastAsia="Times New Roman" w:hAnsi="Times New Roman"/>
          <w:noProof/>
          <w:sz w:val="24"/>
          <w:lang w:eastAsia="en-GB"/>
        </w:rPr>
      </w:pPr>
      <w:r>
        <w:rPr>
          <w:rFonts w:ascii="Times New Roman" w:eastAsia="Times New Roman" w:hAnsi="Times New Roman"/>
          <w:noProof/>
          <w:sz w:val="24"/>
          <w:lang w:eastAsia="en-GB"/>
        </w:rPr>
        <w:t>Table 6</w:t>
      </w:r>
    </w:p>
    <w:tbl>
      <w:tblPr>
        <w:tblW w:w="5960" w:type="dxa"/>
        <w:tblInd w:w="720" w:type="dxa"/>
        <w:tblLook w:val="04A0" w:firstRow="1" w:lastRow="0" w:firstColumn="1" w:lastColumn="0" w:noHBand="0" w:noVBand="1"/>
      </w:tblPr>
      <w:tblGrid>
        <w:gridCol w:w="1700"/>
        <w:gridCol w:w="2280"/>
        <w:gridCol w:w="1980"/>
      </w:tblGrid>
      <w:tr>
        <w:trPr>
          <w:trHeight w:val="615"/>
        </w:trPr>
        <w:tc>
          <w:tcPr>
            <w:tcW w:w="5960" w:type="dxa"/>
            <w:gridSpan w:val="3"/>
            <w:tcBorders>
              <w:top w:val="single" w:sz="8" w:space="0" w:color="auto"/>
              <w:left w:val="single" w:sz="8" w:space="0" w:color="auto"/>
              <w:bottom w:val="single" w:sz="8" w:space="0" w:color="auto"/>
              <w:right w:val="single" w:sz="8" w:space="0" w:color="000000"/>
            </w:tcBorders>
            <w:shd w:val="clear" w:color="000000" w:fill="FFFF99"/>
            <w:vAlign w:val="center"/>
            <w:hideMark/>
          </w:tcPr>
          <w:p>
            <w:pPr>
              <w:keepNext/>
              <w:keepLines/>
              <w:spacing w:after="0" w:line="240" w:lineRule="auto"/>
              <w:rPr>
                <w:rFonts w:ascii="Times New Roman" w:eastAsia="Times New Roman" w:hAnsi="Times New Roman"/>
                <w:b/>
                <w:bCs/>
                <w:i/>
                <w:iCs/>
                <w:noProof/>
                <w:lang w:eastAsia="en-GB"/>
              </w:rPr>
            </w:pPr>
            <w:r>
              <w:rPr>
                <w:rFonts w:ascii="Times New Roman" w:eastAsia="Times New Roman" w:hAnsi="Times New Roman"/>
                <w:b/>
                <w:bCs/>
                <w:i/>
                <w:iCs/>
                <w:noProof/>
                <w:lang w:eastAsia="en-GB"/>
              </w:rPr>
              <w:t>Regulation (EU) No 1305/2013 (as amended) vs. amounts committed by the end of 2016</w:t>
            </w:r>
          </w:p>
        </w:tc>
      </w:tr>
      <w:tr>
        <w:trPr>
          <w:trHeight w:val="270"/>
        </w:trPr>
        <w:tc>
          <w:tcPr>
            <w:tcW w:w="3980" w:type="dxa"/>
            <w:gridSpan w:val="2"/>
            <w:tcBorders>
              <w:top w:val="single" w:sz="8" w:space="0" w:color="auto"/>
              <w:left w:val="single" w:sz="8" w:space="0" w:color="auto"/>
              <w:bottom w:val="single" w:sz="8" w:space="0" w:color="auto"/>
              <w:right w:val="nil"/>
            </w:tcBorders>
            <w:shd w:val="clear" w:color="auto" w:fill="auto"/>
            <w:noWrap/>
            <w:vAlign w:val="center"/>
            <w:hideMark/>
          </w:tcPr>
          <w:p>
            <w:pPr>
              <w:keepNext/>
              <w:keepLines/>
              <w:spacing w:after="0" w:line="240" w:lineRule="auto"/>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Budget item: 05.046001</w:t>
            </w:r>
          </w:p>
        </w:tc>
        <w:tc>
          <w:tcPr>
            <w:tcW w:w="1980" w:type="dxa"/>
            <w:tcBorders>
              <w:top w:val="nil"/>
              <w:left w:val="nil"/>
              <w:bottom w:val="single" w:sz="8" w:space="0" w:color="auto"/>
              <w:right w:val="single" w:sz="8" w:space="0" w:color="auto"/>
            </w:tcBorders>
            <w:shd w:val="clear" w:color="auto" w:fill="auto"/>
            <w:vAlign w:val="center"/>
            <w:hideMark/>
          </w:tcPr>
          <w:p>
            <w:pPr>
              <w:keepNext/>
              <w:keepLines/>
              <w:spacing w:after="0" w:line="240" w:lineRule="auto"/>
              <w:jc w:val="center"/>
              <w:rPr>
                <w:rFonts w:ascii="Times New Roman" w:eastAsia="Times New Roman" w:hAnsi="Times New Roman"/>
                <w:i/>
                <w:iCs/>
                <w:noProof/>
                <w:sz w:val="20"/>
                <w:szCs w:val="20"/>
                <w:lang w:eastAsia="en-GB"/>
              </w:rPr>
            </w:pPr>
            <w:r>
              <w:rPr>
                <w:rFonts w:ascii="Times New Roman" w:eastAsia="Times New Roman" w:hAnsi="Times New Roman"/>
                <w:i/>
                <w:iCs/>
                <w:noProof/>
                <w:sz w:val="20"/>
                <w:szCs w:val="20"/>
                <w:lang w:eastAsia="en-GB"/>
              </w:rPr>
              <w:t>(in EUR)</w:t>
            </w:r>
          </w:p>
        </w:tc>
      </w:tr>
      <w:tr>
        <w:trPr>
          <w:trHeight w:val="510"/>
        </w:trPr>
        <w:tc>
          <w:tcPr>
            <w:tcW w:w="1700" w:type="dxa"/>
            <w:vMerge w:val="restart"/>
            <w:tcBorders>
              <w:top w:val="nil"/>
              <w:left w:val="single" w:sz="8" w:space="0" w:color="auto"/>
              <w:bottom w:val="single" w:sz="8" w:space="0" w:color="000000"/>
              <w:right w:val="single" w:sz="8" w:space="0" w:color="auto"/>
            </w:tcBorders>
            <w:shd w:val="clear" w:color="000000" w:fill="FFFF99"/>
            <w:vAlign w:val="center"/>
            <w:hideMark/>
          </w:tcPr>
          <w:p>
            <w:pPr>
              <w:keepNext/>
              <w:keepLines/>
              <w:spacing w:after="0" w:line="240" w:lineRule="auto"/>
              <w:jc w:val="center"/>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MS</w:t>
            </w:r>
          </w:p>
        </w:tc>
        <w:tc>
          <w:tcPr>
            <w:tcW w:w="2280" w:type="dxa"/>
            <w:tcBorders>
              <w:top w:val="nil"/>
              <w:left w:val="nil"/>
              <w:bottom w:val="nil"/>
              <w:right w:val="single" w:sz="8" w:space="0" w:color="auto"/>
            </w:tcBorders>
            <w:shd w:val="clear" w:color="000000" w:fill="FFFF99"/>
            <w:vAlign w:val="center"/>
            <w:hideMark/>
          </w:tcPr>
          <w:p>
            <w:pPr>
              <w:keepNext/>
              <w:keepLines/>
              <w:spacing w:after="0" w:line="240" w:lineRule="auto"/>
              <w:jc w:val="center"/>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Regulation (EU) No 1305/2013</w:t>
            </w:r>
          </w:p>
        </w:tc>
        <w:tc>
          <w:tcPr>
            <w:tcW w:w="1980" w:type="dxa"/>
            <w:vMerge w:val="restart"/>
            <w:tcBorders>
              <w:top w:val="nil"/>
              <w:left w:val="single" w:sz="8" w:space="0" w:color="auto"/>
              <w:bottom w:val="single" w:sz="8" w:space="0" w:color="000000"/>
              <w:right w:val="single" w:sz="8" w:space="0" w:color="auto"/>
            </w:tcBorders>
            <w:shd w:val="clear" w:color="000000" w:fill="FFFF99"/>
            <w:vAlign w:val="center"/>
            <w:hideMark/>
          </w:tcPr>
          <w:p>
            <w:pPr>
              <w:keepNext/>
              <w:keepLines/>
              <w:spacing w:after="0" w:line="240" w:lineRule="auto"/>
              <w:jc w:val="center"/>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Amounts committed in 2016</w:t>
            </w:r>
          </w:p>
        </w:tc>
      </w:tr>
      <w:tr>
        <w:trPr>
          <w:trHeight w:val="270"/>
        </w:trPr>
        <w:tc>
          <w:tcPr>
            <w:tcW w:w="1700" w:type="dxa"/>
            <w:vMerge/>
            <w:tcBorders>
              <w:top w:val="nil"/>
              <w:left w:val="single" w:sz="8" w:space="0" w:color="auto"/>
              <w:bottom w:val="single" w:sz="8" w:space="0" w:color="000000"/>
              <w:right w:val="single" w:sz="8" w:space="0" w:color="auto"/>
            </w:tcBorders>
            <w:vAlign w:val="center"/>
            <w:hideMark/>
          </w:tcPr>
          <w:p>
            <w:pPr>
              <w:keepNext/>
              <w:keepLines/>
              <w:spacing w:after="0" w:line="240" w:lineRule="auto"/>
              <w:rPr>
                <w:rFonts w:ascii="Times New Roman" w:eastAsia="Times New Roman" w:hAnsi="Times New Roman"/>
                <w:b/>
                <w:bCs/>
                <w:noProof/>
                <w:sz w:val="20"/>
                <w:szCs w:val="20"/>
                <w:lang w:eastAsia="en-GB"/>
              </w:rPr>
            </w:pPr>
          </w:p>
        </w:tc>
        <w:tc>
          <w:tcPr>
            <w:tcW w:w="2280" w:type="dxa"/>
            <w:tcBorders>
              <w:top w:val="nil"/>
              <w:left w:val="nil"/>
              <w:bottom w:val="single" w:sz="8" w:space="0" w:color="auto"/>
              <w:right w:val="single" w:sz="8" w:space="0" w:color="auto"/>
            </w:tcBorders>
            <w:shd w:val="clear" w:color="000000" w:fill="FFFF99"/>
            <w:vAlign w:val="center"/>
            <w:hideMark/>
          </w:tcPr>
          <w:p>
            <w:pPr>
              <w:keepNext/>
              <w:keepLines/>
              <w:spacing w:after="0" w:line="240" w:lineRule="auto"/>
              <w:jc w:val="center"/>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 xml:space="preserve"> 2016 Allocation</w:t>
            </w:r>
          </w:p>
        </w:tc>
        <w:tc>
          <w:tcPr>
            <w:tcW w:w="1980" w:type="dxa"/>
            <w:vMerge/>
            <w:tcBorders>
              <w:top w:val="nil"/>
              <w:left w:val="single" w:sz="8" w:space="0" w:color="auto"/>
              <w:bottom w:val="single" w:sz="8" w:space="0" w:color="000000"/>
              <w:right w:val="single" w:sz="8" w:space="0" w:color="auto"/>
            </w:tcBorders>
            <w:vAlign w:val="center"/>
            <w:hideMark/>
          </w:tcPr>
          <w:p>
            <w:pPr>
              <w:keepNext/>
              <w:keepLines/>
              <w:spacing w:after="0" w:line="240" w:lineRule="auto"/>
              <w:rPr>
                <w:rFonts w:ascii="Times New Roman" w:eastAsia="Times New Roman" w:hAnsi="Times New Roman"/>
                <w:b/>
                <w:bCs/>
                <w:noProof/>
                <w:sz w:val="20"/>
                <w:szCs w:val="20"/>
                <w:lang w:eastAsia="en-GB"/>
              </w:rPr>
            </w:pPr>
          </w:p>
        </w:tc>
      </w:tr>
      <w:tr>
        <w:trPr>
          <w:trHeight w:val="270"/>
        </w:trPr>
        <w:tc>
          <w:tcPr>
            <w:tcW w:w="1700" w:type="dxa"/>
            <w:tcBorders>
              <w:top w:val="nil"/>
              <w:left w:val="single" w:sz="8" w:space="0" w:color="auto"/>
              <w:bottom w:val="single" w:sz="8" w:space="0" w:color="auto"/>
              <w:right w:val="single" w:sz="8" w:space="0" w:color="auto"/>
            </w:tcBorders>
            <w:shd w:val="clear" w:color="000000" w:fill="FFFF99"/>
            <w:vAlign w:val="center"/>
            <w:hideMark/>
          </w:tcPr>
          <w:p>
            <w:pPr>
              <w:keepNext/>
              <w:keepLines/>
              <w:spacing w:after="0" w:line="240" w:lineRule="auto"/>
              <w:rPr>
                <w:rFonts w:eastAsia="Times New Roman" w:cs="Calibri"/>
                <w:noProof/>
                <w:sz w:val="20"/>
                <w:szCs w:val="20"/>
                <w:lang w:eastAsia="en-GB"/>
              </w:rPr>
            </w:pPr>
            <w:r>
              <w:rPr>
                <w:rFonts w:eastAsia="Times New Roman" w:cs="Calibri"/>
                <w:noProof/>
                <w:sz w:val="20"/>
                <w:szCs w:val="20"/>
                <w:lang w:eastAsia="en-GB"/>
              </w:rPr>
              <w:t> </w:t>
            </w:r>
          </w:p>
        </w:tc>
        <w:tc>
          <w:tcPr>
            <w:tcW w:w="2280" w:type="dxa"/>
            <w:tcBorders>
              <w:top w:val="nil"/>
              <w:left w:val="nil"/>
              <w:bottom w:val="single" w:sz="8" w:space="0" w:color="auto"/>
              <w:right w:val="single" w:sz="8" w:space="0" w:color="auto"/>
            </w:tcBorders>
            <w:shd w:val="clear" w:color="000000" w:fill="FFFF99"/>
            <w:vAlign w:val="center"/>
            <w:hideMark/>
          </w:tcPr>
          <w:p>
            <w:pPr>
              <w:keepNext/>
              <w:keepLines/>
              <w:spacing w:after="0" w:line="240" w:lineRule="auto"/>
              <w:jc w:val="center"/>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(a)</w:t>
            </w:r>
          </w:p>
        </w:tc>
        <w:tc>
          <w:tcPr>
            <w:tcW w:w="1980" w:type="dxa"/>
            <w:tcBorders>
              <w:top w:val="nil"/>
              <w:left w:val="nil"/>
              <w:bottom w:val="single" w:sz="8" w:space="0" w:color="auto"/>
              <w:right w:val="single" w:sz="8" w:space="0" w:color="auto"/>
            </w:tcBorders>
            <w:shd w:val="clear" w:color="000000" w:fill="FFFF99"/>
            <w:vAlign w:val="center"/>
            <w:hideMark/>
          </w:tcPr>
          <w:p>
            <w:pPr>
              <w:keepNext/>
              <w:keepLines/>
              <w:spacing w:after="0" w:line="240" w:lineRule="auto"/>
              <w:jc w:val="center"/>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(b)</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keepNext/>
              <w:keepLines/>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AT</w:t>
            </w:r>
          </w:p>
        </w:tc>
        <w:tc>
          <w:tcPr>
            <w:tcW w:w="2280" w:type="dxa"/>
            <w:tcBorders>
              <w:top w:val="nil"/>
              <w:left w:val="nil"/>
              <w:bottom w:val="single" w:sz="8" w:space="0" w:color="auto"/>
              <w:right w:val="single" w:sz="8" w:space="0" w:color="auto"/>
            </w:tcBorders>
            <w:shd w:val="clear" w:color="auto" w:fill="auto"/>
            <w:noWrap/>
            <w:vAlign w:val="center"/>
            <w:hideMark/>
          </w:tcPr>
          <w:p>
            <w:pPr>
              <w:keepNext/>
              <w:keepLines/>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560 883 465</w:t>
            </w:r>
          </w:p>
        </w:tc>
        <w:tc>
          <w:tcPr>
            <w:tcW w:w="1980" w:type="dxa"/>
            <w:tcBorders>
              <w:top w:val="nil"/>
              <w:left w:val="nil"/>
              <w:bottom w:val="single" w:sz="8" w:space="0" w:color="auto"/>
              <w:right w:val="single" w:sz="8" w:space="0" w:color="auto"/>
            </w:tcBorders>
            <w:shd w:val="clear" w:color="auto" w:fill="auto"/>
            <w:noWrap/>
            <w:vAlign w:val="center"/>
            <w:hideMark/>
          </w:tcPr>
          <w:p>
            <w:pPr>
              <w:keepNext/>
              <w:keepLines/>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560 883 465</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keepNext/>
              <w:keepLines/>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BE</w:t>
            </w:r>
          </w:p>
        </w:tc>
        <w:tc>
          <w:tcPr>
            <w:tcW w:w="2280" w:type="dxa"/>
            <w:tcBorders>
              <w:top w:val="nil"/>
              <w:left w:val="nil"/>
              <w:bottom w:val="single" w:sz="8" w:space="0" w:color="auto"/>
              <w:right w:val="single" w:sz="8" w:space="0" w:color="auto"/>
            </w:tcBorders>
            <w:shd w:val="clear" w:color="auto" w:fill="auto"/>
            <w:noWrap/>
            <w:vAlign w:val="center"/>
            <w:hideMark/>
          </w:tcPr>
          <w:p>
            <w:pPr>
              <w:keepNext/>
              <w:keepLines/>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109 821 794</w:t>
            </w:r>
          </w:p>
        </w:tc>
        <w:tc>
          <w:tcPr>
            <w:tcW w:w="1980" w:type="dxa"/>
            <w:tcBorders>
              <w:top w:val="nil"/>
              <w:left w:val="nil"/>
              <w:bottom w:val="single" w:sz="8" w:space="0" w:color="auto"/>
              <w:right w:val="single" w:sz="8" w:space="0" w:color="auto"/>
            </w:tcBorders>
            <w:shd w:val="clear" w:color="auto" w:fill="auto"/>
            <w:noWrap/>
            <w:vAlign w:val="center"/>
            <w:hideMark/>
          </w:tcPr>
          <w:p>
            <w:pPr>
              <w:keepNext/>
              <w:keepLines/>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109 821 794</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BG</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505 020 057</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505 020 057</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CY</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28 345 126</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28 345 126</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CZ</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503 130 504</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503 130 504</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DE</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1 685 574 112</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1 685 574 112</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DK</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136 397 742</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136 397 742</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EE</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111 192 345</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111 192 345</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ES</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1 780 403 445</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1 780 403 445</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FI</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338 456 263</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338 456 263</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FR</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2 363 567 980</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2 363 567 980</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GR</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1 007 736 821</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1 007 736 821</w:t>
            </w:r>
          </w:p>
        </w:tc>
      </w:tr>
      <w:tr>
        <w:trPr>
          <w:trHeight w:val="315"/>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HR</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448 426 250</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448 426 250</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HU</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737 099 981</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737 099 981</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IE</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469 724 442</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469 724 442</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IT</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2 231 599 688</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2 231 599 688</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LT</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230 431 887</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230 431 887</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LU</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21 432 133</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21 432 133</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LV</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153 066 059</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153 066 059</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MT</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20 878 690</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20 878 690</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NL</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118 496 585</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118 496 585</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PL</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1 193 429 059</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1 193 429 059</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PT</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578 913 888</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578 913 888</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RO</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1 751 613 412</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1 751 613 412</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SE</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378 153 207</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378 153 207</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SI</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119 342 187</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119 342 187</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SK</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215 603 053</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215 603 053</w:t>
            </w:r>
          </w:p>
        </w:tc>
      </w:tr>
      <w:tr>
        <w:trPr>
          <w:trHeight w:val="27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UK</w:t>
            </w:r>
          </w:p>
        </w:tc>
        <w:tc>
          <w:tcPr>
            <w:tcW w:w="22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850 859 320</w:t>
            </w:r>
          </w:p>
        </w:tc>
        <w:tc>
          <w:tcPr>
            <w:tcW w:w="19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850 859 320</w:t>
            </w:r>
          </w:p>
        </w:tc>
      </w:tr>
      <w:tr>
        <w:trPr>
          <w:trHeight w:val="270"/>
        </w:trPr>
        <w:tc>
          <w:tcPr>
            <w:tcW w:w="1700"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Total</w:t>
            </w:r>
          </w:p>
        </w:tc>
        <w:tc>
          <w:tcPr>
            <w:tcW w:w="228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 xml:space="preserve">18 649 599 495  </w:t>
            </w:r>
          </w:p>
        </w:tc>
        <w:tc>
          <w:tcPr>
            <w:tcW w:w="198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18 649 599 495</w:t>
            </w:r>
          </w:p>
        </w:tc>
      </w:tr>
    </w:tbl>
    <w:p>
      <w:pPr>
        <w:keepNext/>
        <w:tabs>
          <w:tab w:val="left" w:pos="850"/>
        </w:tabs>
        <w:spacing w:before="240" w:after="120" w:line="240" w:lineRule="auto"/>
        <w:ind w:left="850" w:hanging="850"/>
        <w:jc w:val="both"/>
        <w:outlineLvl w:val="2"/>
        <w:rPr>
          <w:rFonts w:ascii="Times New Roman" w:eastAsia="Times New Roman" w:hAnsi="Times New Roman"/>
          <w:i/>
          <w:noProof/>
          <w:sz w:val="24"/>
          <w:lang w:eastAsia="en-GB"/>
        </w:rPr>
      </w:pPr>
      <w:bookmarkStart w:id="51" w:name="_Toc331167073"/>
      <w:bookmarkStart w:id="52" w:name="_Toc393127481"/>
      <w:bookmarkStart w:id="53" w:name="_Toc485997141"/>
      <w:bookmarkEnd w:id="50"/>
      <w:r>
        <w:rPr>
          <w:rFonts w:ascii="Times New Roman" w:eastAsia="Times New Roman" w:hAnsi="Times New Roman"/>
          <w:i/>
          <w:noProof/>
          <w:sz w:val="24"/>
          <w:lang w:eastAsia="en-GB"/>
        </w:rPr>
        <w:t>3.1.2.</w:t>
      </w:r>
      <w:r>
        <w:rPr>
          <w:rFonts w:ascii="Times New Roman" w:eastAsia="Times New Roman" w:hAnsi="Times New Roman"/>
          <w:i/>
          <w:noProof/>
          <w:sz w:val="24"/>
          <w:lang w:eastAsia="en-GB"/>
        </w:rPr>
        <w:tab/>
        <w:t>Technical assistance</w:t>
      </w:r>
      <w:bookmarkEnd w:id="51"/>
      <w:bookmarkEnd w:id="52"/>
      <w:bookmarkEnd w:id="53"/>
    </w:p>
    <w:p>
      <w:pPr>
        <w:spacing w:before="120" w:after="240" w:line="240" w:lineRule="auto"/>
        <w:ind w:left="851" w:right="71"/>
        <w:jc w:val="both"/>
        <w:rPr>
          <w:rFonts w:ascii="Times New Roman" w:eastAsia="Times New Roman" w:hAnsi="Times New Roman"/>
          <w:noProof/>
          <w:sz w:val="24"/>
          <w:lang w:eastAsia="en-GB"/>
        </w:rPr>
      </w:pPr>
      <w:r>
        <w:rPr>
          <w:rFonts w:ascii="Times New Roman" w:eastAsia="Times New Roman" w:hAnsi="Times New Roman"/>
          <w:noProof/>
          <w:sz w:val="24"/>
          <w:lang w:eastAsia="en-GB"/>
        </w:rPr>
        <w:t>For the programming period 2014-2020, the amount of commitment appropriations for operational technical assistance in the budget 2016 was EUR 21.4 million. This line was reinforced by EUR 1.0 million transferred from the EAFRD 2014-2020 programmes line to cover the needs in relation to the contribution of the EAFRD to the European Solidarity Corps. Table 7 shows the consumption of the commitment appropriations available for technical assistance in 2016. The most important part relates to the Technical Advisory Platform for Financial Instruments and to the European Network for Rural Development.</w:t>
      </w:r>
    </w:p>
    <w:p>
      <w:pPr>
        <w:keepNext/>
        <w:keepLines/>
        <w:spacing w:before="120" w:after="120" w:line="240" w:lineRule="auto"/>
        <w:ind w:left="850"/>
        <w:jc w:val="both"/>
        <w:rPr>
          <w:rFonts w:ascii="Times New Roman" w:eastAsia="Times New Roman" w:hAnsi="Times New Roman"/>
          <w:noProof/>
          <w:sz w:val="24"/>
          <w:lang w:eastAsia="en-GB"/>
        </w:rPr>
      </w:pPr>
      <w:bookmarkStart w:id="54" w:name="OLE_LINK11"/>
      <w:r>
        <w:rPr>
          <w:rFonts w:ascii="Times New Roman" w:eastAsia="Times New Roman" w:hAnsi="Times New Roman"/>
          <w:noProof/>
          <w:sz w:val="24"/>
          <w:lang w:eastAsia="en-GB"/>
        </w:rPr>
        <w:t>Table 7</w:t>
      </w:r>
    </w:p>
    <w:tbl>
      <w:tblPr>
        <w:tblW w:w="7760" w:type="dxa"/>
        <w:tblInd w:w="864" w:type="dxa"/>
        <w:tblLook w:val="04A0" w:firstRow="1" w:lastRow="0" w:firstColumn="1" w:lastColumn="0" w:noHBand="0" w:noVBand="1"/>
      </w:tblPr>
      <w:tblGrid>
        <w:gridCol w:w="6255"/>
        <w:gridCol w:w="1505"/>
      </w:tblGrid>
      <w:tr>
        <w:trPr>
          <w:trHeight w:val="315"/>
        </w:trPr>
        <w:tc>
          <w:tcPr>
            <w:tcW w:w="7760" w:type="dxa"/>
            <w:gridSpan w:val="2"/>
            <w:tcBorders>
              <w:top w:val="single" w:sz="8" w:space="0" w:color="auto"/>
              <w:left w:val="single" w:sz="8" w:space="0" w:color="auto"/>
              <w:bottom w:val="single" w:sz="8" w:space="0" w:color="auto"/>
              <w:right w:val="single" w:sz="8" w:space="0" w:color="000000"/>
            </w:tcBorders>
            <w:shd w:val="clear" w:color="000000" w:fill="FFFF99"/>
            <w:vAlign w:val="center"/>
            <w:hideMark/>
          </w:tcPr>
          <w:p>
            <w:pPr>
              <w:spacing w:after="0" w:line="240" w:lineRule="auto"/>
              <w:rPr>
                <w:rFonts w:ascii="Times New Roman" w:eastAsia="Times New Roman" w:hAnsi="Times New Roman"/>
                <w:b/>
                <w:bCs/>
                <w:i/>
                <w:iCs/>
                <w:noProof/>
                <w:lang w:eastAsia="en-GB"/>
              </w:rPr>
            </w:pPr>
            <w:r>
              <w:rPr>
                <w:rFonts w:ascii="Times New Roman" w:eastAsia="Times New Roman" w:hAnsi="Times New Roman"/>
                <w:b/>
                <w:bCs/>
                <w:i/>
                <w:iCs/>
                <w:noProof/>
                <w:lang w:eastAsia="en-GB"/>
              </w:rPr>
              <w:t>Technical assistance – Implementation of commitment appropriations</w:t>
            </w:r>
          </w:p>
        </w:tc>
      </w:tr>
      <w:tr>
        <w:trPr>
          <w:trHeight w:val="315"/>
        </w:trPr>
        <w:tc>
          <w:tcPr>
            <w:tcW w:w="6255" w:type="dxa"/>
            <w:tcBorders>
              <w:top w:val="nil"/>
              <w:left w:val="single" w:sz="8" w:space="0" w:color="auto"/>
              <w:bottom w:val="single" w:sz="8" w:space="0" w:color="auto"/>
              <w:right w:val="nil"/>
            </w:tcBorders>
            <w:shd w:val="clear" w:color="auto" w:fill="auto"/>
            <w:noWrap/>
            <w:vAlign w:val="center"/>
            <w:hideMark/>
          </w:tcPr>
          <w:p>
            <w:pPr>
              <w:spacing w:after="0" w:line="240" w:lineRule="auto"/>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Budget Item: 05.046002</w:t>
            </w:r>
          </w:p>
        </w:tc>
        <w:tc>
          <w:tcPr>
            <w:tcW w:w="1505"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i/>
                <w:iCs/>
                <w:noProof/>
                <w:sz w:val="20"/>
                <w:szCs w:val="20"/>
                <w:lang w:eastAsia="en-GB"/>
              </w:rPr>
            </w:pPr>
            <w:r>
              <w:rPr>
                <w:rFonts w:ascii="Times New Roman" w:eastAsia="Times New Roman" w:hAnsi="Times New Roman"/>
                <w:i/>
                <w:iCs/>
                <w:noProof/>
                <w:sz w:val="20"/>
                <w:szCs w:val="20"/>
                <w:lang w:eastAsia="en-GB"/>
              </w:rPr>
              <w:t xml:space="preserve"> (in EUR) </w:t>
            </w:r>
          </w:p>
        </w:tc>
      </w:tr>
      <w:tr>
        <w:trPr>
          <w:trHeight w:val="315"/>
        </w:trPr>
        <w:tc>
          <w:tcPr>
            <w:tcW w:w="6255"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Description</w:t>
            </w:r>
          </w:p>
        </w:tc>
        <w:tc>
          <w:tcPr>
            <w:tcW w:w="1505"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 xml:space="preserve"> Amount committed </w:t>
            </w:r>
          </w:p>
        </w:tc>
      </w:tr>
      <w:tr>
        <w:trPr>
          <w:trHeight w:val="346"/>
        </w:trPr>
        <w:tc>
          <w:tcPr>
            <w:tcW w:w="625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Technical Advisory Platform for Financial Instruments</w:t>
            </w:r>
          </w:p>
        </w:tc>
        <w:tc>
          <w:tcPr>
            <w:tcW w:w="1505"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4 800 000</w:t>
            </w:r>
          </w:p>
        </w:tc>
      </w:tr>
      <w:tr>
        <w:trPr>
          <w:trHeight w:val="315"/>
        </w:trPr>
        <w:tc>
          <w:tcPr>
            <w:tcW w:w="625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European Network for Rural Development</w:t>
            </w:r>
          </w:p>
        </w:tc>
        <w:tc>
          <w:tcPr>
            <w:tcW w:w="1505"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4 455 468</w:t>
            </w:r>
          </w:p>
        </w:tc>
      </w:tr>
      <w:tr>
        <w:trPr>
          <w:trHeight w:val="315"/>
        </w:trPr>
        <w:tc>
          <w:tcPr>
            <w:tcW w:w="625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Information technology*</w:t>
            </w:r>
          </w:p>
        </w:tc>
        <w:tc>
          <w:tcPr>
            <w:tcW w:w="1505"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3 094 064</w:t>
            </w:r>
          </w:p>
        </w:tc>
      </w:tr>
      <w:tr>
        <w:trPr>
          <w:trHeight w:val="315"/>
        </w:trPr>
        <w:tc>
          <w:tcPr>
            <w:tcW w:w="625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Corporate Communication</w:t>
            </w:r>
          </w:p>
        </w:tc>
        <w:tc>
          <w:tcPr>
            <w:tcW w:w="1505"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2 600 000</w:t>
            </w:r>
          </w:p>
        </w:tc>
      </w:tr>
      <w:tr>
        <w:trPr>
          <w:trHeight w:val="315"/>
        </w:trPr>
        <w:tc>
          <w:tcPr>
            <w:tcW w:w="625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European Innovation Partnership</w:t>
            </w:r>
          </w:p>
        </w:tc>
        <w:tc>
          <w:tcPr>
            <w:tcW w:w="1505"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2 570 801</w:t>
            </w:r>
          </w:p>
        </w:tc>
      </w:tr>
      <w:tr>
        <w:trPr>
          <w:trHeight w:val="315"/>
        </w:trPr>
        <w:tc>
          <w:tcPr>
            <w:tcW w:w="625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European Evaluation Network</w:t>
            </w:r>
          </w:p>
        </w:tc>
        <w:tc>
          <w:tcPr>
            <w:tcW w:w="1505"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1 845 650</w:t>
            </w:r>
          </w:p>
        </w:tc>
      </w:tr>
      <w:tr>
        <w:trPr>
          <w:trHeight w:val="315"/>
        </w:trPr>
        <w:tc>
          <w:tcPr>
            <w:tcW w:w="625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European Solidarity Corps</w:t>
            </w:r>
          </w:p>
        </w:tc>
        <w:tc>
          <w:tcPr>
            <w:tcW w:w="1505"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1 300 000</w:t>
            </w:r>
          </w:p>
        </w:tc>
      </w:tr>
      <w:tr>
        <w:trPr>
          <w:trHeight w:val="315"/>
        </w:trPr>
        <w:tc>
          <w:tcPr>
            <w:tcW w:w="625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Audit and Controls</w:t>
            </w:r>
          </w:p>
        </w:tc>
        <w:tc>
          <w:tcPr>
            <w:tcW w:w="1505"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1 269 555</w:t>
            </w:r>
          </w:p>
        </w:tc>
      </w:tr>
      <w:tr>
        <w:trPr>
          <w:trHeight w:val="315"/>
        </w:trPr>
        <w:tc>
          <w:tcPr>
            <w:tcW w:w="625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Protection of symbols</w:t>
            </w:r>
          </w:p>
        </w:tc>
        <w:tc>
          <w:tcPr>
            <w:tcW w:w="1505"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57 093</w:t>
            </w:r>
          </w:p>
        </w:tc>
      </w:tr>
      <w:tr>
        <w:trPr>
          <w:trHeight w:val="315"/>
        </w:trPr>
        <w:tc>
          <w:tcPr>
            <w:tcW w:w="6255"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Total</w:t>
            </w:r>
          </w:p>
        </w:tc>
        <w:tc>
          <w:tcPr>
            <w:tcW w:w="1505"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21 992 630</w:t>
            </w:r>
          </w:p>
        </w:tc>
      </w:tr>
    </w:tbl>
    <w:p>
      <w:pPr>
        <w:spacing w:after="0" w:line="240" w:lineRule="auto"/>
        <w:ind w:firstLine="720"/>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xml:space="preserve">  * Including BCO (Broadband Competence Offices)</w:t>
      </w:r>
    </w:p>
    <w:p>
      <w:pPr>
        <w:keepNext/>
        <w:tabs>
          <w:tab w:val="left" w:pos="850"/>
        </w:tabs>
        <w:spacing w:before="240" w:after="120" w:line="240" w:lineRule="auto"/>
        <w:ind w:left="850" w:hanging="850"/>
        <w:jc w:val="both"/>
        <w:outlineLvl w:val="1"/>
        <w:rPr>
          <w:rFonts w:ascii="Times New Roman" w:eastAsia="Times New Roman" w:hAnsi="Times New Roman"/>
          <w:b/>
          <w:noProof/>
          <w:sz w:val="24"/>
          <w:lang w:eastAsia="en-GB"/>
        </w:rPr>
      </w:pPr>
      <w:bookmarkStart w:id="55" w:name="_Toc331167074"/>
      <w:bookmarkStart w:id="56" w:name="_Toc393127482"/>
      <w:bookmarkStart w:id="57" w:name="_Toc485997142"/>
      <w:bookmarkEnd w:id="54"/>
      <w:r>
        <w:rPr>
          <w:rFonts w:ascii="Times New Roman" w:eastAsia="Times New Roman" w:hAnsi="Times New Roman"/>
          <w:b/>
          <w:noProof/>
          <w:sz w:val="24"/>
          <w:lang w:eastAsia="en-GB"/>
        </w:rPr>
        <w:t>3.2.</w:t>
      </w:r>
      <w:r>
        <w:rPr>
          <w:rFonts w:ascii="Times New Roman" w:eastAsia="Times New Roman" w:hAnsi="Times New Roman"/>
          <w:b/>
          <w:noProof/>
          <w:sz w:val="24"/>
          <w:lang w:eastAsia="en-GB"/>
        </w:rPr>
        <w:tab/>
        <w:t>Implementation of payment appropriations</w:t>
      </w:r>
      <w:bookmarkEnd w:id="55"/>
      <w:bookmarkEnd w:id="56"/>
      <w:bookmarkEnd w:id="57"/>
    </w:p>
    <w:p>
      <w:pPr>
        <w:keepNext/>
        <w:tabs>
          <w:tab w:val="left" w:pos="850"/>
        </w:tabs>
        <w:spacing w:before="240" w:after="120" w:line="240" w:lineRule="auto"/>
        <w:ind w:left="850" w:hanging="850"/>
        <w:jc w:val="both"/>
        <w:outlineLvl w:val="2"/>
        <w:rPr>
          <w:rFonts w:ascii="Times New Roman" w:eastAsia="Times New Roman" w:hAnsi="Times New Roman"/>
          <w:i/>
          <w:noProof/>
          <w:sz w:val="24"/>
          <w:lang w:eastAsia="en-GB"/>
        </w:rPr>
      </w:pPr>
      <w:bookmarkStart w:id="58" w:name="_Toc331167075"/>
      <w:bookmarkStart w:id="59" w:name="_Toc393127483"/>
      <w:bookmarkStart w:id="60" w:name="_Toc485997143"/>
      <w:r>
        <w:rPr>
          <w:rFonts w:ascii="Times New Roman" w:eastAsia="Times New Roman" w:hAnsi="Times New Roman"/>
          <w:i/>
          <w:noProof/>
          <w:sz w:val="24"/>
          <w:lang w:eastAsia="en-GB"/>
        </w:rPr>
        <w:t>3.2.1.</w:t>
      </w:r>
      <w:r>
        <w:rPr>
          <w:rFonts w:ascii="Times New Roman" w:eastAsia="Times New Roman" w:hAnsi="Times New Roman"/>
          <w:i/>
          <w:noProof/>
          <w:sz w:val="24"/>
          <w:lang w:eastAsia="en-GB"/>
        </w:rPr>
        <w:tab/>
        <w:t>EAFRD rural development programmes</w:t>
      </w:r>
      <w:bookmarkEnd w:id="58"/>
      <w:bookmarkEnd w:id="59"/>
      <w:bookmarkEnd w:id="60"/>
    </w:p>
    <w:p>
      <w:pPr>
        <w:spacing w:before="120" w:after="120" w:line="240" w:lineRule="auto"/>
        <w:ind w:left="850" w:right="71"/>
        <w:jc w:val="both"/>
        <w:rPr>
          <w:rFonts w:ascii="Times New Roman" w:eastAsia="Times New Roman" w:hAnsi="Times New Roman"/>
          <w:noProof/>
          <w:sz w:val="24"/>
          <w:lang w:eastAsia="en-GB"/>
        </w:rPr>
      </w:pPr>
      <w:r>
        <w:rPr>
          <w:rFonts w:ascii="Times New Roman" w:eastAsia="Times New Roman" w:hAnsi="Times New Roman"/>
          <w:noProof/>
          <w:sz w:val="24"/>
          <w:lang w:eastAsia="en-GB"/>
        </w:rPr>
        <w:t xml:space="preserve">For the programming period 2014-2020, almost all payment appropriations available after the transfers (EUR 7 810 million) were used, of which EUR 1 001 million for the pre-financing. </w:t>
      </w:r>
    </w:p>
    <w:p>
      <w:pPr>
        <w:spacing w:before="120" w:after="120" w:line="240" w:lineRule="auto"/>
        <w:ind w:left="850" w:right="71"/>
        <w:jc w:val="both"/>
        <w:rPr>
          <w:rFonts w:ascii="Times New Roman" w:eastAsia="Times New Roman" w:hAnsi="Times New Roman"/>
          <w:noProof/>
          <w:sz w:val="24"/>
          <w:lang w:eastAsia="en-GB"/>
        </w:rPr>
      </w:pPr>
      <w:r>
        <w:rPr>
          <w:rFonts w:ascii="Times New Roman" w:eastAsia="Times New Roman" w:hAnsi="Times New Roman"/>
          <w:noProof/>
          <w:sz w:val="24"/>
          <w:lang w:eastAsia="en-GB"/>
        </w:rPr>
        <w:t xml:space="preserve">For the programming period 2007-2013, all payment appropriations available in the budget (EUR 3 235 million) were implemented. Additional payments of EUR 1 261 million were made with appropriations from EAFRD 2014-2020 programmes line, the operational technical assistance line, the assigned revenue and the End-of-Year transfer. At the end of 2016, the total amount paid for EAFRD programmes 2007-2013, including the closure of 64 programmes, was EUR 4 496 million. </w:t>
      </w:r>
    </w:p>
    <w:p>
      <w:pPr>
        <w:spacing w:before="120" w:after="120" w:line="240" w:lineRule="auto"/>
        <w:ind w:left="840" w:right="71"/>
        <w:jc w:val="both"/>
        <w:rPr>
          <w:rFonts w:ascii="Times New Roman" w:eastAsia="Times New Roman" w:hAnsi="Times New Roman"/>
          <w:noProof/>
          <w:sz w:val="24"/>
          <w:lang w:eastAsia="en-GB"/>
        </w:rPr>
      </w:pPr>
      <w:r>
        <w:rPr>
          <w:rFonts w:ascii="Times New Roman" w:eastAsia="Times New Roman" w:hAnsi="Times New Roman"/>
          <w:noProof/>
          <w:sz w:val="24"/>
          <w:lang w:eastAsia="en-GB"/>
        </w:rPr>
        <w:t>Table 8 shows the breakdown of payments made in 2016 by declaration period:</w:t>
      </w:r>
    </w:p>
    <w:p>
      <w:pPr>
        <w:pStyle w:val="Text1"/>
        <w:ind w:right="749"/>
        <w:rPr>
          <w:noProof/>
        </w:rPr>
      </w:pPr>
      <w:bookmarkStart w:id="61" w:name="OLE_LINK12"/>
      <w:r>
        <w:rPr>
          <w:noProof/>
        </w:rPr>
        <w:t>Table 8</w:t>
      </w:r>
    </w:p>
    <w:tbl>
      <w:tblPr>
        <w:tblW w:w="8400" w:type="dxa"/>
        <w:tblInd w:w="708" w:type="dxa"/>
        <w:tblLook w:val="04A0" w:firstRow="1" w:lastRow="0" w:firstColumn="1" w:lastColumn="0" w:noHBand="0" w:noVBand="1"/>
      </w:tblPr>
      <w:tblGrid>
        <w:gridCol w:w="4440"/>
        <w:gridCol w:w="1920"/>
        <w:gridCol w:w="2040"/>
      </w:tblGrid>
      <w:tr>
        <w:trPr>
          <w:trHeight w:val="603"/>
        </w:trPr>
        <w:tc>
          <w:tcPr>
            <w:tcW w:w="4440" w:type="dxa"/>
            <w:tcBorders>
              <w:top w:val="single" w:sz="8" w:space="0" w:color="auto"/>
              <w:left w:val="single" w:sz="8" w:space="0" w:color="auto"/>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i/>
                <w:iCs/>
                <w:noProof/>
                <w:lang w:eastAsia="en-GB"/>
              </w:rPr>
            </w:pPr>
            <w:r>
              <w:rPr>
                <w:rFonts w:ascii="Times New Roman" w:eastAsia="Times New Roman" w:hAnsi="Times New Roman"/>
                <w:b/>
                <w:bCs/>
                <w:i/>
                <w:iCs/>
                <w:noProof/>
                <w:lang w:eastAsia="en-GB"/>
              </w:rPr>
              <w:t>Payments 2016 for EAFRD rural development programmes (in million EUR)</w:t>
            </w:r>
          </w:p>
        </w:tc>
        <w:tc>
          <w:tcPr>
            <w:tcW w:w="1920" w:type="dxa"/>
            <w:tcBorders>
              <w:top w:val="single" w:sz="8" w:space="0" w:color="auto"/>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i/>
                <w:iCs/>
                <w:noProof/>
                <w:lang w:eastAsia="en-GB"/>
              </w:rPr>
            </w:pPr>
            <w:r>
              <w:rPr>
                <w:rFonts w:ascii="Times New Roman" w:eastAsia="Times New Roman" w:hAnsi="Times New Roman"/>
                <w:b/>
                <w:bCs/>
                <w:i/>
                <w:iCs/>
                <w:noProof/>
                <w:lang w:eastAsia="en-GB"/>
              </w:rPr>
              <w:t>2007-2013</w:t>
            </w:r>
          </w:p>
        </w:tc>
        <w:tc>
          <w:tcPr>
            <w:tcW w:w="2040" w:type="dxa"/>
            <w:tcBorders>
              <w:top w:val="single" w:sz="8" w:space="0" w:color="auto"/>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i/>
                <w:iCs/>
                <w:noProof/>
                <w:lang w:eastAsia="en-GB"/>
              </w:rPr>
            </w:pPr>
            <w:r>
              <w:rPr>
                <w:rFonts w:ascii="Times New Roman" w:eastAsia="Times New Roman" w:hAnsi="Times New Roman"/>
                <w:b/>
                <w:bCs/>
                <w:i/>
                <w:iCs/>
                <w:noProof/>
                <w:lang w:eastAsia="en-GB"/>
              </w:rPr>
              <w:t>2014-2020</w:t>
            </w:r>
          </w:p>
        </w:tc>
      </w:tr>
      <w:tr>
        <w:trPr>
          <w:trHeight w:val="265"/>
        </w:trPr>
        <w:tc>
          <w:tcPr>
            <w:tcW w:w="444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192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Item 05.040501</w:t>
            </w:r>
          </w:p>
        </w:tc>
        <w:tc>
          <w:tcPr>
            <w:tcW w:w="204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Item 05.046001</w:t>
            </w:r>
          </w:p>
        </w:tc>
      </w:tr>
      <w:tr>
        <w:trPr>
          <w:trHeight w:val="309"/>
        </w:trPr>
        <w:tc>
          <w:tcPr>
            <w:tcW w:w="444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Pre-financing 2014-2020</w:t>
            </w:r>
          </w:p>
        </w:tc>
        <w:tc>
          <w:tcPr>
            <w:tcW w:w="192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0.00</w:t>
            </w:r>
          </w:p>
        </w:tc>
        <w:tc>
          <w:tcPr>
            <w:tcW w:w="204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1 000.59</w:t>
            </w:r>
          </w:p>
        </w:tc>
      </w:tr>
      <w:tr>
        <w:trPr>
          <w:trHeight w:val="309"/>
        </w:trPr>
        <w:tc>
          <w:tcPr>
            <w:tcW w:w="444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Reimbursement of payment claims prior to Q4 2015</w:t>
            </w:r>
          </w:p>
        </w:tc>
        <w:tc>
          <w:tcPr>
            <w:tcW w:w="192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277.49</w:t>
            </w:r>
          </w:p>
        </w:tc>
        <w:tc>
          <w:tcPr>
            <w:tcW w:w="204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554.36</w:t>
            </w:r>
          </w:p>
        </w:tc>
      </w:tr>
      <w:tr>
        <w:trPr>
          <w:trHeight w:val="309"/>
        </w:trPr>
        <w:tc>
          <w:tcPr>
            <w:tcW w:w="444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Reimbursement of payment claims Q4 2015</w:t>
            </w:r>
          </w:p>
        </w:tc>
        <w:tc>
          <w:tcPr>
            <w:tcW w:w="192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1 547.84</w:t>
            </w:r>
          </w:p>
        </w:tc>
        <w:tc>
          <w:tcPr>
            <w:tcW w:w="204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1 346.31</w:t>
            </w:r>
          </w:p>
        </w:tc>
      </w:tr>
      <w:tr>
        <w:trPr>
          <w:trHeight w:val="309"/>
        </w:trPr>
        <w:tc>
          <w:tcPr>
            <w:tcW w:w="444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Reimbursement of payment claims Q1 2016</w:t>
            </w:r>
          </w:p>
        </w:tc>
        <w:tc>
          <w:tcPr>
            <w:tcW w:w="192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8.01</w:t>
            </w:r>
          </w:p>
        </w:tc>
        <w:tc>
          <w:tcPr>
            <w:tcW w:w="204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1 257.34</w:t>
            </w:r>
          </w:p>
        </w:tc>
      </w:tr>
      <w:tr>
        <w:trPr>
          <w:trHeight w:val="309"/>
        </w:trPr>
        <w:tc>
          <w:tcPr>
            <w:tcW w:w="444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Reimbursement of payment claims Q2 2016</w:t>
            </w:r>
          </w:p>
        </w:tc>
        <w:tc>
          <w:tcPr>
            <w:tcW w:w="192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0.00</w:t>
            </w:r>
          </w:p>
        </w:tc>
        <w:tc>
          <w:tcPr>
            <w:tcW w:w="204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2 038.53</w:t>
            </w:r>
          </w:p>
        </w:tc>
      </w:tr>
      <w:tr>
        <w:trPr>
          <w:trHeight w:val="309"/>
        </w:trPr>
        <w:tc>
          <w:tcPr>
            <w:tcW w:w="444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Reimbursement of payment claims Q3 2016</w:t>
            </w:r>
          </w:p>
        </w:tc>
        <w:tc>
          <w:tcPr>
            <w:tcW w:w="192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0.00</w:t>
            </w:r>
          </w:p>
        </w:tc>
        <w:tc>
          <w:tcPr>
            <w:tcW w:w="204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1 612.74</w:t>
            </w:r>
          </w:p>
        </w:tc>
      </w:tr>
      <w:tr>
        <w:trPr>
          <w:trHeight w:val="309"/>
        </w:trPr>
        <w:tc>
          <w:tcPr>
            <w:tcW w:w="4440"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Closure payments 2007-2013</w:t>
            </w:r>
          </w:p>
        </w:tc>
        <w:tc>
          <w:tcPr>
            <w:tcW w:w="192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2 662.43</w:t>
            </w:r>
          </w:p>
        </w:tc>
        <w:tc>
          <w:tcPr>
            <w:tcW w:w="204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0.00</w:t>
            </w:r>
          </w:p>
        </w:tc>
      </w:tr>
      <w:tr>
        <w:trPr>
          <w:trHeight w:val="265"/>
        </w:trPr>
        <w:tc>
          <w:tcPr>
            <w:tcW w:w="4440"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Total 2016</w:t>
            </w:r>
          </w:p>
        </w:tc>
        <w:tc>
          <w:tcPr>
            <w:tcW w:w="192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4 495.77</w:t>
            </w:r>
          </w:p>
        </w:tc>
        <w:tc>
          <w:tcPr>
            <w:tcW w:w="204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7 809.87</w:t>
            </w:r>
          </w:p>
        </w:tc>
      </w:tr>
    </w:tbl>
    <w:p>
      <w:pPr>
        <w:pStyle w:val="Text1"/>
        <w:ind w:right="749"/>
        <w:rPr>
          <w:noProof/>
        </w:rPr>
      </w:pPr>
    </w:p>
    <w:bookmarkEnd w:id="61"/>
    <w:p>
      <w:pPr>
        <w:spacing w:before="120" w:after="120" w:line="240" w:lineRule="auto"/>
        <w:ind w:left="850" w:right="71"/>
        <w:jc w:val="both"/>
        <w:rPr>
          <w:rFonts w:ascii="Times New Roman" w:eastAsia="Times New Roman" w:hAnsi="Times New Roman"/>
          <w:noProof/>
          <w:color w:val="000000"/>
          <w:sz w:val="24"/>
          <w:lang w:eastAsia="en-GB"/>
        </w:rPr>
      </w:pPr>
      <w:r>
        <w:rPr>
          <w:rFonts w:ascii="Times New Roman" w:eastAsia="Times New Roman" w:hAnsi="Times New Roman"/>
          <w:noProof/>
          <w:color w:val="000000"/>
          <w:sz w:val="24"/>
          <w:lang w:eastAsia="en-GB"/>
        </w:rPr>
        <w:t xml:space="preserve">The monthly consumption of payment appropriations during the year (January to December 2016) is shown in the graph below. </w:t>
      </w:r>
    </w:p>
    <w:p>
      <w:pPr>
        <w:spacing w:before="120" w:after="120" w:line="240" w:lineRule="auto"/>
        <w:ind w:left="840"/>
        <w:jc w:val="both"/>
        <w:rPr>
          <w:rFonts w:ascii="Times New Roman" w:eastAsia="Times New Roman" w:hAnsi="Times New Roman"/>
          <w:noProof/>
          <w:color w:val="000000"/>
          <w:sz w:val="24"/>
          <w:lang w:eastAsia="en-GB"/>
        </w:rPr>
      </w:pPr>
    </w:p>
    <w:p>
      <w:pPr>
        <w:spacing w:before="120" w:after="120" w:line="240" w:lineRule="auto"/>
        <w:ind w:left="840" w:right="749"/>
        <w:jc w:val="both"/>
        <w:rPr>
          <w:rFonts w:ascii="Times New Roman" w:eastAsia="Times New Roman" w:hAnsi="Times New Roman"/>
          <w:noProof/>
          <w:color w:val="000000"/>
          <w:sz w:val="24"/>
          <w:lang w:eastAsia="en-GB"/>
        </w:rPr>
      </w:pPr>
      <w:r>
        <w:rPr>
          <w:rFonts w:ascii="Times New Roman" w:eastAsia="Times New Roman" w:hAnsi="Times New Roman"/>
          <w:noProof/>
          <w:color w:val="000000"/>
          <w:sz w:val="24"/>
          <w:lang w:eastAsia="en-GB"/>
        </w:rPr>
        <w:t>Graph 1</w:t>
      </w:r>
    </w:p>
    <w:p>
      <w:pPr>
        <w:spacing w:before="120" w:after="120" w:line="240" w:lineRule="auto"/>
        <w:ind w:left="-480"/>
        <w:jc w:val="both"/>
        <w:rPr>
          <w:noProof/>
        </w:rPr>
      </w:pPr>
    </w:p>
    <w:p>
      <w:pPr>
        <w:spacing w:before="120" w:after="120" w:line="240" w:lineRule="auto"/>
        <w:ind w:right="71"/>
        <w:jc w:val="both"/>
        <w:rPr>
          <w:rFonts w:ascii="Times New Roman" w:eastAsia="Times New Roman" w:hAnsi="Times New Roman"/>
          <w:noProof/>
          <w:sz w:val="24"/>
          <w:lang w:eastAsia="en-GB"/>
        </w:rPr>
      </w:pPr>
      <w:r>
        <w:rPr>
          <w:rFonts w:ascii="Times New Roman" w:eastAsia="Times New Roman" w:hAnsi="Times New Roman"/>
          <w:noProof/>
          <w:sz w:val="24"/>
          <w:lang w:eastAsia="en-GB"/>
        </w:rPr>
        <w:pict>
          <v:shape id="_x0000_i1026" type="#_x0000_t75" style="width:484.5pt;height:324pt;mso-position-horizontal-relative:char;mso-position-vertical-relative:line">
            <v:imagedata r:id="rId22" o:title=""/>
          </v:shape>
        </w:pict>
      </w:r>
    </w:p>
    <w:p>
      <w:pPr>
        <w:spacing w:before="120" w:after="120" w:line="240" w:lineRule="auto"/>
        <w:ind w:left="850" w:right="71"/>
        <w:jc w:val="both"/>
        <w:rPr>
          <w:rFonts w:ascii="Times New Roman" w:eastAsia="Times New Roman" w:hAnsi="Times New Roman"/>
          <w:noProof/>
          <w:sz w:val="24"/>
          <w:lang w:eastAsia="en-GB"/>
        </w:rPr>
      </w:pPr>
    </w:p>
    <w:p>
      <w:pPr>
        <w:spacing w:before="120" w:after="120" w:line="240" w:lineRule="auto"/>
        <w:ind w:left="850" w:right="71"/>
        <w:jc w:val="both"/>
        <w:rPr>
          <w:rFonts w:ascii="Times New Roman" w:eastAsia="Times New Roman" w:hAnsi="Times New Roman"/>
          <w:noProof/>
          <w:sz w:val="24"/>
          <w:lang w:eastAsia="en-GB"/>
        </w:rPr>
      </w:pPr>
      <w:r>
        <w:rPr>
          <w:rFonts w:ascii="Times New Roman" w:eastAsia="Times New Roman" w:hAnsi="Times New Roman"/>
          <w:noProof/>
          <w:sz w:val="24"/>
          <w:lang w:eastAsia="en-GB"/>
        </w:rPr>
        <w:t xml:space="preserve">The breakdown per Member State and per declaration period of the amounts paid by the Commission in budget year 2016 is shown in tables 9a and 9b. </w:t>
      </w:r>
    </w:p>
    <w:p>
      <w:pPr>
        <w:spacing w:before="120" w:after="120" w:line="240" w:lineRule="auto"/>
        <w:ind w:left="850" w:right="71"/>
        <w:jc w:val="both"/>
        <w:rPr>
          <w:rFonts w:ascii="Times New Roman" w:eastAsia="Times New Roman" w:hAnsi="Times New Roman"/>
          <w:noProof/>
          <w:sz w:val="24"/>
          <w:lang w:eastAsia="en-GB"/>
        </w:rPr>
      </w:pPr>
    </w:p>
    <w:p>
      <w:pPr>
        <w:keepNext/>
        <w:keepLines/>
        <w:spacing w:before="120" w:after="120" w:line="240" w:lineRule="auto"/>
        <w:ind w:left="850"/>
        <w:jc w:val="both"/>
        <w:rPr>
          <w:rFonts w:ascii="Times New Roman" w:eastAsia="Times New Roman" w:hAnsi="Times New Roman"/>
          <w:noProof/>
          <w:sz w:val="24"/>
          <w:lang w:eastAsia="en-GB"/>
        </w:rPr>
      </w:pPr>
      <w:bookmarkStart w:id="62" w:name="OLE_LINK14"/>
      <w:r>
        <w:rPr>
          <w:rFonts w:ascii="Times New Roman" w:eastAsia="Times New Roman" w:hAnsi="Times New Roman"/>
          <w:noProof/>
          <w:sz w:val="24"/>
          <w:lang w:eastAsia="en-GB"/>
        </w:rPr>
        <w:br w:type="page"/>
        <w:t>Table 9a</w:t>
      </w:r>
    </w:p>
    <w:tbl>
      <w:tblPr>
        <w:tblW w:w="8740" w:type="dxa"/>
        <w:tblInd w:w="93" w:type="dxa"/>
        <w:tblLook w:val="04A0" w:firstRow="1" w:lastRow="0" w:firstColumn="1" w:lastColumn="0" w:noHBand="0" w:noVBand="1"/>
      </w:tblPr>
      <w:tblGrid>
        <w:gridCol w:w="1140"/>
        <w:gridCol w:w="1600"/>
        <w:gridCol w:w="1380"/>
        <w:gridCol w:w="1535"/>
        <w:gridCol w:w="1685"/>
        <w:gridCol w:w="1400"/>
      </w:tblGrid>
      <w:tr>
        <w:trPr>
          <w:trHeight w:val="270"/>
        </w:trPr>
        <w:tc>
          <w:tcPr>
            <w:tcW w:w="8740" w:type="dxa"/>
            <w:gridSpan w:val="6"/>
            <w:tcBorders>
              <w:top w:val="single" w:sz="8" w:space="0" w:color="auto"/>
              <w:left w:val="single" w:sz="8" w:space="0" w:color="auto"/>
              <w:bottom w:val="single" w:sz="8" w:space="0" w:color="auto"/>
              <w:right w:val="single" w:sz="8" w:space="0" w:color="auto"/>
            </w:tcBorders>
            <w:shd w:val="clear" w:color="000000" w:fill="FFFF99"/>
            <w:vAlign w:val="center"/>
            <w:hideMark/>
          </w:tcPr>
          <w:p>
            <w:pPr>
              <w:keepNext/>
              <w:keepLines/>
              <w:spacing w:after="0" w:line="240" w:lineRule="auto"/>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Payments effectively made between 01/01/2016 and 31/12/2016</w:t>
            </w:r>
          </w:p>
        </w:tc>
      </w:tr>
      <w:tr>
        <w:trPr>
          <w:trHeight w:val="270"/>
        </w:trPr>
        <w:tc>
          <w:tcPr>
            <w:tcW w:w="8740" w:type="dxa"/>
            <w:gridSpan w:val="6"/>
            <w:tcBorders>
              <w:top w:val="single" w:sz="8" w:space="0" w:color="auto"/>
              <w:left w:val="single" w:sz="8" w:space="0" w:color="auto"/>
              <w:bottom w:val="single" w:sz="8" w:space="0" w:color="auto"/>
              <w:right w:val="single" w:sz="8" w:space="0" w:color="auto"/>
            </w:tcBorders>
            <w:shd w:val="clear" w:color="000000" w:fill="FFFF99"/>
            <w:vAlign w:val="center"/>
            <w:hideMark/>
          </w:tcPr>
          <w:p>
            <w:pPr>
              <w:keepNext/>
              <w:keepLines/>
              <w:spacing w:after="0" w:line="240" w:lineRule="auto"/>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 xml:space="preserve">EAFRD 2007-2013 - Budget item 05.040501                                                                              </w:t>
            </w:r>
            <w:r>
              <w:rPr>
                <w:rFonts w:ascii="Times New Roman" w:eastAsia="Times New Roman" w:hAnsi="Times New Roman"/>
                <w:b/>
                <w:bCs/>
                <w:i/>
                <w:iCs/>
                <w:noProof/>
                <w:sz w:val="20"/>
                <w:szCs w:val="20"/>
                <w:lang w:eastAsia="en-GB"/>
              </w:rPr>
              <w:t>(in EUR)</w:t>
            </w:r>
          </w:p>
        </w:tc>
      </w:tr>
      <w:tr>
        <w:trPr>
          <w:trHeight w:val="975"/>
        </w:trPr>
        <w:tc>
          <w:tcPr>
            <w:tcW w:w="1140" w:type="dxa"/>
            <w:tcBorders>
              <w:top w:val="nil"/>
              <w:left w:val="single" w:sz="8" w:space="0" w:color="auto"/>
              <w:bottom w:val="single" w:sz="8" w:space="0" w:color="auto"/>
              <w:right w:val="single" w:sz="8" w:space="0" w:color="auto"/>
            </w:tcBorders>
            <w:shd w:val="clear" w:color="000000" w:fill="FFFF99"/>
            <w:vAlign w:val="center"/>
            <w:hideMark/>
          </w:tcPr>
          <w:p>
            <w:pPr>
              <w:keepNext/>
              <w:keepLines/>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MS</w:t>
            </w:r>
          </w:p>
        </w:tc>
        <w:tc>
          <w:tcPr>
            <w:tcW w:w="1600" w:type="dxa"/>
            <w:tcBorders>
              <w:top w:val="nil"/>
              <w:left w:val="nil"/>
              <w:bottom w:val="single" w:sz="8" w:space="0" w:color="auto"/>
              <w:right w:val="single" w:sz="8" w:space="0" w:color="auto"/>
            </w:tcBorders>
            <w:shd w:val="clear" w:color="000000" w:fill="FFFF99"/>
            <w:vAlign w:val="center"/>
            <w:hideMark/>
          </w:tcPr>
          <w:p>
            <w:pPr>
              <w:keepNext/>
              <w:keepLines/>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Prior to Q4 2015</w:t>
            </w:r>
          </w:p>
        </w:tc>
        <w:tc>
          <w:tcPr>
            <w:tcW w:w="1380" w:type="dxa"/>
            <w:tcBorders>
              <w:top w:val="nil"/>
              <w:left w:val="nil"/>
              <w:bottom w:val="single" w:sz="8" w:space="0" w:color="auto"/>
              <w:right w:val="single" w:sz="8" w:space="0" w:color="auto"/>
            </w:tcBorders>
            <w:shd w:val="clear" w:color="000000" w:fill="FFFF99"/>
            <w:vAlign w:val="center"/>
            <w:hideMark/>
          </w:tcPr>
          <w:p>
            <w:pPr>
              <w:keepNext/>
              <w:keepLines/>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Q4 2015</w:t>
            </w:r>
          </w:p>
        </w:tc>
        <w:tc>
          <w:tcPr>
            <w:tcW w:w="1535" w:type="dxa"/>
            <w:tcBorders>
              <w:top w:val="nil"/>
              <w:left w:val="nil"/>
              <w:bottom w:val="single" w:sz="8" w:space="0" w:color="auto"/>
              <w:right w:val="single" w:sz="8" w:space="0" w:color="auto"/>
            </w:tcBorders>
            <w:shd w:val="clear" w:color="000000" w:fill="FFFF99"/>
            <w:vAlign w:val="center"/>
            <w:hideMark/>
          </w:tcPr>
          <w:p>
            <w:pPr>
              <w:keepNext/>
              <w:keepLines/>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Positive payments, mainly following the judgements of Court of Justice</w:t>
            </w:r>
          </w:p>
        </w:tc>
        <w:tc>
          <w:tcPr>
            <w:tcW w:w="1685" w:type="dxa"/>
            <w:tcBorders>
              <w:top w:val="nil"/>
              <w:left w:val="nil"/>
              <w:bottom w:val="single" w:sz="8" w:space="0" w:color="auto"/>
              <w:right w:val="single" w:sz="8" w:space="0" w:color="auto"/>
            </w:tcBorders>
            <w:shd w:val="clear" w:color="000000" w:fill="FFFF99"/>
            <w:vAlign w:val="center"/>
            <w:hideMark/>
          </w:tcPr>
          <w:p>
            <w:pPr>
              <w:keepNext/>
              <w:keepLines/>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Closure</w:t>
            </w:r>
          </w:p>
        </w:tc>
        <w:tc>
          <w:tcPr>
            <w:tcW w:w="1400" w:type="dxa"/>
            <w:tcBorders>
              <w:top w:val="nil"/>
              <w:left w:val="nil"/>
              <w:bottom w:val="single" w:sz="8" w:space="0" w:color="auto"/>
              <w:right w:val="single" w:sz="8" w:space="0" w:color="auto"/>
            </w:tcBorders>
            <w:shd w:val="clear" w:color="000000" w:fill="FFFF99"/>
            <w:vAlign w:val="center"/>
            <w:hideMark/>
          </w:tcPr>
          <w:p>
            <w:pPr>
              <w:keepNext/>
              <w:keepLines/>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Total</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keepNext/>
              <w:keepLines/>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AT</w:t>
            </w:r>
          </w:p>
        </w:tc>
        <w:tc>
          <w:tcPr>
            <w:tcW w:w="1600" w:type="dxa"/>
            <w:tcBorders>
              <w:top w:val="nil"/>
              <w:left w:val="nil"/>
              <w:bottom w:val="single" w:sz="8" w:space="0" w:color="auto"/>
              <w:right w:val="single" w:sz="8" w:space="0" w:color="auto"/>
            </w:tcBorders>
            <w:shd w:val="clear" w:color="000000" w:fill="FFFFFF"/>
            <w:vAlign w:val="center"/>
            <w:hideMark/>
          </w:tcPr>
          <w:p>
            <w:pPr>
              <w:keepNext/>
              <w:keepLines/>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80" w:type="dxa"/>
            <w:tcBorders>
              <w:top w:val="nil"/>
              <w:left w:val="nil"/>
              <w:bottom w:val="single" w:sz="8" w:space="0" w:color="auto"/>
              <w:right w:val="single" w:sz="8" w:space="0" w:color="auto"/>
            </w:tcBorders>
            <w:shd w:val="clear" w:color="000000" w:fill="FFFFFF"/>
            <w:vAlign w:val="center"/>
            <w:hideMark/>
          </w:tcPr>
          <w:p>
            <w:pPr>
              <w:keepNext/>
              <w:keepLines/>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535" w:type="dxa"/>
            <w:tcBorders>
              <w:top w:val="nil"/>
              <w:left w:val="nil"/>
              <w:bottom w:val="single" w:sz="8" w:space="0" w:color="auto"/>
              <w:right w:val="single" w:sz="8" w:space="0" w:color="auto"/>
            </w:tcBorders>
            <w:shd w:val="clear" w:color="000000" w:fill="FFFFFF"/>
            <w:vAlign w:val="center"/>
            <w:hideMark/>
          </w:tcPr>
          <w:p>
            <w:pPr>
              <w:keepNext/>
              <w:keepLines/>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685" w:type="dxa"/>
            <w:tcBorders>
              <w:top w:val="nil"/>
              <w:left w:val="nil"/>
              <w:bottom w:val="single" w:sz="8" w:space="0" w:color="auto"/>
              <w:right w:val="single" w:sz="8" w:space="0" w:color="auto"/>
            </w:tcBorders>
            <w:shd w:val="clear" w:color="000000" w:fill="FFFFFF"/>
            <w:vAlign w:val="center"/>
            <w:hideMark/>
          </w:tcPr>
          <w:p>
            <w:pPr>
              <w:keepNext/>
              <w:keepLines/>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201 048 843</w:t>
            </w:r>
          </w:p>
        </w:tc>
        <w:tc>
          <w:tcPr>
            <w:tcW w:w="1400" w:type="dxa"/>
            <w:tcBorders>
              <w:top w:val="nil"/>
              <w:left w:val="nil"/>
              <w:bottom w:val="single" w:sz="8" w:space="0" w:color="auto"/>
              <w:right w:val="single" w:sz="8" w:space="0" w:color="auto"/>
            </w:tcBorders>
            <w:shd w:val="clear" w:color="000000" w:fill="FFFFFF"/>
            <w:vAlign w:val="center"/>
            <w:hideMark/>
          </w:tcPr>
          <w:p>
            <w:pPr>
              <w:keepNext/>
              <w:keepLines/>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201 048 843</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keepNext/>
              <w:keepLines/>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BE</w:t>
            </w:r>
          </w:p>
        </w:tc>
        <w:tc>
          <w:tcPr>
            <w:tcW w:w="1600" w:type="dxa"/>
            <w:tcBorders>
              <w:top w:val="nil"/>
              <w:left w:val="nil"/>
              <w:bottom w:val="single" w:sz="8" w:space="0" w:color="auto"/>
              <w:right w:val="single" w:sz="8" w:space="0" w:color="auto"/>
            </w:tcBorders>
            <w:shd w:val="clear" w:color="000000" w:fill="FFFFFF"/>
            <w:vAlign w:val="center"/>
            <w:hideMark/>
          </w:tcPr>
          <w:p>
            <w:pPr>
              <w:keepNext/>
              <w:keepLines/>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80" w:type="dxa"/>
            <w:tcBorders>
              <w:top w:val="nil"/>
              <w:left w:val="nil"/>
              <w:bottom w:val="single" w:sz="8" w:space="0" w:color="auto"/>
              <w:right w:val="single" w:sz="8" w:space="0" w:color="auto"/>
            </w:tcBorders>
            <w:shd w:val="clear" w:color="000000" w:fill="FFFFFF"/>
            <w:vAlign w:val="center"/>
            <w:hideMark/>
          </w:tcPr>
          <w:p>
            <w:pPr>
              <w:keepNext/>
              <w:keepLines/>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535" w:type="dxa"/>
            <w:tcBorders>
              <w:top w:val="nil"/>
              <w:left w:val="nil"/>
              <w:bottom w:val="single" w:sz="8" w:space="0" w:color="auto"/>
              <w:right w:val="single" w:sz="8" w:space="0" w:color="auto"/>
            </w:tcBorders>
            <w:shd w:val="clear" w:color="000000" w:fill="FFFFFF"/>
            <w:vAlign w:val="center"/>
            <w:hideMark/>
          </w:tcPr>
          <w:p>
            <w:pPr>
              <w:keepNext/>
              <w:keepLines/>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685" w:type="dxa"/>
            <w:tcBorders>
              <w:top w:val="nil"/>
              <w:left w:val="nil"/>
              <w:bottom w:val="single" w:sz="8" w:space="0" w:color="auto"/>
              <w:right w:val="single" w:sz="8" w:space="0" w:color="auto"/>
            </w:tcBorders>
            <w:shd w:val="clear" w:color="000000" w:fill="FFFFFF"/>
            <w:vAlign w:val="center"/>
            <w:hideMark/>
          </w:tcPr>
          <w:p>
            <w:pPr>
              <w:keepNext/>
              <w:keepLines/>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11 915 307</w:t>
            </w:r>
          </w:p>
        </w:tc>
        <w:tc>
          <w:tcPr>
            <w:tcW w:w="1400" w:type="dxa"/>
            <w:tcBorders>
              <w:top w:val="nil"/>
              <w:left w:val="nil"/>
              <w:bottom w:val="single" w:sz="8" w:space="0" w:color="auto"/>
              <w:right w:val="single" w:sz="8" w:space="0" w:color="auto"/>
            </w:tcBorders>
            <w:shd w:val="clear" w:color="000000" w:fill="FFFFFF"/>
            <w:vAlign w:val="center"/>
            <w:hideMark/>
          </w:tcPr>
          <w:p>
            <w:pPr>
              <w:keepNext/>
              <w:keepLines/>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11 915 307</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keepNext/>
              <w:keepLines/>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BG</w:t>
            </w:r>
          </w:p>
        </w:tc>
        <w:tc>
          <w:tcPr>
            <w:tcW w:w="1600" w:type="dxa"/>
            <w:tcBorders>
              <w:top w:val="nil"/>
              <w:left w:val="nil"/>
              <w:bottom w:val="single" w:sz="8" w:space="0" w:color="auto"/>
              <w:right w:val="single" w:sz="8" w:space="0" w:color="auto"/>
            </w:tcBorders>
            <w:shd w:val="clear" w:color="000000" w:fill="FFFFFF"/>
            <w:vAlign w:val="center"/>
            <w:hideMark/>
          </w:tcPr>
          <w:p>
            <w:pPr>
              <w:keepNext/>
              <w:keepLines/>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211 263</w:t>
            </w:r>
          </w:p>
        </w:tc>
        <w:tc>
          <w:tcPr>
            <w:tcW w:w="1380" w:type="dxa"/>
            <w:tcBorders>
              <w:top w:val="nil"/>
              <w:left w:val="nil"/>
              <w:bottom w:val="single" w:sz="8" w:space="0" w:color="auto"/>
              <w:right w:val="single" w:sz="8" w:space="0" w:color="auto"/>
            </w:tcBorders>
            <w:shd w:val="clear" w:color="000000" w:fill="FFFFFF"/>
            <w:vAlign w:val="center"/>
            <w:hideMark/>
          </w:tcPr>
          <w:p>
            <w:pPr>
              <w:keepNext/>
              <w:keepLines/>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104 910 087</w:t>
            </w:r>
          </w:p>
        </w:tc>
        <w:tc>
          <w:tcPr>
            <w:tcW w:w="1535" w:type="dxa"/>
            <w:tcBorders>
              <w:top w:val="nil"/>
              <w:left w:val="nil"/>
              <w:bottom w:val="single" w:sz="8" w:space="0" w:color="auto"/>
              <w:right w:val="single" w:sz="8" w:space="0" w:color="auto"/>
            </w:tcBorders>
            <w:shd w:val="clear" w:color="000000" w:fill="FFFFFF"/>
            <w:vAlign w:val="center"/>
            <w:hideMark/>
          </w:tcPr>
          <w:p>
            <w:pPr>
              <w:keepNext/>
              <w:keepLines/>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685" w:type="dxa"/>
            <w:tcBorders>
              <w:top w:val="nil"/>
              <w:left w:val="nil"/>
              <w:bottom w:val="single" w:sz="8" w:space="0" w:color="auto"/>
              <w:right w:val="single" w:sz="8" w:space="0" w:color="auto"/>
            </w:tcBorders>
            <w:shd w:val="clear" w:color="000000" w:fill="FFFFFF"/>
            <w:vAlign w:val="center"/>
            <w:hideMark/>
          </w:tcPr>
          <w:p>
            <w:pPr>
              <w:keepNext/>
              <w:keepLines/>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400" w:type="dxa"/>
            <w:tcBorders>
              <w:top w:val="nil"/>
              <w:left w:val="nil"/>
              <w:bottom w:val="single" w:sz="8" w:space="0" w:color="auto"/>
              <w:right w:val="single" w:sz="8" w:space="0" w:color="auto"/>
            </w:tcBorders>
            <w:shd w:val="clear" w:color="000000" w:fill="FFFFFF"/>
            <w:vAlign w:val="center"/>
            <w:hideMark/>
          </w:tcPr>
          <w:p>
            <w:pPr>
              <w:keepNext/>
              <w:keepLines/>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105 121 350</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CY</w:t>
            </w:r>
          </w:p>
        </w:tc>
        <w:tc>
          <w:tcPr>
            <w:tcW w:w="16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53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68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8 138 265</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8 138 265</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CZ</w:t>
            </w:r>
          </w:p>
        </w:tc>
        <w:tc>
          <w:tcPr>
            <w:tcW w:w="16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53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584 299</w:t>
            </w:r>
          </w:p>
        </w:tc>
        <w:tc>
          <w:tcPr>
            <w:tcW w:w="168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138 417 270</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139 001 569</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DE</w:t>
            </w:r>
          </w:p>
        </w:tc>
        <w:tc>
          <w:tcPr>
            <w:tcW w:w="16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10 959 942</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995 397</w:t>
            </w:r>
          </w:p>
        </w:tc>
        <w:tc>
          <w:tcPr>
            <w:tcW w:w="153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68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388 608 987</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400 564 326</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DK</w:t>
            </w:r>
          </w:p>
        </w:tc>
        <w:tc>
          <w:tcPr>
            <w:tcW w:w="16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7 243 066</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53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68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20 963 291</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28 206 357</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EE</w:t>
            </w:r>
          </w:p>
        </w:tc>
        <w:tc>
          <w:tcPr>
            <w:tcW w:w="16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53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68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35 481 510</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35 481 510</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ES</w:t>
            </w:r>
          </w:p>
        </w:tc>
        <w:tc>
          <w:tcPr>
            <w:tcW w:w="16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49 444 612</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254 214 733</w:t>
            </w:r>
          </w:p>
        </w:tc>
        <w:tc>
          <w:tcPr>
            <w:tcW w:w="153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28 301</w:t>
            </w:r>
          </w:p>
        </w:tc>
        <w:tc>
          <w:tcPr>
            <w:tcW w:w="168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138 757 741</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442 445 387</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FI</w:t>
            </w:r>
          </w:p>
        </w:tc>
        <w:tc>
          <w:tcPr>
            <w:tcW w:w="16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53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927 828</w:t>
            </w:r>
          </w:p>
        </w:tc>
        <w:tc>
          <w:tcPr>
            <w:tcW w:w="168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73 189 520</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74 117 347</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FR</w:t>
            </w:r>
          </w:p>
        </w:tc>
        <w:tc>
          <w:tcPr>
            <w:tcW w:w="16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24 430 594</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34 997 367</w:t>
            </w:r>
          </w:p>
        </w:tc>
        <w:tc>
          <w:tcPr>
            <w:tcW w:w="153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4 746 784</w:t>
            </w:r>
          </w:p>
        </w:tc>
        <w:tc>
          <w:tcPr>
            <w:tcW w:w="168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64 174 744</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GR</w:t>
            </w:r>
          </w:p>
        </w:tc>
        <w:tc>
          <w:tcPr>
            <w:tcW w:w="16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3 215 169</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451 499 242</w:t>
            </w:r>
          </w:p>
        </w:tc>
        <w:tc>
          <w:tcPr>
            <w:tcW w:w="153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1 726 644</w:t>
            </w:r>
          </w:p>
        </w:tc>
        <w:tc>
          <w:tcPr>
            <w:tcW w:w="168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456 441 055</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HU</w:t>
            </w:r>
          </w:p>
        </w:tc>
        <w:tc>
          <w:tcPr>
            <w:tcW w:w="16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53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68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100 146 037</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100 146 037</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IE</w:t>
            </w:r>
          </w:p>
        </w:tc>
        <w:tc>
          <w:tcPr>
            <w:tcW w:w="16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53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68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123 238 683</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123 238 683</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IT</w:t>
            </w:r>
          </w:p>
        </w:tc>
        <w:tc>
          <w:tcPr>
            <w:tcW w:w="16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123 857 373</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215 437 259</w:t>
            </w:r>
          </w:p>
        </w:tc>
        <w:tc>
          <w:tcPr>
            <w:tcW w:w="153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68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117 416 941</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456 711 574</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LT</w:t>
            </w:r>
          </w:p>
        </w:tc>
        <w:tc>
          <w:tcPr>
            <w:tcW w:w="16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53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68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86 077 487</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86 077 487</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LU</w:t>
            </w:r>
          </w:p>
        </w:tc>
        <w:tc>
          <w:tcPr>
            <w:tcW w:w="16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53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68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4 310 828</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4 310 828</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LV</w:t>
            </w:r>
          </w:p>
        </w:tc>
        <w:tc>
          <w:tcPr>
            <w:tcW w:w="16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53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303 187 </w:t>
            </w:r>
          </w:p>
        </w:tc>
        <w:tc>
          <w:tcPr>
            <w:tcW w:w="168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52 512 931</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52 816 118</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MT</w:t>
            </w:r>
          </w:p>
        </w:tc>
        <w:tc>
          <w:tcPr>
            <w:tcW w:w="16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1 310 503</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560 059</w:t>
            </w:r>
          </w:p>
        </w:tc>
        <w:tc>
          <w:tcPr>
            <w:tcW w:w="153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68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2 656 238</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4 526 801</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NL</w:t>
            </w:r>
          </w:p>
        </w:tc>
        <w:tc>
          <w:tcPr>
            <w:tcW w:w="16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53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68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27 849 916</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27 849 916</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PL</w:t>
            </w:r>
          </w:p>
        </w:tc>
        <w:tc>
          <w:tcPr>
            <w:tcW w:w="16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53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68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654 646 405</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654 646 405</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PT</w:t>
            </w:r>
          </w:p>
        </w:tc>
        <w:tc>
          <w:tcPr>
            <w:tcW w:w="16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3 922 417</w:t>
            </w:r>
          </w:p>
        </w:tc>
        <w:tc>
          <w:tcPr>
            <w:tcW w:w="153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68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166 884 840</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170 807 257</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RO</w:t>
            </w:r>
          </w:p>
        </w:tc>
        <w:tc>
          <w:tcPr>
            <w:tcW w:w="16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54 175 098</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481 300 950</w:t>
            </w:r>
          </w:p>
        </w:tc>
        <w:tc>
          <w:tcPr>
            <w:tcW w:w="153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68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535 476 048</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SE</w:t>
            </w:r>
          </w:p>
        </w:tc>
        <w:tc>
          <w:tcPr>
            <w:tcW w:w="16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53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68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39 280 927</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39 280 927</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SI</w:t>
            </w:r>
          </w:p>
        </w:tc>
        <w:tc>
          <w:tcPr>
            <w:tcW w:w="16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53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68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42 697 633</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42 697 633</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SK</w:t>
            </w:r>
          </w:p>
        </w:tc>
        <w:tc>
          <w:tcPr>
            <w:tcW w:w="16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53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68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86 339 546</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86 339 546</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UK</w:t>
            </w:r>
          </w:p>
        </w:tc>
        <w:tc>
          <w:tcPr>
            <w:tcW w:w="16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2 637 812</w:t>
            </w:r>
          </w:p>
        </w:tc>
        <w:tc>
          <w:tcPr>
            <w:tcW w:w="138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53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685"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141 550 893</w:t>
            </w:r>
          </w:p>
        </w:tc>
        <w:tc>
          <w:tcPr>
            <w:tcW w:w="14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144 188 705</w:t>
            </w:r>
          </w:p>
        </w:tc>
      </w:tr>
      <w:tr>
        <w:trPr>
          <w:trHeight w:val="270"/>
        </w:trPr>
        <w:tc>
          <w:tcPr>
            <w:tcW w:w="1140"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Total</w:t>
            </w:r>
          </w:p>
        </w:tc>
        <w:tc>
          <w:tcPr>
            <w:tcW w:w="160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277 485 432</w:t>
            </w:r>
          </w:p>
        </w:tc>
        <w:tc>
          <w:tcPr>
            <w:tcW w:w="138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1 547 837 509</w:t>
            </w:r>
          </w:p>
        </w:tc>
        <w:tc>
          <w:tcPr>
            <w:tcW w:w="1535"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8 317 043</w:t>
            </w:r>
          </w:p>
        </w:tc>
        <w:tc>
          <w:tcPr>
            <w:tcW w:w="1685"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2 662 130 040</w:t>
            </w:r>
          </w:p>
        </w:tc>
        <w:tc>
          <w:tcPr>
            <w:tcW w:w="140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4 495 770 025</w:t>
            </w:r>
          </w:p>
        </w:tc>
      </w:tr>
    </w:tbl>
    <w:p>
      <w:pPr>
        <w:spacing w:before="120" w:after="120" w:line="240" w:lineRule="auto"/>
        <w:ind w:left="850"/>
        <w:jc w:val="both"/>
        <w:rPr>
          <w:rFonts w:ascii="Times New Roman" w:eastAsia="Times New Roman" w:hAnsi="Times New Roman"/>
          <w:noProof/>
          <w:sz w:val="24"/>
          <w:lang w:eastAsia="en-GB"/>
        </w:rPr>
      </w:pPr>
    </w:p>
    <w:p>
      <w:pPr>
        <w:spacing w:before="120" w:after="120" w:line="240" w:lineRule="auto"/>
        <w:ind w:left="850"/>
        <w:jc w:val="both"/>
        <w:rPr>
          <w:rFonts w:ascii="Times New Roman" w:eastAsia="Times New Roman" w:hAnsi="Times New Roman"/>
          <w:noProof/>
          <w:sz w:val="24"/>
          <w:lang w:eastAsia="en-GB"/>
        </w:rPr>
      </w:pPr>
    </w:p>
    <w:p>
      <w:pPr>
        <w:spacing w:before="120" w:after="120" w:line="240" w:lineRule="auto"/>
        <w:ind w:left="850"/>
        <w:jc w:val="both"/>
        <w:rPr>
          <w:rFonts w:ascii="Times New Roman" w:eastAsia="Times New Roman" w:hAnsi="Times New Roman"/>
          <w:noProof/>
          <w:sz w:val="24"/>
          <w:lang w:eastAsia="en-GB"/>
        </w:rPr>
      </w:pPr>
    </w:p>
    <w:p>
      <w:pPr>
        <w:spacing w:before="120" w:after="120" w:line="240" w:lineRule="auto"/>
        <w:ind w:left="850"/>
        <w:jc w:val="both"/>
        <w:rPr>
          <w:rFonts w:ascii="Times New Roman" w:eastAsia="Times New Roman" w:hAnsi="Times New Roman"/>
          <w:noProof/>
          <w:sz w:val="24"/>
          <w:lang w:eastAsia="en-GB"/>
        </w:rPr>
      </w:pPr>
    </w:p>
    <w:p>
      <w:pPr>
        <w:spacing w:before="120" w:after="120" w:line="240" w:lineRule="auto"/>
        <w:ind w:left="850"/>
        <w:jc w:val="both"/>
        <w:rPr>
          <w:rFonts w:ascii="Times New Roman" w:eastAsia="Times New Roman" w:hAnsi="Times New Roman"/>
          <w:noProof/>
          <w:sz w:val="24"/>
          <w:lang w:eastAsia="en-GB"/>
        </w:rPr>
      </w:pPr>
      <w:r>
        <w:rPr>
          <w:rFonts w:ascii="Times New Roman" w:eastAsia="Times New Roman" w:hAnsi="Times New Roman"/>
          <w:noProof/>
          <w:sz w:val="24"/>
          <w:lang w:eastAsia="en-GB"/>
        </w:rPr>
        <w:br w:type="page"/>
        <w:t>Table 9b</w:t>
      </w:r>
    </w:p>
    <w:tbl>
      <w:tblPr>
        <w:tblW w:w="9720" w:type="dxa"/>
        <w:tblInd w:w="-372" w:type="dxa"/>
        <w:tblLook w:val="04A0" w:firstRow="1" w:lastRow="0" w:firstColumn="1" w:lastColumn="0" w:noHBand="0" w:noVBand="1"/>
      </w:tblPr>
      <w:tblGrid>
        <w:gridCol w:w="627"/>
        <w:gridCol w:w="1293"/>
        <w:gridCol w:w="1200"/>
        <w:gridCol w:w="1320"/>
        <w:gridCol w:w="1320"/>
        <w:gridCol w:w="1320"/>
        <w:gridCol w:w="1320"/>
        <w:gridCol w:w="1320"/>
      </w:tblGrid>
      <w:tr>
        <w:trPr>
          <w:trHeight w:val="270"/>
        </w:trPr>
        <w:tc>
          <w:tcPr>
            <w:tcW w:w="9720" w:type="dxa"/>
            <w:gridSpan w:val="8"/>
            <w:tcBorders>
              <w:top w:val="single" w:sz="8" w:space="0" w:color="auto"/>
              <w:left w:val="single" w:sz="8" w:space="0" w:color="auto"/>
              <w:bottom w:val="single" w:sz="8" w:space="0" w:color="auto"/>
              <w:right w:val="single" w:sz="8" w:space="0" w:color="000000"/>
            </w:tcBorders>
            <w:shd w:val="clear" w:color="000000" w:fill="FFFF99"/>
            <w:noWrap/>
            <w:vAlign w:val="center"/>
            <w:hideMark/>
          </w:tcPr>
          <w:p>
            <w:pPr>
              <w:spacing w:after="0" w:line="240" w:lineRule="auto"/>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 xml:space="preserve">Payments effectively made between 01/01/2016 and 31/12/2016 </w:t>
            </w:r>
          </w:p>
        </w:tc>
      </w:tr>
      <w:tr>
        <w:trPr>
          <w:trHeight w:val="285"/>
        </w:trPr>
        <w:tc>
          <w:tcPr>
            <w:tcW w:w="8400" w:type="dxa"/>
            <w:gridSpan w:val="7"/>
            <w:tcBorders>
              <w:top w:val="single" w:sz="8" w:space="0" w:color="auto"/>
              <w:left w:val="single" w:sz="8" w:space="0" w:color="auto"/>
              <w:bottom w:val="single" w:sz="8" w:space="0" w:color="auto"/>
              <w:right w:val="nil"/>
            </w:tcBorders>
            <w:shd w:val="clear" w:color="000000" w:fill="FFFF99"/>
            <w:noWrap/>
            <w:vAlign w:val="center"/>
            <w:hideMark/>
          </w:tcPr>
          <w:p>
            <w:pPr>
              <w:spacing w:after="0" w:line="240" w:lineRule="auto"/>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EAFRD 2014-2020 - Budget item 05.046001</w:t>
            </w:r>
          </w:p>
        </w:tc>
        <w:tc>
          <w:tcPr>
            <w:tcW w:w="132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i/>
                <w:iCs/>
                <w:noProof/>
                <w:sz w:val="20"/>
                <w:szCs w:val="20"/>
                <w:lang w:eastAsia="en-GB"/>
              </w:rPr>
            </w:pPr>
            <w:r>
              <w:rPr>
                <w:rFonts w:ascii="Times New Roman" w:eastAsia="Times New Roman" w:hAnsi="Times New Roman"/>
                <w:b/>
                <w:bCs/>
                <w:i/>
                <w:iCs/>
                <w:noProof/>
                <w:sz w:val="20"/>
                <w:szCs w:val="20"/>
                <w:lang w:eastAsia="en-GB"/>
              </w:rPr>
              <w:t>(in EUR)</w:t>
            </w:r>
          </w:p>
        </w:tc>
      </w:tr>
      <w:tr>
        <w:trPr>
          <w:trHeight w:val="495"/>
        </w:trPr>
        <w:tc>
          <w:tcPr>
            <w:tcW w:w="627"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MS</w:t>
            </w:r>
          </w:p>
        </w:tc>
        <w:tc>
          <w:tcPr>
            <w:tcW w:w="1293"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Pre-financing</w:t>
            </w:r>
          </w:p>
        </w:tc>
        <w:tc>
          <w:tcPr>
            <w:tcW w:w="120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Prior to Q4 2015</w:t>
            </w:r>
          </w:p>
        </w:tc>
        <w:tc>
          <w:tcPr>
            <w:tcW w:w="132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Q4 2015</w:t>
            </w:r>
          </w:p>
        </w:tc>
        <w:tc>
          <w:tcPr>
            <w:tcW w:w="132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Q1 2016</w:t>
            </w:r>
          </w:p>
        </w:tc>
        <w:tc>
          <w:tcPr>
            <w:tcW w:w="132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Q2 2016</w:t>
            </w:r>
          </w:p>
        </w:tc>
        <w:tc>
          <w:tcPr>
            <w:tcW w:w="132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 xml:space="preserve"> Q3 2016</w:t>
            </w:r>
          </w:p>
        </w:tc>
        <w:tc>
          <w:tcPr>
            <w:tcW w:w="132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Total</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AT</w:t>
            </w:r>
          </w:p>
        </w:tc>
        <w:tc>
          <w:tcPr>
            <w:tcW w:w="1293"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39 375 520</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3 265 091</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17 539 570</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339 778 144</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33 993 775</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433 952 101</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BE</w:t>
            </w:r>
          </w:p>
        </w:tc>
        <w:tc>
          <w:tcPr>
            <w:tcW w:w="1293"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6 477 978</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4 864 566</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3 635 803</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2 443 352</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20 679 176</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7 880 154</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45 981 029</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BG</w:t>
            </w:r>
          </w:p>
        </w:tc>
        <w:tc>
          <w:tcPr>
            <w:tcW w:w="1293"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23 667 170</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84 793 197</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15 018 210</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29 248 636</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152 727 213</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CY</w:t>
            </w:r>
          </w:p>
        </w:tc>
        <w:tc>
          <w:tcPr>
            <w:tcW w:w="1293"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1 322 444</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54 702</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2 367 776</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3 429 608</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1 325 612</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8 500 142</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CZ</w:t>
            </w:r>
          </w:p>
        </w:tc>
        <w:tc>
          <w:tcPr>
            <w:tcW w:w="1293"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23 056 740</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4 850 094</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31 962 882</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50 356 787</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60 232 281</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34 480 775</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204 939 559</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DE</w:t>
            </w:r>
          </w:p>
        </w:tc>
        <w:tc>
          <w:tcPr>
            <w:tcW w:w="1293"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93 607 201</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17 663 132</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218 875 742</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165 939 180</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148 021 290</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97 342 001</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741 448 545</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DK</w:t>
            </w:r>
          </w:p>
        </w:tc>
        <w:tc>
          <w:tcPr>
            <w:tcW w:w="1293"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14 976 097</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991 945</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20 595 204</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17 020 883</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17 784 549</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18 536 432</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89 905 110</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EE</w:t>
            </w:r>
          </w:p>
        </w:tc>
        <w:tc>
          <w:tcPr>
            <w:tcW w:w="1293"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8 233 416</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4 138 495</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6 567 382</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48 892 142</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13 093 427</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15 209 984</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96 134 846</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ES</w:t>
            </w:r>
          </w:p>
        </w:tc>
        <w:tc>
          <w:tcPr>
            <w:tcW w:w="1293"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82 973 888</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14 051 954</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67 590 620</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81 033 254</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68 486 032</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147 428 430</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461 564 178</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FI</w:t>
            </w:r>
          </w:p>
        </w:tc>
        <w:tc>
          <w:tcPr>
            <w:tcW w:w="1293"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23 804 083</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48 031 959</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106 332 534</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5 276 183</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57 387 698</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110 154 555</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350 987 012</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FR</w:t>
            </w:r>
          </w:p>
        </w:tc>
        <w:tc>
          <w:tcPr>
            <w:tcW w:w="1293"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113 848 442</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315 907 655</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90 883 881</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22 904 483</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41 866 580</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52 994 771</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638 405 812</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GR</w:t>
            </w:r>
          </w:p>
        </w:tc>
        <w:tc>
          <w:tcPr>
            <w:tcW w:w="1293"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47 182 918</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8 494 055</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26 664 899</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192 679 994</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275 021 867</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HR</w:t>
            </w:r>
          </w:p>
        </w:tc>
        <w:tc>
          <w:tcPr>
            <w:tcW w:w="1293"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20 262 225</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388 120</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10 181 227</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5 305 518</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72 442 372</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42 726 922</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151 306 384</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HU</w:t>
            </w:r>
          </w:p>
        </w:tc>
        <w:tc>
          <w:tcPr>
            <w:tcW w:w="1293"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34 306 645</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196 249 540</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12 218 585</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242 774 769</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IE</w:t>
            </w:r>
          </w:p>
        </w:tc>
        <w:tc>
          <w:tcPr>
            <w:tcW w:w="1293"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21 905 922</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49 948 020</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77 659 945</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10 385 332</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8 342 894</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107 486 601</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275 728 714</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IT</w:t>
            </w:r>
          </w:p>
        </w:tc>
        <w:tc>
          <w:tcPr>
            <w:tcW w:w="1293"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104 443 808</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11 074 939</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40 546 961</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64 506 841</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174 280 211</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129 139 789</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523 992 549</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LT</w:t>
            </w:r>
          </w:p>
        </w:tc>
        <w:tc>
          <w:tcPr>
            <w:tcW w:w="1293"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16 130 882</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1 147 244</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32 577 397</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33 299 991</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61 974 997</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44 957 701</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190 088 212</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LU</w:t>
            </w:r>
          </w:p>
        </w:tc>
        <w:tc>
          <w:tcPr>
            <w:tcW w:w="1293"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1 005 746</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13 645</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3 306 700</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867 396</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2 168 098</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7 361 586</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LV</w:t>
            </w:r>
          </w:p>
        </w:tc>
        <w:tc>
          <w:tcPr>
            <w:tcW w:w="1293"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10 756 038</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2 527 228</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31 848 828</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33 063 678</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19 549 712</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21 843 592</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119 589 076</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MT</w:t>
            </w:r>
          </w:p>
        </w:tc>
        <w:tc>
          <w:tcPr>
            <w:tcW w:w="1293"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973 269</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565 944</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23 513</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1 562 726</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NL</w:t>
            </w:r>
          </w:p>
        </w:tc>
        <w:tc>
          <w:tcPr>
            <w:tcW w:w="1293"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10 812 454</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943 989</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4 002 744</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23 346 116</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5 065 312</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1 091 765</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45 262 379</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PL</w:t>
            </w:r>
          </w:p>
        </w:tc>
        <w:tc>
          <w:tcPr>
            <w:tcW w:w="1293"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88 961 088</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73 652 412</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238 330 817</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50 868 806</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451 813 122</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PT</w:t>
            </w:r>
          </w:p>
        </w:tc>
        <w:tc>
          <w:tcPr>
            <w:tcW w:w="1293"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40 601 404</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35 704 235</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284 545 887</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114 089 541</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51 094 441</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51 511 050</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577 546 557</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RO</w:t>
            </w:r>
          </w:p>
        </w:tc>
        <w:tc>
          <w:tcPr>
            <w:tcW w:w="1293"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81 279 964</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56 984 320</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231 935 189</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235 097 590</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605 297 063</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SE</w:t>
            </w:r>
          </w:p>
        </w:tc>
        <w:tc>
          <w:tcPr>
            <w:tcW w:w="1293"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17 455 653</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430 800</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51 589 535</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55 384 861</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15 530 153</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68 470 024</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208 861 025</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SI</w:t>
            </w:r>
          </w:p>
        </w:tc>
        <w:tc>
          <w:tcPr>
            <w:tcW w:w="1293"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8 378 498</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1 163 339</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22 175 367</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26 250 286</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26 101 394</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1 570 151</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85 639 035</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SK</w:t>
            </w:r>
          </w:p>
        </w:tc>
        <w:tc>
          <w:tcPr>
            <w:tcW w:w="1293"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15 885 298</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673 179</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34 644 205</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6 584 291</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37 635 408</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26 144 967</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121 567 349</w:t>
            </w:r>
          </w:p>
        </w:tc>
      </w:tr>
      <w:tr>
        <w:trPr>
          <w:trHeight w:val="270"/>
        </w:trPr>
        <w:tc>
          <w:tcPr>
            <w:tcW w:w="62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UK</w:t>
            </w:r>
          </w:p>
        </w:tc>
        <w:tc>
          <w:tcPr>
            <w:tcW w:w="1293"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48 906 195</w:t>
            </w:r>
          </w:p>
        </w:tc>
        <w:tc>
          <w:tcPr>
            <w:tcW w:w="120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39 849 997</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203 467 861</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246 560 880</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86 990 969</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76 141 057</w:t>
            </w:r>
          </w:p>
        </w:tc>
        <w:tc>
          <w:tcPr>
            <w:tcW w:w="1320"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701 916 960</w:t>
            </w:r>
          </w:p>
        </w:tc>
      </w:tr>
      <w:tr>
        <w:trPr>
          <w:trHeight w:val="270"/>
        </w:trPr>
        <w:tc>
          <w:tcPr>
            <w:tcW w:w="627"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Total</w:t>
            </w:r>
          </w:p>
        </w:tc>
        <w:tc>
          <w:tcPr>
            <w:tcW w:w="1293"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1 000 590 984</w:t>
            </w:r>
          </w:p>
        </w:tc>
        <w:tc>
          <w:tcPr>
            <w:tcW w:w="120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554 364 534</w:t>
            </w:r>
          </w:p>
        </w:tc>
        <w:tc>
          <w:tcPr>
            <w:tcW w:w="132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1 346 310 501</w:t>
            </w:r>
          </w:p>
        </w:tc>
        <w:tc>
          <w:tcPr>
            <w:tcW w:w="132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1 257 342 323</w:t>
            </w:r>
          </w:p>
        </w:tc>
        <w:tc>
          <w:tcPr>
            <w:tcW w:w="132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2 038 531 245</w:t>
            </w:r>
          </w:p>
        </w:tc>
        <w:tc>
          <w:tcPr>
            <w:tcW w:w="132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1 612 735 333</w:t>
            </w:r>
          </w:p>
        </w:tc>
        <w:tc>
          <w:tcPr>
            <w:tcW w:w="1320"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7 809 874 920</w:t>
            </w:r>
          </w:p>
        </w:tc>
      </w:tr>
    </w:tbl>
    <w:p>
      <w:pPr>
        <w:spacing w:before="120" w:after="120" w:line="240" w:lineRule="auto"/>
        <w:ind w:left="850"/>
        <w:jc w:val="both"/>
        <w:rPr>
          <w:rFonts w:ascii="Times New Roman" w:eastAsia="Times New Roman" w:hAnsi="Times New Roman"/>
          <w:noProof/>
          <w:sz w:val="24"/>
          <w:lang w:eastAsia="en-GB"/>
        </w:rPr>
      </w:pPr>
    </w:p>
    <w:bookmarkEnd w:id="62"/>
    <w:p>
      <w:pPr>
        <w:spacing w:before="120" w:after="120" w:line="240" w:lineRule="auto"/>
        <w:ind w:left="850" w:right="71"/>
        <w:jc w:val="both"/>
        <w:rPr>
          <w:rFonts w:ascii="Times New Roman" w:eastAsia="Times New Roman" w:hAnsi="Times New Roman"/>
          <w:noProof/>
          <w:sz w:val="24"/>
          <w:lang w:eastAsia="en-GB"/>
        </w:rPr>
      </w:pPr>
      <w:r>
        <w:rPr>
          <w:rFonts w:ascii="Times New Roman" w:eastAsia="Times New Roman" w:hAnsi="Times New Roman"/>
          <w:noProof/>
          <w:sz w:val="24"/>
          <w:lang w:eastAsia="en-GB"/>
        </w:rPr>
        <w:t>Tables 10a and 10b compare, for each Member State, the EAFRD payments made in 2016 with the payments in 2015. The total payments for EAFRD 2007-2013 programmes decreased by 31% (EUR 4.5 billion vs. 6.5 billion), reflecting that the eligibility for Union expenditure for the 2007-2013 programmes ended on 31 December 2015 and that hence the 2016 payments cover the reimbursements for Q4/2015 as well as the payments for the EAFRD programmes closed in 2016. At the same time the payments for EAFRD 2014-2020 programmes increased significantly (by 49%) compared to year 2015 (EUR 7.8 billion vs. EUR 5.3 billion).</w:t>
      </w:r>
    </w:p>
    <w:p>
      <w:pPr>
        <w:spacing w:before="120" w:after="120" w:line="240" w:lineRule="auto"/>
        <w:ind w:left="850"/>
        <w:jc w:val="both"/>
        <w:rPr>
          <w:rFonts w:ascii="Times New Roman" w:eastAsia="Times New Roman" w:hAnsi="Times New Roman"/>
          <w:noProof/>
          <w:sz w:val="24"/>
          <w:lang w:eastAsia="en-GB"/>
        </w:rPr>
      </w:pPr>
      <w:bookmarkStart w:id="63" w:name="OLE_LINK15"/>
    </w:p>
    <w:p>
      <w:pPr>
        <w:spacing w:before="120" w:after="120" w:line="240" w:lineRule="auto"/>
        <w:ind w:left="850"/>
        <w:jc w:val="both"/>
        <w:rPr>
          <w:rFonts w:ascii="Times New Roman" w:eastAsia="Times New Roman" w:hAnsi="Times New Roman"/>
          <w:noProof/>
          <w:sz w:val="24"/>
          <w:lang w:eastAsia="en-GB"/>
        </w:rPr>
        <w:sectPr>
          <w:headerReference w:type="even" r:id="rId23"/>
          <w:headerReference w:type="default" r:id="rId24"/>
          <w:footerReference w:type="even" r:id="rId25"/>
          <w:footerReference w:type="default" r:id="rId26"/>
          <w:headerReference w:type="first" r:id="rId27"/>
          <w:footerReference w:type="first" r:id="rId28"/>
          <w:pgSz w:w="11907" w:h="16839" w:code="9"/>
          <w:pgMar w:top="1134" w:right="1418" w:bottom="1134" w:left="1418" w:header="709" w:footer="709" w:gutter="0"/>
          <w:cols w:space="708"/>
          <w:docGrid w:linePitch="360"/>
        </w:sectPr>
      </w:pPr>
    </w:p>
    <w:p>
      <w:pPr>
        <w:spacing w:after="0" w:line="240" w:lineRule="auto"/>
        <w:ind w:left="850"/>
        <w:jc w:val="both"/>
        <w:rPr>
          <w:rFonts w:ascii="Times New Roman" w:eastAsia="Times New Roman" w:hAnsi="Times New Roman"/>
          <w:noProof/>
          <w:sz w:val="24"/>
          <w:lang w:eastAsia="en-GB"/>
        </w:rPr>
      </w:pPr>
      <w:r>
        <w:rPr>
          <w:rFonts w:ascii="Times New Roman" w:eastAsia="Times New Roman" w:hAnsi="Times New Roman"/>
          <w:noProof/>
          <w:sz w:val="24"/>
          <w:lang w:eastAsia="en-GB"/>
        </w:rPr>
        <w:t>Table 10a</w:t>
      </w:r>
    </w:p>
    <w:tbl>
      <w:tblPr>
        <w:tblW w:w="12341" w:type="dxa"/>
        <w:tblInd w:w="93" w:type="dxa"/>
        <w:tblLook w:val="04A0" w:firstRow="1" w:lastRow="0" w:firstColumn="1" w:lastColumn="0" w:noHBand="0" w:noVBand="1"/>
      </w:tblPr>
      <w:tblGrid>
        <w:gridCol w:w="1087"/>
        <w:gridCol w:w="1793"/>
        <w:gridCol w:w="816"/>
        <w:gridCol w:w="1359"/>
        <w:gridCol w:w="1879"/>
        <w:gridCol w:w="1359"/>
        <w:gridCol w:w="1359"/>
        <w:gridCol w:w="1688"/>
        <w:gridCol w:w="1013"/>
      </w:tblGrid>
      <w:tr>
        <w:trPr>
          <w:trHeight w:val="255"/>
        </w:trPr>
        <w:tc>
          <w:tcPr>
            <w:tcW w:w="9640" w:type="dxa"/>
            <w:gridSpan w:val="7"/>
            <w:vMerge w:val="restart"/>
            <w:tcBorders>
              <w:top w:val="single" w:sz="8" w:space="0" w:color="auto"/>
              <w:left w:val="single" w:sz="8" w:space="0" w:color="auto"/>
              <w:bottom w:val="single" w:sz="8" w:space="0" w:color="000000"/>
              <w:right w:val="nil"/>
            </w:tcBorders>
            <w:shd w:val="clear" w:color="000000" w:fill="FFFF99"/>
            <w:noWrap/>
            <w:vAlign w:val="center"/>
            <w:hideMark/>
          </w:tcPr>
          <w:p>
            <w:pPr>
              <w:spacing w:after="0" w:line="240" w:lineRule="auto"/>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Payments made to Member States - Comparison 2016 vs 2015 - EAFRD 2007-2013</w:t>
            </w:r>
          </w:p>
        </w:tc>
        <w:tc>
          <w:tcPr>
            <w:tcW w:w="2701" w:type="dxa"/>
            <w:gridSpan w:val="2"/>
            <w:vMerge w:val="restart"/>
            <w:tcBorders>
              <w:top w:val="single" w:sz="8" w:space="0" w:color="auto"/>
              <w:left w:val="nil"/>
              <w:bottom w:val="single" w:sz="8" w:space="0" w:color="000000"/>
              <w:right w:val="single" w:sz="8" w:space="0" w:color="000000"/>
            </w:tcBorders>
            <w:shd w:val="clear" w:color="000000" w:fill="FFFF99"/>
            <w:noWrap/>
            <w:vAlign w:val="center"/>
            <w:hideMark/>
          </w:tcPr>
          <w:p>
            <w:pPr>
              <w:spacing w:after="0" w:line="240" w:lineRule="auto"/>
              <w:jc w:val="center"/>
              <w:rPr>
                <w:rFonts w:ascii="Times New Roman" w:eastAsia="Times New Roman" w:hAnsi="Times New Roman"/>
                <w:b/>
                <w:bCs/>
                <w:i/>
                <w:iCs/>
                <w:noProof/>
                <w:sz w:val="18"/>
                <w:szCs w:val="18"/>
                <w:lang w:eastAsia="en-GB"/>
              </w:rPr>
            </w:pPr>
            <w:r>
              <w:rPr>
                <w:rFonts w:ascii="Times New Roman" w:eastAsia="Times New Roman" w:hAnsi="Times New Roman"/>
                <w:b/>
                <w:bCs/>
                <w:i/>
                <w:iCs/>
                <w:noProof/>
                <w:sz w:val="18"/>
                <w:szCs w:val="18"/>
                <w:lang w:eastAsia="en-GB"/>
              </w:rPr>
              <w:t>(in EUR)</w:t>
            </w:r>
          </w:p>
        </w:tc>
      </w:tr>
      <w:tr>
        <w:trPr>
          <w:trHeight w:val="270"/>
        </w:trPr>
        <w:tc>
          <w:tcPr>
            <w:tcW w:w="9640" w:type="dxa"/>
            <w:gridSpan w:val="7"/>
            <w:vMerge/>
            <w:tcBorders>
              <w:top w:val="single" w:sz="8" w:space="0" w:color="auto"/>
              <w:left w:val="single" w:sz="8" w:space="0" w:color="auto"/>
              <w:bottom w:val="single" w:sz="8" w:space="0" w:color="000000"/>
              <w:right w:val="nil"/>
            </w:tcBorders>
            <w:vAlign w:val="center"/>
            <w:hideMark/>
          </w:tcPr>
          <w:p>
            <w:pPr>
              <w:spacing w:after="0" w:line="240" w:lineRule="auto"/>
              <w:rPr>
                <w:rFonts w:ascii="Times New Roman" w:eastAsia="Times New Roman" w:hAnsi="Times New Roman"/>
                <w:b/>
                <w:bCs/>
                <w:noProof/>
                <w:sz w:val="18"/>
                <w:szCs w:val="18"/>
                <w:lang w:eastAsia="en-GB"/>
              </w:rPr>
            </w:pPr>
          </w:p>
        </w:tc>
        <w:tc>
          <w:tcPr>
            <w:tcW w:w="2701" w:type="dxa"/>
            <w:gridSpan w:val="2"/>
            <w:vMerge/>
            <w:tcBorders>
              <w:top w:val="single" w:sz="8" w:space="0" w:color="auto"/>
              <w:left w:val="nil"/>
              <w:bottom w:val="single" w:sz="8" w:space="0" w:color="000000"/>
              <w:right w:val="single" w:sz="8" w:space="0" w:color="000000"/>
            </w:tcBorders>
            <w:vAlign w:val="center"/>
            <w:hideMark/>
          </w:tcPr>
          <w:p>
            <w:pPr>
              <w:spacing w:after="0" w:line="240" w:lineRule="auto"/>
              <w:rPr>
                <w:rFonts w:ascii="Times New Roman" w:eastAsia="Times New Roman" w:hAnsi="Times New Roman"/>
                <w:b/>
                <w:bCs/>
                <w:i/>
                <w:iCs/>
                <w:noProof/>
                <w:sz w:val="18"/>
                <w:szCs w:val="18"/>
                <w:lang w:eastAsia="en-GB"/>
              </w:rPr>
            </w:pPr>
          </w:p>
        </w:tc>
      </w:tr>
      <w:tr>
        <w:trPr>
          <w:trHeight w:val="270"/>
        </w:trPr>
        <w:tc>
          <w:tcPr>
            <w:tcW w:w="1087" w:type="dxa"/>
            <w:vMerge w:val="restart"/>
            <w:tcBorders>
              <w:top w:val="nil"/>
              <w:left w:val="single" w:sz="8" w:space="0" w:color="auto"/>
              <w:bottom w:val="single" w:sz="8" w:space="0" w:color="000000"/>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MS</w:t>
            </w:r>
          </w:p>
        </w:tc>
        <w:tc>
          <w:tcPr>
            <w:tcW w:w="3956" w:type="dxa"/>
            <w:gridSpan w:val="3"/>
            <w:tcBorders>
              <w:top w:val="single" w:sz="8" w:space="0" w:color="000000"/>
              <w:left w:val="nil"/>
              <w:bottom w:val="single" w:sz="8" w:space="0" w:color="auto"/>
              <w:right w:val="single" w:sz="8" w:space="0" w:color="000000"/>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2015</w:t>
            </w:r>
          </w:p>
        </w:tc>
        <w:tc>
          <w:tcPr>
            <w:tcW w:w="4597" w:type="dxa"/>
            <w:gridSpan w:val="3"/>
            <w:tcBorders>
              <w:top w:val="single" w:sz="8" w:space="0" w:color="000000"/>
              <w:left w:val="nil"/>
              <w:bottom w:val="single" w:sz="8" w:space="0" w:color="auto"/>
              <w:right w:val="single" w:sz="8" w:space="0" w:color="000000"/>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2016</w:t>
            </w:r>
          </w:p>
        </w:tc>
        <w:tc>
          <w:tcPr>
            <w:tcW w:w="2701" w:type="dxa"/>
            <w:gridSpan w:val="2"/>
            <w:tcBorders>
              <w:top w:val="single" w:sz="8" w:space="0" w:color="000000"/>
              <w:left w:val="nil"/>
              <w:bottom w:val="single" w:sz="8" w:space="0" w:color="auto"/>
              <w:right w:val="single" w:sz="8" w:space="0" w:color="000000"/>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Difference 2016 vs. 2015</w:t>
            </w:r>
          </w:p>
        </w:tc>
      </w:tr>
      <w:tr>
        <w:trPr>
          <w:trHeight w:val="270"/>
        </w:trPr>
        <w:tc>
          <w:tcPr>
            <w:tcW w:w="1087" w:type="dxa"/>
            <w:vMerge/>
            <w:tcBorders>
              <w:top w:val="nil"/>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b/>
                <w:bCs/>
                <w:noProof/>
                <w:sz w:val="18"/>
                <w:szCs w:val="18"/>
                <w:lang w:eastAsia="en-GB"/>
              </w:rPr>
            </w:pPr>
          </w:p>
        </w:tc>
        <w:tc>
          <w:tcPr>
            <w:tcW w:w="1793" w:type="dxa"/>
            <w:tcBorders>
              <w:top w:val="nil"/>
              <w:left w:val="nil"/>
              <w:bottom w:val="single" w:sz="8" w:space="0" w:color="auto"/>
              <w:right w:val="nil"/>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Interim payments</w:t>
            </w:r>
          </w:p>
        </w:tc>
        <w:tc>
          <w:tcPr>
            <w:tcW w:w="804"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Closure</w:t>
            </w:r>
          </w:p>
        </w:tc>
        <w:tc>
          <w:tcPr>
            <w:tcW w:w="1359"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Total</w:t>
            </w:r>
          </w:p>
        </w:tc>
        <w:tc>
          <w:tcPr>
            <w:tcW w:w="1879" w:type="dxa"/>
            <w:tcBorders>
              <w:top w:val="nil"/>
              <w:left w:val="nil"/>
              <w:bottom w:val="single" w:sz="8" w:space="0" w:color="auto"/>
              <w:right w:val="nil"/>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Interim payments</w:t>
            </w:r>
          </w:p>
        </w:tc>
        <w:tc>
          <w:tcPr>
            <w:tcW w:w="1359"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Closure</w:t>
            </w:r>
          </w:p>
        </w:tc>
        <w:tc>
          <w:tcPr>
            <w:tcW w:w="1359" w:type="dxa"/>
            <w:tcBorders>
              <w:top w:val="nil"/>
              <w:left w:val="nil"/>
              <w:bottom w:val="single" w:sz="8" w:space="0" w:color="auto"/>
              <w:right w:val="nil"/>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Total</w:t>
            </w:r>
          </w:p>
        </w:tc>
        <w:tc>
          <w:tcPr>
            <w:tcW w:w="1688"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(in €)</w:t>
            </w:r>
          </w:p>
        </w:tc>
        <w:tc>
          <w:tcPr>
            <w:tcW w:w="1013"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(in %)</w:t>
            </w:r>
          </w:p>
        </w:tc>
      </w:tr>
      <w:tr>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AT</w:t>
            </w:r>
          </w:p>
        </w:tc>
        <w:tc>
          <w:tcPr>
            <w:tcW w:w="179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80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87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201 048 843</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201 048 843</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201 048 843</w:t>
            </w:r>
          </w:p>
        </w:tc>
        <w:tc>
          <w:tcPr>
            <w:tcW w:w="101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w:t>
            </w:r>
          </w:p>
        </w:tc>
      </w:tr>
      <w:tr>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BE</w:t>
            </w:r>
          </w:p>
        </w:tc>
        <w:tc>
          <w:tcPr>
            <w:tcW w:w="179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5 360 020</w:t>
            </w:r>
          </w:p>
        </w:tc>
        <w:tc>
          <w:tcPr>
            <w:tcW w:w="80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5 360 020</w:t>
            </w:r>
          </w:p>
        </w:tc>
        <w:tc>
          <w:tcPr>
            <w:tcW w:w="1879"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11 915 307</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11 915 307</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6 555 287</w:t>
            </w:r>
          </w:p>
        </w:tc>
        <w:tc>
          <w:tcPr>
            <w:tcW w:w="101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122.30%</w:t>
            </w:r>
          </w:p>
        </w:tc>
      </w:tr>
      <w:tr>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BG</w:t>
            </w:r>
          </w:p>
        </w:tc>
        <w:tc>
          <w:tcPr>
            <w:tcW w:w="179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404 510 426</w:t>
            </w:r>
          </w:p>
        </w:tc>
        <w:tc>
          <w:tcPr>
            <w:tcW w:w="80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404 510 426</w:t>
            </w:r>
          </w:p>
        </w:tc>
        <w:tc>
          <w:tcPr>
            <w:tcW w:w="1879"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105 121 350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105 121 350</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-299 389 076</w:t>
            </w:r>
          </w:p>
        </w:tc>
        <w:tc>
          <w:tcPr>
            <w:tcW w:w="101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-74.01%</w:t>
            </w:r>
          </w:p>
        </w:tc>
      </w:tr>
      <w:tr>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CY</w:t>
            </w:r>
          </w:p>
        </w:tc>
        <w:tc>
          <w:tcPr>
            <w:tcW w:w="179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18 280 429</w:t>
            </w:r>
          </w:p>
        </w:tc>
        <w:tc>
          <w:tcPr>
            <w:tcW w:w="80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18 280 429</w:t>
            </w:r>
          </w:p>
        </w:tc>
        <w:tc>
          <w:tcPr>
            <w:tcW w:w="1879"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8 138 265</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8 138 265</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-10 142 164</w:t>
            </w:r>
          </w:p>
        </w:tc>
        <w:tc>
          <w:tcPr>
            <w:tcW w:w="101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-55.48%</w:t>
            </w:r>
          </w:p>
        </w:tc>
      </w:tr>
      <w:tr>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CZ</w:t>
            </w:r>
          </w:p>
        </w:tc>
        <w:tc>
          <w:tcPr>
            <w:tcW w:w="179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80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87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584 299</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138 417 270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139 001 569</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139 001 569</w:t>
            </w:r>
          </w:p>
        </w:tc>
        <w:tc>
          <w:tcPr>
            <w:tcW w:w="101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w:t>
            </w:r>
          </w:p>
        </w:tc>
      </w:tr>
      <w:tr>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DE</w:t>
            </w:r>
          </w:p>
        </w:tc>
        <w:tc>
          <w:tcPr>
            <w:tcW w:w="179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287 887 731</w:t>
            </w:r>
          </w:p>
        </w:tc>
        <w:tc>
          <w:tcPr>
            <w:tcW w:w="80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287 887 731</w:t>
            </w:r>
          </w:p>
        </w:tc>
        <w:tc>
          <w:tcPr>
            <w:tcW w:w="1879"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11 955 339</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388 608 987</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400 564 326</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112 676 595</w:t>
            </w:r>
          </w:p>
        </w:tc>
        <w:tc>
          <w:tcPr>
            <w:tcW w:w="101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39.14%</w:t>
            </w:r>
          </w:p>
        </w:tc>
      </w:tr>
      <w:tr>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DK</w:t>
            </w:r>
          </w:p>
        </w:tc>
        <w:tc>
          <w:tcPr>
            <w:tcW w:w="179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60 727 573</w:t>
            </w:r>
          </w:p>
        </w:tc>
        <w:tc>
          <w:tcPr>
            <w:tcW w:w="80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60 727 573</w:t>
            </w:r>
          </w:p>
        </w:tc>
        <w:tc>
          <w:tcPr>
            <w:tcW w:w="1879"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7 243 066</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20 963 291</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28 206 357</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-32 521 216</w:t>
            </w:r>
          </w:p>
        </w:tc>
        <w:tc>
          <w:tcPr>
            <w:tcW w:w="101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-53.55%</w:t>
            </w:r>
          </w:p>
        </w:tc>
      </w:tr>
      <w:tr>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EE</w:t>
            </w:r>
          </w:p>
        </w:tc>
        <w:tc>
          <w:tcPr>
            <w:tcW w:w="179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80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87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35 481 510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35 481 510</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35 481 510</w:t>
            </w:r>
          </w:p>
        </w:tc>
        <w:tc>
          <w:tcPr>
            <w:tcW w:w="101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w:t>
            </w:r>
          </w:p>
        </w:tc>
      </w:tr>
      <w:tr>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ES</w:t>
            </w:r>
          </w:p>
        </w:tc>
        <w:tc>
          <w:tcPr>
            <w:tcW w:w="179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953 334 892</w:t>
            </w:r>
          </w:p>
        </w:tc>
        <w:tc>
          <w:tcPr>
            <w:tcW w:w="80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953 334 892</w:t>
            </w:r>
          </w:p>
        </w:tc>
        <w:tc>
          <w:tcPr>
            <w:tcW w:w="1879"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303 687 646</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138 757 741</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442 445 387</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-510 889 505</w:t>
            </w:r>
          </w:p>
        </w:tc>
        <w:tc>
          <w:tcPr>
            <w:tcW w:w="101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-53.59%</w:t>
            </w:r>
          </w:p>
        </w:tc>
      </w:tr>
      <w:tr>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FI</w:t>
            </w:r>
          </w:p>
        </w:tc>
        <w:tc>
          <w:tcPr>
            <w:tcW w:w="179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80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87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927 828</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73 189 520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74 117 347</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74 117 347</w:t>
            </w:r>
          </w:p>
        </w:tc>
        <w:tc>
          <w:tcPr>
            <w:tcW w:w="101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w:t>
            </w:r>
          </w:p>
        </w:tc>
      </w:tr>
      <w:tr>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FR</w:t>
            </w:r>
          </w:p>
        </w:tc>
        <w:tc>
          <w:tcPr>
            <w:tcW w:w="179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239 865 433</w:t>
            </w:r>
          </w:p>
        </w:tc>
        <w:tc>
          <w:tcPr>
            <w:tcW w:w="80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239 865 433</w:t>
            </w:r>
          </w:p>
        </w:tc>
        <w:tc>
          <w:tcPr>
            <w:tcW w:w="1879"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64 174 744</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64 174 744</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-175 690 689</w:t>
            </w:r>
          </w:p>
        </w:tc>
        <w:tc>
          <w:tcPr>
            <w:tcW w:w="101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-73.25%</w:t>
            </w:r>
          </w:p>
        </w:tc>
      </w:tr>
      <w:tr>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GR</w:t>
            </w:r>
          </w:p>
        </w:tc>
        <w:tc>
          <w:tcPr>
            <w:tcW w:w="179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379 109 303</w:t>
            </w:r>
          </w:p>
        </w:tc>
        <w:tc>
          <w:tcPr>
            <w:tcW w:w="80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379 109 303</w:t>
            </w:r>
          </w:p>
        </w:tc>
        <w:tc>
          <w:tcPr>
            <w:tcW w:w="1879"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456 441 055</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456 441 055</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77 331 752</w:t>
            </w:r>
          </w:p>
        </w:tc>
        <w:tc>
          <w:tcPr>
            <w:tcW w:w="101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20.40%</w:t>
            </w:r>
          </w:p>
        </w:tc>
      </w:tr>
      <w:tr>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HR</w:t>
            </w:r>
          </w:p>
        </w:tc>
        <w:tc>
          <w:tcPr>
            <w:tcW w:w="179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80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87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01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w:t>
            </w:r>
          </w:p>
        </w:tc>
      </w:tr>
      <w:tr>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HU</w:t>
            </w:r>
          </w:p>
        </w:tc>
        <w:tc>
          <w:tcPr>
            <w:tcW w:w="179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382 092 959</w:t>
            </w:r>
          </w:p>
        </w:tc>
        <w:tc>
          <w:tcPr>
            <w:tcW w:w="80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382 092 959</w:t>
            </w:r>
          </w:p>
        </w:tc>
        <w:tc>
          <w:tcPr>
            <w:tcW w:w="1879"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100 146 037</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100 146 037</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-281 946 922</w:t>
            </w:r>
          </w:p>
        </w:tc>
        <w:tc>
          <w:tcPr>
            <w:tcW w:w="101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-73.79%</w:t>
            </w:r>
          </w:p>
        </w:tc>
      </w:tr>
      <w:tr>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IE</w:t>
            </w:r>
          </w:p>
        </w:tc>
        <w:tc>
          <w:tcPr>
            <w:tcW w:w="179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80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87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123 238 683</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123 238 683</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123 238 683</w:t>
            </w:r>
          </w:p>
        </w:tc>
        <w:tc>
          <w:tcPr>
            <w:tcW w:w="101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w:t>
            </w:r>
          </w:p>
        </w:tc>
      </w:tr>
      <w:tr>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IT</w:t>
            </w:r>
          </w:p>
        </w:tc>
        <w:tc>
          <w:tcPr>
            <w:tcW w:w="179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1 143 347 348</w:t>
            </w:r>
          </w:p>
        </w:tc>
        <w:tc>
          <w:tcPr>
            <w:tcW w:w="80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1 143 347 348</w:t>
            </w:r>
          </w:p>
        </w:tc>
        <w:tc>
          <w:tcPr>
            <w:tcW w:w="1879"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339 294 632</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117 416 941</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456 711 574</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-686 635 774</w:t>
            </w:r>
          </w:p>
        </w:tc>
        <w:tc>
          <w:tcPr>
            <w:tcW w:w="101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-60.05%</w:t>
            </w:r>
          </w:p>
        </w:tc>
      </w:tr>
      <w:tr>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LT</w:t>
            </w:r>
          </w:p>
        </w:tc>
        <w:tc>
          <w:tcPr>
            <w:tcW w:w="179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38 115 984</w:t>
            </w:r>
          </w:p>
        </w:tc>
        <w:tc>
          <w:tcPr>
            <w:tcW w:w="80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38 115 984</w:t>
            </w:r>
          </w:p>
        </w:tc>
        <w:tc>
          <w:tcPr>
            <w:tcW w:w="1879"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86 077 487</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86 077 487</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47 961 503</w:t>
            </w:r>
          </w:p>
        </w:tc>
        <w:tc>
          <w:tcPr>
            <w:tcW w:w="101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125.83%</w:t>
            </w:r>
          </w:p>
        </w:tc>
      </w:tr>
      <w:tr>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LU</w:t>
            </w:r>
          </w:p>
        </w:tc>
        <w:tc>
          <w:tcPr>
            <w:tcW w:w="179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80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87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4 310 828</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4 310 828</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4 310 828</w:t>
            </w:r>
          </w:p>
        </w:tc>
        <w:tc>
          <w:tcPr>
            <w:tcW w:w="101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w:t>
            </w:r>
          </w:p>
        </w:tc>
      </w:tr>
      <w:tr>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LV</w:t>
            </w:r>
          </w:p>
        </w:tc>
        <w:tc>
          <w:tcPr>
            <w:tcW w:w="179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80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87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303 187</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52 512 931</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52 816 118</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52 816 118</w:t>
            </w:r>
          </w:p>
        </w:tc>
        <w:tc>
          <w:tcPr>
            <w:tcW w:w="101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w:t>
            </w:r>
          </w:p>
        </w:tc>
      </w:tr>
      <w:tr>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MT</w:t>
            </w:r>
          </w:p>
        </w:tc>
        <w:tc>
          <w:tcPr>
            <w:tcW w:w="179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8 590 730</w:t>
            </w:r>
          </w:p>
        </w:tc>
        <w:tc>
          <w:tcPr>
            <w:tcW w:w="80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8 590 730</w:t>
            </w:r>
          </w:p>
        </w:tc>
        <w:tc>
          <w:tcPr>
            <w:tcW w:w="1879"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1 870 562</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2 656 238</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4 526 801</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-4 063 929</w:t>
            </w:r>
          </w:p>
        </w:tc>
        <w:tc>
          <w:tcPr>
            <w:tcW w:w="101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-47.31%</w:t>
            </w:r>
          </w:p>
        </w:tc>
      </w:tr>
      <w:tr>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NL</w:t>
            </w:r>
          </w:p>
        </w:tc>
        <w:tc>
          <w:tcPr>
            <w:tcW w:w="179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10 583 063</w:t>
            </w:r>
          </w:p>
        </w:tc>
        <w:tc>
          <w:tcPr>
            <w:tcW w:w="80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10 583 063</w:t>
            </w:r>
          </w:p>
        </w:tc>
        <w:tc>
          <w:tcPr>
            <w:tcW w:w="1879"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27 849 916</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27 849 916</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17 266 853</w:t>
            </w:r>
          </w:p>
        </w:tc>
        <w:tc>
          <w:tcPr>
            <w:tcW w:w="101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163.16%</w:t>
            </w:r>
          </w:p>
        </w:tc>
      </w:tr>
      <w:tr>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PL</w:t>
            </w:r>
          </w:p>
        </w:tc>
        <w:tc>
          <w:tcPr>
            <w:tcW w:w="179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1 170 599 020</w:t>
            </w:r>
          </w:p>
        </w:tc>
        <w:tc>
          <w:tcPr>
            <w:tcW w:w="80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1 170 599 020</w:t>
            </w:r>
          </w:p>
        </w:tc>
        <w:tc>
          <w:tcPr>
            <w:tcW w:w="1879"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654 646 405</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654 646 405</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-515 952 615</w:t>
            </w:r>
          </w:p>
        </w:tc>
        <w:tc>
          <w:tcPr>
            <w:tcW w:w="101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-44.08%</w:t>
            </w:r>
          </w:p>
        </w:tc>
      </w:tr>
      <w:tr>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PT</w:t>
            </w:r>
          </w:p>
        </w:tc>
        <w:tc>
          <w:tcPr>
            <w:tcW w:w="179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31 039 518</w:t>
            </w:r>
          </w:p>
        </w:tc>
        <w:tc>
          <w:tcPr>
            <w:tcW w:w="80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31 039 518</w:t>
            </w:r>
          </w:p>
        </w:tc>
        <w:tc>
          <w:tcPr>
            <w:tcW w:w="1879"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3 922 417</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166 884 840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170 807 257</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139 767 739</w:t>
            </w:r>
          </w:p>
        </w:tc>
        <w:tc>
          <w:tcPr>
            <w:tcW w:w="101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450.29%</w:t>
            </w:r>
          </w:p>
        </w:tc>
      </w:tr>
      <w:tr>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RO</w:t>
            </w:r>
          </w:p>
        </w:tc>
        <w:tc>
          <w:tcPr>
            <w:tcW w:w="179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1 257 624 319</w:t>
            </w:r>
          </w:p>
        </w:tc>
        <w:tc>
          <w:tcPr>
            <w:tcW w:w="80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1 257 624 319</w:t>
            </w:r>
          </w:p>
        </w:tc>
        <w:tc>
          <w:tcPr>
            <w:tcW w:w="1879"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535 476 048</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535 476 048</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-722 148 271</w:t>
            </w:r>
          </w:p>
        </w:tc>
        <w:tc>
          <w:tcPr>
            <w:tcW w:w="101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-57.42%</w:t>
            </w:r>
          </w:p>
        </w:tc>
      </w:tr>
      <w:tr>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SE</w:t>
            </w:r>
          </w:p>
        </w:tc>
        <w:tc>
          <w:tcPr>
            <w:tcW w:w="179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80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87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39 280 927</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39 280 927</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39 280 927</w:t>
            </w:r>
          </w:p>
        </w:tc>
        <w:tc>
          <w:tcPr>
            <w:tcW w:w="101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w:t>
            </w:r>
          </w:p>
        </w:tc>
      </w:tr>
      <w:tr>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SI</w:t>
            </w:r>
          </w:p>
        </w:tc>
        <w:tc>
          <w:tcPr>
            <w:tcW w:w="179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80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87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42 697 633</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42 697 633</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42 697 633</w:t>
            </w:r>
          </w:p>
        </w:tc>
        <w:tc>
          <w:tcPr>
            <w:tcW w:w="101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w:t>
            </w:r>
          </w:p>
        </w:tc>
      </w:tr>
      <w:tr>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SK</w:t>
            </w:r>
          </w:p>
        </w:tc>
        <w:tc>
          <w:tcPr>
            <w:tcW w:w="179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29 960 498</w:t>
            </w:r>
          </w:p>
        </w:tc>
        <w:tc>
          <w:tcPr>
            <w:tcW w:w="80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29 960 498</w:t>
            </w:r>
          </w:p>
        </w:tc>
        <w:tc>
          <w:tcPr>
            <w:tcW w:w="1879"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86 339 546</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86 339 546</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56 379 048</w:t>
            </w:r>
          </w:p>
        </w:tc>
        <w:tc>
          <w:tcPr>
            <w:tcW w:w="101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188.18%</w:t>
            </w:r>
          </w:p>
        </w:tc>
      </w:tr>
      <w:tr>
        <w:trPr>
          <w:trHeight w:val="270"/>
        </w:trPr>
        <w:tc>
          <w:tcPr>
            <w:tcW w:w="1087"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UK</w:t>
            </w:r>
          </w:p>
        </w:tc>
        <w:tc>
          <w:tcPr>
            <w:tcW w:w="179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43 269 312</w:t>
            </w:r>
          </w:p>
        </w:tc>
        <w:tc>
          <w:tcPr>
            <w:tcW w:w="80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43 269 312</w:t>
            </w:r>
          </w:p>
        </w:tc>
        <w:tc>
          <w:tcPr>
            <w:tcW w:w="1879" w:type="dxa"/>
            <w:tcBorders>
              <w:top w:val="nil"/>
              <w:left w:val="nil"/>
              <w:bottom w:val="single" w:sz="8" w:space="0" w:color="auto"/>
              <w:right w:val="single" w:sz="8" w:space="0" w:color="auto"/>
            </w:tcBorders>
            <w:shd w:val="clear" w:color="000000" w:fill="FFFFFF"/>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2 637 812</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141 550 893</w:t>
            </w:r>
          </w:p>
        </w:tc>
        <w:tc>
          <w:tcPr>
            <w:tcW w:w="135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144 188 705</w:t>
            </w:r>
          </w:p>
        </w:tc>
        <w:tc>
          <w:tcPr>
            <w:tcW w:w="168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100 919 393</w:t>
            </w:r>
          </w:p>
        </w:tc>
        <w:tc>
          <w:tcPr>
            <w:tcW w:w="101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233.24%</w:t>
            </w:r>
          </w:p>
        </w:tc>
      </w:tr>
      <w:tr>
        <w:trPr>
          <w:trHeight w:val="270"/>
        </w:trPr>
        <w:tc>
          <w:tcPr>
            <w:tcW w:w="1087"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Total</w:t>
            </w:r>
          </w:p>
        </w:tc>
        <w:tc>
          <w:tcPr>
            <w:tcW w:w="1793"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6 464 298 560</w:t>
            </w:r>
          </w:p>
        </w:tc>
        <w:tc>
          <w:tcPr>
            <w:tcW w:w="804"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0</w:t>
            </w:r>
          </w:p>
        </w:tc>
        <w:tc>
          <w:tcPr>
            <w:tcW w:w="1359"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6 464 298 560</w:t>
            </w:r>
          </w:p>
        </w:tc>
        <w:tc>
          <w:tcPr>
            <w:tcW w:w="1879"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1 833 639 985</w:t>
            </w:r>
          </w:p>
        </w:tc>
        <w:tc>
          <w:tcPr>
            <w:tcW w:w="1359"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2 662 130 040</w:t>
            </w:r>
          </w:p>
        </w:tc>
        <w:tc>
          <w:tcPr>
            <w:tcW w:w="1359"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4 495 770 025</w:t>
            </w:r>
          </w:p>
        </w:tc>
        <w:tc>
          <w:tcPr>
            <w:tcW w:w="1688"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-1 968 528 535</w:t>
            </w:r>
          </w:p>
        </w:tc>
        <w:tc>
          <w:tcPr>
            <w:tcW w:w="1013"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-30.45%</w:t>
            </w:r>
          </w:p>
        </w:tc>
      </w:tr>
    </w:tbl>
    <w:bookmarkEnd w:id="63"/>
    <w:p>
      <w:pPr>
        <w:spacing w:after="0" w:line="240" w:lineRule="auto"/>
        <w:ind w:left="850"/>
        <w:jc w:val="both"/>
        <w:rPr>
          <w:rFonts w:ascii="Times New Roman" w:eastAsia="Times New Roman" w:hAnsi="Times New Roman"/>
          <w:noProof/>
          <w:sz w:val="24"/>
          <w:lang w:eastAsia="en-GB"/>
        </w:rPr>
      </w:pPr>
      <w:r>
        <w:rPr>
          <w:rFonts w:ascii="Times New Roman" w:eastAsia="Times New Roman" w:hAnsi="Times New Roman"/>
          <w:noProof/>
          <w:sz w:val="24"/>
          <w:lang w:eastAsia="en-GB"/>
        </w:rPr>
        <w:t>Table 10b</w:t>
      </w:r>
    </w:p>
    <w:tbl>
      <w:tblPr>
        <w:tblW w:w="12340" w:type="dxa"/>
        <w:tblInd w:w="93" w:type="dxa"/>
        <w:tblLook w:val="04A0" w:firstRow="1" w:lastRow="0" w:firstColumn="1" w:lastColumn="0" w:noHBand="0" w:noVBand="1"/>
      </w:tblPr>
      <w:tblGrid>
        <w:gridCol w:w="1034"/>
        <w:gridCol w:w="1707"/>
        <w:gridCol w:w="1312"/>
        <w:gridCol w:w="1294"/>
        <w:gridCol w:w="1707"/>
        <w:gridCol w:w="1312"/>
        <w:gridCol w:w="1294"/>
        <w:gridCol w:w="1380"/>
        <w:gridCol w:w="1300"/>
      </w:tblGrid>
      <w:tr>
        <w:trPr>
          <w:trHeight w:val="255"/>
        </w:trPr>
        <w:tc>
          <w:tcPr>
            <w:tcW w:w="9660" w:type="dxa"/>
            <w:gridSpan w:val="7"/>
            <w:vMerge w:val="restart"/>
            <w:tcBorders>
              <w:top w:val="single" w:sz="8" w:space="0" w:color="auto"/>
              <w:left w:val="single" w:sz="8" w:space="0" w:color="auto"/>
              <w:bottom w:val="single" w:sz="8" w:space="0" w:color="000000"/>
              <w:right w:val="nil"/>
            </w:tcBorders>
            <w:shd w:val="clear" w:color="000000" w:fill="FFFF99"/>
            <w:noWrap/>
            <w:vAlign w:val="center"/>
            <w:hideMark/>
          </w:tcPr>
          <w:p>
            <w:pPr>
              <w:spacing w:after="0" w:line="240" w:lineRule="auto"/>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 xml:space="preserve">Payments made to Member States - Comparison 2016 vs 2015 - </w:t>
            </w:r>
            <w:r>
              <w:rPr>
                <w:rFonts w:ascii="Times New Roman" w:eastAsia="Times New Roman" w:hAnsi="Times New Roman"/>
                <w:b/>
                <w:bCs/>
                <w:noProof/>
                <w:sz w:val="18"/>
                <w:szCs w:val="18"/>
                <w:u w:val="single"/>
                <w:lang w:eastAsia="en-GB"/>
              </w:rPr>
              <w:t>EAFRD 2014-2020</w:t>
            </w:r>
          </w:p>
        </w:tc>
        <w:tc>
          <w:tcPr>
            <w:tcW w:w="1380" w:type="dxa"/>
            <w:vMerge w:val="restart"/>
            <w:tcBorders>
              <w:top w:val="single" w:sz="8" w:space="0" w:color="auto"/>
              <w:left w:val="nil"/>
              <w:bottom w:val="single" w:sz="8" w:space="0" w:color="000000"/>
              <w:right w:val="nil"/>
            </w:tcBorders>
            <w:shd w:val="clear" w:color="000000" w:fill="FFFF99"/>
            <w:noWrap/>
            <w:vAlign w:val="center"/>
            <w:hideMark/>
          </w:tcPr>
          <w:p>
            <w:pPr>
              <w:spacing w:after="0" w:line="240" w:lineRule="auto"/>
              <w:jc w:val="center"/>
              <w:rPr>
                <w:rFonts w:ascii="Times New Roman" w:eastAsia="Times New Roman" w:hAnsi="Times New Roman"/>
                <w:b/>
                <w:bCs/>
                <w:i/>
                <w:iCs/>
                <w:noProof/>
                <w:sz w:val="18"/>
                <w:szCs w:val="18"/>
                <w:lang w:eastAsia="en-GB"/>
              </w:rPr>
            </w:pPr>
            <w:r>
              <w:rPr>
                <w:rFonts w:ascii="Times New Roman" w:eastAsia="Times New Roman" w:hAnsi="Times New Roman"/>
                <w:b/>
                <w:bCs/>
                <w:i/>
                <w:iCs/>
                <w:noProof/>
                <w:sz w:val="18"/>
                <w:szCs w:val="18"/>
                <w:lang w:eastAsia="en-GB"/>
              </w:rPr>
              <w:t>(in EUR)</w:t>
            </w:r>
          </w:p>
        </w:tc>
        <w:tc>
          <w:tcPr>
            <w:tcW w:w="1300" w:type="dxa"/>
            <w:vMerge w:val="restart"/>
            <w:tcBorders>
              <w:top w:val="single" w:sz="8" w:space="0" w:color="auto"/>
              <w:left w:val="nil"/>
              <w:bottom w:val="single" w:sz="8" w:space="0" w:color="000000"/>
              <w:right w:val="single" w:sz="8" w:space="0" w:color="auto"/>
            </w:tcBorders>
            <w:shd w:val="clear" w:color="000000" w:fill="FFFF99"/>
            <w:noWrap/>
            <w:vAlign w:val="center"/>
            <w:hideMark/>
          </w:tcPr>
          <w:p>
            <w:pPr>
              <w:spacing w:after="0" w:line="240" w:lineRule="auto"/>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r>
      <w:tr>
        <w:trPr>
          <w:trHeight w:val="270"/>
        </w:trPr>
        <w:tc>
          <w:tcPr>
            <w:tcW w:w="9660" w:type="dxa"/>
            <w:gridSpan w:val="7"/>
            <w:vMerge/>
            <w:tcBorders>
              <w:top w:val="single" w:sz="8" w:space="0" w:color="auto"/>
              <w:left w:val="single" w:sz="8" w:space="0" w:color="auto"/>
              <w:bottom w:val="single" w:sz="8" w:space="0" w:color="000000"/>
              <w:right w:val="nil"/>
            </w:tcBorders>
            <w:vAlign w:val="center"/>
            <w:hideMark/>
          </w:tcPr>
          <w:p>
            <w:pPr>
              <w:spacing w:after="0" w:line="240" w:lineRule="auto"/>
              <w:rPr>
                <w:rFonts w:ascii="Times New Roman" w:eastAsia="Times New Roman" w:hAnsi="Times New Roman"/>
                <w:b/>
                <w:bCs/>
                <w:noProof/>
                <w:sz w:val="18"/>
                <w:szCs w:val="18"/>
                <w:lang w:eastAsia="en-GB"/>
              </w:rPr>
            </w:pPr>
          </w:p>
        </w:tc>
        <w:tc>
          <w:tcPr>
            <w:tcW w:w="1380" w:type="dxa"/>
            <w:vMerge/>
            <w:tcBorders>
              <w:top w:val="single" w:sz="8" w:space="0" w:color="auto"/>
              <w:left w:val="nil"/>
              <w:bottom w:val="single" w:sz="8" w:space="0" w:color="000000"/>
              <w:right w:val="nil"/>
            </w:tcBorders>
            <w:vAlign w:val="center"/>
            <w:hideMark/>
          </w:tcPr>
          <w:p>
            <w:pPr>
              <w:spacing w:after="0" w:line="240" w:lineRule="auto"/>
              <w:rPr>
                <w:rFonts w:ascii="Times New Roman" w:eastAsia="Times New Roman" w:hAnsi="Times New Roman"/>
                <w:b/>
                <w:bCs/>
                <w:i/>
                <w:iCs/>
                <w:noProof/>
                <w:sz w:val="18"/>
                <w:szCs w:val="18"/>
                <w:lang w:eastAsia="en-GB"/>
              </w:rPr>
            </w:pPr>
          </w:p>
        </w:tc>
        <w:tc>
          <w:tcPr>
            <w:tcW w:w="1300" w:type="dxa"/>
            <w:vMerge/>
            <w:tcBorders>
              <w:top w:val="single" w:sz="8" w:space="0" w:color="auto"/>
              <w:left w:val="nil"/>
              <w:bottom w:val="single" w:sz="8" w:space="0" w:color="000000"/>
              <w:right w:val="single" w:sz="8" w:space="0" w:color="auto"/>
            </w:tcBorders>
            <w:vAlign w:val="center"/>
            <w:hideMark/>
          </w:tcPr>
          <w:p>
            <w:pPr>
              <w:spacing w:after="0" w:line="240" w:lineRule="auto"/>
              <w:rPr>
                <w:rFonts w:ascii="Times New Roman" w:eastAsia="Times New Roman" w:hAnsi="Times New Roman"/>
                <w:noProof/>
                <w:sz w:val="18"/>
                <w:szCs w:val="18"/>
                <w:lang w:eastAsia="en-GB"/>
              </w:rPr>
            </w:pPr>
          </w:p>
        </w:tc>
      </w:tr>
      <w:tr>
        <w:trPr>
          <w:trHeight w:val="270"/>
        </w:trPr>
        <w:tc>
          <w:tcPr>
            <w:tcW w:w="1034" w:type="dxa"/>
            <w:vMerge w:val="restart"/>
            <w:tcBorders>
              <w:top w:val="nil"/>
              <w:left w:val="single" w:sz="8" w:space="0" w:color="auto"/>
              <w:bottom w:val="single" w:sz="8" w:space="0" w:color="000000"/>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MS</w:t>
            </w:r>
          </w:p>
        </w:tc>
        <w:tc>
          <w:tcPr>
            <w:tcW w:w="4313" w:type="dxa"/>
            <w:gridSpan w:val="3"/>
            <w:tcBorders>
              <w:top w:val="single" w:sz="8" w:space="0" w:color="000000"/>
              <w:left w:val="nil"/>
              <w:bottom w:val="single" w:sz="8" w:space="0" w:color="auto"/>
              <w:right w:val="single" w:sz="8" w:space="0" w:color="000000"/>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2015</w:t>
            </w:r>
          </w:p>
        </w:tc>
        <w:tc>
          <w:tcPr>
            <w:tcW w:w="4313" w:type="dxa"/>
            <w:gridSpan w:val="3"/>
            <w:tcBorders>
              <w:top w:val="single" w:sz="8" w:space="0" w:color="000000"/>
              <w:left w:val="nil"/>
              <w:bottom w:val="single" w:sz="8" w:space="0" w:color="auto"/>
              <w:right w:val="single" w:sz="8" w:space="0" w:color="000000"/>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2016</w:t>
            </w:r>
          </w:p>
        </w:tc>
        <w:tc>
          <w:tcPr>
            <w:tcW w:w="2680" w:type="dxa"/>
            <w:gridSpan w:val="2"/>
            <w:tcBorders>
              <w:top w:val="single" w:sz="8" w:space="0" w:color="000000"/>
              <w:left w:val="nil"/>
              <w:bottom w:val="single" w:sz="8" w:space="0" w:color="auto"/>
              <w:right w:val="single" w:sz="8" w:space="0" w:color="000000"/>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Difference 2016 vs. 2015</w:t>
            </w:r>
          </w:p>
        </w:tc>
      </w:tr>
      <w:tr>
        <w:trPr>
          <w:trHeight w:val="270"/>
        </w:trPr>
        <w:tc>
          <w:tcPr>
            <w:tcW w:w="1034" w:type="dxa"/>
            <w:vMerge/>
            <w:tcBorders>
              <w:top w:val="nil"/>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b/>
                <w:bCs/>
                <w:noProof/>
                <w:sz w:val="18"/>
                <w:szCs w:val="18"/>
                <w:lang w:eastAsia="en-GB"/>
              </w:rPr>
            </w:pPr>
          </w:p>
        </w:tc>
        <w:tc>
          <w:tcPr>
            <w:tcW w:w="1707" w:type="dxa"/>
            <w:tcBorders>
              <w:top w:val="nil"/>
              <w:left w:val="nil"/>
              <w:bottom w:val="single" w:sz="8" w:space="0" w:color="auto"/>
              <w:right w:val="nil"/>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Interim payments</w:t>
            </w:r>
          </w:p>
        </w:tc>
        <w:tc>
          <w:tcPr>
            <w:tcW w:w="1312"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Pre-financing</w:t>
            </w:r>
          </w:p>
        </w:tc>
        <w:tc>
          <w:tcPr>
            <w:tcW w:w="1294"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Total</w:t>
            </w:r>
          </w:p>
        </w:tc>
        <w:tc>
          <w:tcPr>
            <w:tcW w:w="1707" w:type="dxa"/>
            <w:tcBorders>
              <w:top w:val="nil"/>
              <w:left w:val="nil"/>
              <w:bottom w:val="single" w:sz="8" w:space="0" w:color="auto"/>
              <w:right w:val="nil"/>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Interim payments</w:t>
            </w:r>
          </w:p>
        </w:tc>
        <w:tc>
          <w:tcPr>
            <w:tcW w:w="1312"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Pre-financing</w:t>
            </w:r>
          </w:p>
        </w:tc>
        <w:tc>
          <w:tcPr>
            <w:tcW w:w="1294" w:type="dxa"/>
            <w:tcBorders>
              <w:top w:val="nil"/>
              <w:left w:val="nil"/>
              <w:bottom w:val="single" w:sz="8" w:space="0" w:color="auto"/>
              <w:right w:val="nil"/>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Total</w:t>
            </w:r>
          </w:p>
        </w:tc>
        <w:tc>
          <w:tcPr>
            <w:tcW w:w="1380"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(in €)</w:t>
            </w:r>
          </w:p>
        </w:tc>
        <w:tc>
          <w:tcPr>
            <w:tcW w:w="130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(in %)</w:t>
            </w:r>
          </w:p>
        </w:tc>
      </w:tr>
      <w:tr>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AT</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381 361 904</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39 375 520</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420 737 424</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394 576 581</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39 375 520</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433 952 101</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13 214 677</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3.14%</w:t>
            </w:r>
          </w:p>
        </w:tc>
      </w:tr>
      <w:tr>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BE</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60 955 847</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12 955 955</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73 911 803</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39 503 051</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6 477 978</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45 981 029</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-27 930 774</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-37.79%</w:t>
            </w:r>
          </w:p>
        </w:tc>
      </w:tr>
      <w:tr>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BG</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47 334 339</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47 334 339</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129 060 043</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23 667 170</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152 727 213</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105 392 874</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222.66%</w:t>
            </w:r>
          </w:p>
        </w:tc>
      </w:tr>
      <w:tr>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CY</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3 967 331</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3 967 331</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7 177 699</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1 322 444</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8 500 142</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4 532 811</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114.25%</w:t>
            </w:r>
          </w:p>
        </w:tc>
      </w:tr>
      <w:tr>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CZ</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187 621 864</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46 113 480</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233 735 344</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181 882 819</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23 056 740</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204 939 559</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-28 795 785</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-12.32%</w:t>
            </w:r>
          </w:p>
        </w:tc>
      </w:tr>
      <w:tr>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DE</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270 520 722</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171 219 696</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441 740 417</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647 841 345</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93 607 201</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741 448 545</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299 708 128</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67.85%</w:t>
            </w:r>
          </w:p>
        </w:tc>
      </w:tr>
      <w:tr>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DK</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1 704 161</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6 294 007</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7 998 168</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74 929 013</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14 976 097</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89 905 110</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81 906 942</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1024.07%</w:t>
            </w:r>
          </w:p>
        </w:tc>
      </w:tr>
      <w:tr>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EE</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31 042 916</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16 466 831</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47 509 747</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87 901 431</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8 233 416</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96 134 846</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48 625 099</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102.35%</w:t>
            </w:r>
          </w:p>
        </w:tc>
      </w:tr>
      <w:tr>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ES</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12 750 662</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207 434 721</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220 185 382</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378 590 289</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82 973 888</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461 564 178</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241 378 796</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109.63%</w:t>
            </w:r>
          </w:p>
        </w:tc>
      </w:tr>
      <w:tr>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FI</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382 518 728</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24 011 173</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406 529 902</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327 182 929</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23 804 083</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350 987 012</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-55 542 890</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-13.66%</w:t>
            </w:r>
          </w:p>
        </w:tc>
      </w:tr>
      <w:tr>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FR</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345 362 039</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227 696 885</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573 058 924</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524 557 370</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113 848 442</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638 405 812</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65 346 888</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11.40%</w:t>
            </w:r>
          </w:p>
        </w:tc>
      </w:tr>
      <w:tr>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GR</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141 548 754</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141 548 754</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227 838 949</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47 182 918</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275 021 867</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133 473 113</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94.29%</w:t>
            </w:r>
          </w:p>
        </w:tc>
      </w:tr>
      <w:tr>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HR</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54 335 233</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40 524 450</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94 859 683</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131 044 159</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20 262 225</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151 306 384</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56 446 701</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59.51%</w:t>
            </w:r>
          </w:p>
        </w:tc>
      </w:tr>
      <w:tr>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HU</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68 613 290</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68 613 290</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208 468 125</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34 306 645</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242 774 769</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174 161 479</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253.83%</w:t>
            </w:r>
          </w:p>
        </w:tc>
      </w:tr>
      <w:tr>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IE</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327 135 539</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54 764 804</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381 900 343</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253 822 792</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21 905 922</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275 728 714</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-106 171 629</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-27.80%</w:t>
            </w:r>
          </w:p>
        </w:tc>
      </w:tr>
      <w:tr>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IT</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7 578 868</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208 887 615</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216 466 483</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419 548 741</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104 443 808</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523 992 549</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307 526 066</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142.07%</w:t>
            </w:r>
          </w:p>
        </w:tc>
      </w:tr>
      <w:tr>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LT</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38 414 223</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32 261 765</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70 675 988</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173 957 330</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16 130 882</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190 088 212</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119 412 224</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168.96%</w:t>
            </w:r>
          </w:p>
        </w:tc>
      </w:tr>
      <w:tr>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LU</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12 209 640</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2 011 492</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14 221 132</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6 355 840</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1 005 746</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7 361 586</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-6 859 546</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-48.23%</w:t>
            </w:r>
          </w:p>
        </w:tc>
      </w:tr>
      <w:tr>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LV</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53 339 164</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21 512 076</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74 851 240</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108 833 038</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10 756 038</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119 589 076</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44 737 836</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59.77%</w:t>
            </w:r>
          </w:p>
        </w:tc>
      </w:tr>
      <w:tr>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MT</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1 946 538</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1 946 538</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589 457</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973 269</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1 562 726</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-383 812</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-19.72%</w:t>
            </w:r>
          </w:p>
        </w:tc>
      </w:tr>
      <w:tr>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NL</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27 621 653</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12 146 107</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39 767 761</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34 449 926</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10 812 454</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45 262 379</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5 494 618</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13.82%</w:t>
            </w:r>
          </w:p>
        </w:tc>
      </w:tr>
      <w:tr>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PL</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174 360 865</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85 982 808</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260 343 673</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362 852 034</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88 961 088</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451 813 122</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191 469 449</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73.54%</w:t>
            </w:r>
          </w:p>
        </w:tc>
      </w:tr>
      <w:tr>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PT</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226 596 314</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47 698 857</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274 295 171</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536 945 153</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40 601 404</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577 546 557</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303 251 386</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110.56%</w:t>
            </w:r>
          </w:p>
        </w:tc>
      </w:tr>
      <w:tr>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RO</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0</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243 839 892</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243 839 892</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524 017 099</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81 279 964</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605 297 063</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361 457 171</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148.24%</w:t>
            </w:r>
          </w:p>
        </w:tc>
      </w:tr>
      <w:tr>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SE</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140 723 643</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34 911 305</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175 634 948</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191 405 372</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17 455 653</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208 861 025</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33 226 077</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18.92%</w:t>
            </w:r>
          </w:p>
        </w:tc>
      </w:tr>
      <w:tr>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SI</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29 933 496</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16 756 996</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46 690 492</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77 260 537</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8 378 498</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85 639 035</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38 948 543</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83.42%</w:t>
            </w:r>
          </w:p>
        </w:tc>
      </w:tr>
      <w:tr>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SK</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61 667 351</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30 905 457</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92 572 808</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105 682 050</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15 885 298</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121 567 349</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28 994 541</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31.32%</w:t>
            </w:r>
          </w:p>
        </w:tc>
      </w:tr>
      <w:tr>
        <w:trPr>
          <w:trHeight w:val="270"/>
        </w:trPr>
        <w:tc>
          <w:tcPr>
            <w:tcW w:w="1034" w:type="dxa"/>
            <w:tcBorders>
              <w:top w:val="nil"/>
              <w:left w:val="single" w:sz="8" w:space="0" w:color="auto"/>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b/>
                <w:bCs/>
                <w:noProof/>
                <w:color w:val="000000"/>
                <w:sz w:val="18"/>
                <w:szCs w:val="18"/>
                <w:lang w:eastAsia="en-GB"/>
              </w:rPr>
            </w:pPr>
            <w:r>
              <w:rPr>
                <w:rFonts w:ascii="Times New Roman" w:eastAsia="Times New Roman" w:hAnsi="Times New Roman"/>
                <w:b/>
                <w:bCs/>
                <w:noProof/>
                <w:color w:val="000000"/>
                <w:sz w:val="18"/>
                <w:szCs w:val="18"/>
                <w:lang w:eastAsia="en-GB"/>
              </w:rPr>
              <w:t>UK</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479 188 117</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98 067 330</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577 255 447</w:t>
            </w:r>
          </w:p>
        </w:tc>
        <w:tc>
          <w:tcPr>
            <w:tcW w:w="170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653 010 765</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48 906 195</w:t>
            </w:r>
          </w:p>
        </w:tc>
        <w:tc>
          <w:tcPr>
            <w:tcW w:w="1294"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701 916 960</w:t>
            </w:r>
          </w:p>
        </w:tc>
        <w:tc>
          <w:tcPr>
            <w:tcW w:w="13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124 661 513</w:t>
            </w:r>
          </w:p>
        </w:tc>
        <w:tc>
          <w:tcPr>
            <w:tcW w:w="130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21.60%</w:t>
            </w:r>
          </w:p>
        </w:tc>
      </w:tr>
      <w:tr>
        <w:trPr>
          <w:trHeight w:val="270"/>
        </w:trPr>
        <w:tc>
          <w:tcPr>
            <w:tcW w:w="1034"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Total</w:t>
            </w:r>
          </w:p>
        </w:tc>
        <w:tc>
          <w:tcPr>
            <w:tcW w:w="1707"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3 306 942 948</w:t>
            </w:r>
          </w:p>
        </w:tc>
        <w:tc>
          <w:tcPr>
            <w:tcW w:w="1312"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1 945 249 474</w:t>
            </w:r>
          </w:p>
        </w:tc>
        <w:tc>
          <w:tcPr>
            <w:tcW w:w="1294"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5 252 192 422</w:t>
            </w:r>
          </w:p>
        </w:tc>
        <w:tc>
          <w:tcPr>
            <w:tcW w:w="1707"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6 809 283 936</w:t>
            </w:r>
          </w:p>
        </w:tc>
        <w:tc>
          <w:tcPr>
            <w:tcW w:w="1312"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1 000 590 984</w:t>
            </w:r>
          </w:p>
        </w:tc>
        <w:tc>
          <w:tcPr>
            <w:tcW w:w="1294"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7 809 874 920</w:t>
            </w:r>
          </w:p>
        </w:tc>
        <w:tc>
          <w:tcPr>
            <w:tcW w:w="138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2 557 682 498</w:t>
            </w:r>
          </w:p>
        </w:tc>
        <w:tc>
          <w:tcPr>
            <w:tcW w:w="130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48.70%</w:t>
            </w:r>
          </w:p>
        </w:tc>
      </w:tr>
    </w:tbl>
    <w:p>
      <w:pPr>
        <w:spacing w:before="120" w:after="120" w:line="240" w:lineRule="auto"/>
        <w:jc w:val="both"/>
        <w:rPr>
          <w:rFonts w:ascii="Times New Roman" w:eastAsia="Times New Roman" w:hAnsi="Times New Roman"/>
          <w:noProof/>
          <w:sz w:val="24"/>
          <w:lang w:eastAsia="en-GB"/>
        </w:rPr>
        <w:sectPr>
          <w:headerReference w:type="even" r:id="rId29"/>
          <w:headerReference w:type="default" r:id="rId30"/>
          <w:footerReference w:type="even" r:id="rId31"/>
          <w:footerReference w:type="default" r:id="rId32"/>
          <w:headerReference w:type="first" r:id="rId33"/>
          <w:footerReference w:type="first" r:id="rId34"/>
          <w:pgSz w:w="16839" w:h="11907" w:orient="landscape" w:code="9"/>
          <w:pgMar w:top="480" w:right="1134" w:bottom="840" w:left="1134" w:header="360" w:footer="0" w:gutter="0"/>
          <w:cols w:space="708"/>
          <w:docGrid w:linePitch="360"/>
        </w:sectPr>
      </w:pPr>
    </w:p>
    <w:p>
      <w:pPr>
        <w:keepNext/>
        <w:tabs>
          <w:tab w:val="left" w:pos="850"/>
        </w:tabs>
        <w:spacing w:before="240" w:after="120" w:line="240" w:lineRule="auto"/>
        <w:ind w:left="850" w:hanging="850"/>
        <w:jc w:val="both"/>
        <w:outlineLvl w:val="2"/>
        <w:rPr>
          <w:rFonts w:ascii="Times New Roman" w:eastAsia="Times New Roman" w:hAnsi="Times New Roman"/>
          <w:i/>
          <w:noProof/>
          <w:sz w:val="24"/>
          <w:lang w:eastAsia="en-GB"/>
        </w:rPr>
      </w:pPr>
      <w:bookmarkStart w:id="64" w:name="_Toc331167076"/>
      <w:bookmarkStart w:id="65" w:name="_Toc393127484"/>
      <w:bookmarkStart w:id="66" w:name="_Toc485997144"/>
      <w:r>
        <w:rPr>
          <w:rFonts w:ascii="Times New Roman" w:eastAsia="Times New Roman" w:hAnsi="Times New Roman"/>
          <w:i/>
          <w:noProof/>
          <w:sz w:val="24"/>
          <w:lang w:eastAsia="en-GB"/>
        </w:rPr>
        <w:t>3.2.2.</w:t>
      </w:r>
      <w:r>
        <w:rPr>
          <w:rFonts w:ascii="Times New Roman" w:eastAsia="Times New Roman" w:hAnsi="Times New Roman"/>
          <w:i/>
          <w:noProof/>
          <w:sz w:val="24"/>
          <w:lang w:eastAsia="en-GB"/>
        </w:rPr>
        <w:tab/>
        <w:t>Technical assistance</w:t>
      </w:r>
      <w:bookmarkEnd w:id="64"/>
      <w:bookmarkEnd w:id="65"/>
      <w:bookmarkEnd w:id="66"/>
      <w:r>
        <w:rPr>
          <w:rFonts w:ascii="Times New Roman" w:eastAsia="Times New Roman" w:hAnsi="Times New Roman"/>
          <w:i/>
          <w:noProof/>
          <w:sz w:val="24"/>
          <w:highlight w:val="yellow"/>
          <w:lang w:eastAsia="en-GB"/>
        </w:rPr>
        <w:t xml:space="preserve"> </w:t>
      </w:r>
    </w:p>
    <w:p>
      <w:pPr>
        <w:spacing w:before="120" w:after="120" w:line="240" w:lineRule="auto"/>
        <w:ind w:left="850" w:right="71"/>
        <w:jc w:val="both"/>
        <w:rPr>
          <w:rFonts w:ascii="Times New Roman" w:eastAsia="Times New Roman" w:hAnsi="Times New Roman"/>
          <w:noProof/>
          <w:sz w:val="24"/>
          <w:lang w:eastAsia="en-GB"/>
        </w:rPr>
      </w:pPr>
      <w:r>
        <w:rPr>
          <w:rFonts w:ascii="Times New Roman" w:eastAsia="Times New Roman" w:hAnsi="Times New Roman"/>
          <w:noProof/>
          <w:sz w:val="24"/>
          <w:lang w:eastAsia="en-GB"/>
        </w:rPr>
        <w:t>For the programming period 2014-2020, the amount for payment appropriations for technical assistance was EUR 20.0 million. A part of these appropriations (EUR 3.0 million) was transferred to cover payment needs in relation to rural development programmes under EAFRD 2007-2013.</w:t>
      </w:r>
    </w:p>
    <w:p>
      <w:pPr>
        <w:spacing w:before="120" w:after="120" w:line="240" w:lineRule="auto"/>
        <w:ind w:left="850" w:right="71"/>
        <w:jc w:val="both"/>
        <w:rPr>
          <w:rFonts w:ascii="Times New Roman" w:eastAsia="Times New Roman" w:hAnsi="Times New Roman"/>
          <w:noProof/>
          <w:sz w:val="24"/>
          <w:lang w:eastAsia="en-GB"/>
        </w:rPr>
      </w:pPr>
      <w:r>
        <w:rPr>
          <w:rFonts w:ascii="Times New Roman" w:eastAsia="Times New Roman" w:hAnsi="Times New Roman"/>
          <w:noProof/>
          <w:sz w:val="24"/>
          <w:lang w:eastAsia="en-GB"/>
        </w:rPr>
        <w:t>Table 11 hereafter presents the payments grouped by main activities. The most important part relates to the European Network for Rural Development.</w:t>
      </w:r>
    </w:p>
    <w:p>
      <w:pPr>
        <w:spacing w:before="120" w:after="120" w:line="240" w:lineRule="auto"/>
        <w:ind w:left="850"/>
        <w:jc w:val="both"/>
        <w:rPr>
          <w:rFonts w:ascii="Times New Roman" w:eastAsia="Times New Roman" w:hAnsi="Times New Roman"/>
          <w:noProof/>
          <w:sz w:val="24"/>
          <w:lang w:eastAsia="en-GB"/>
        </w:rPr>
      </w:pPr>
      <w:bookmarkStart w:id="67" w:name="OLE_LINK17"/>
      <w:r>
        <w:rPr>
          <w:rFonts w:ascii="Times New Roman" w:eastAsia="Times New Roman" w:hAnsi="Times New Roman"/>
          <w:noProof/>
          <w:sz w:val="24"/>
          <w:lang w:eastAsia="en-GB"/>
        </w:rPr>
        <w:t>Table 11</w:t>
      </w:r>
    </w:p>
    <w:tbl>
      <w:tblPr>
        <w:tblW w:w="7061" w:type="dxa"/>
        <w:tblInd w:w="1327" w:type="dxa"/>
        <w:tblLook w:val="04A0" w:firstRow="1" w:lastRow="0" w:firstColumn="1" w:lastColumn="0" w:noHBand="0" w:noVBand="1"/>
      </w:tblPr>
      <w:tblGrid>
        <w:gridCol w:w="5175"/>
        <w:gridCol w:w="1886"/>
      </w:tblGrid>
      <w:tr>
        <w:trPr>
          <w:trHeight w:val="315"/>
        </w:trPr>
        <w:tc>
          <w:tcPr>
            <w:tcW w:w="7061" w:type="dxa"/>
            <w:gridSpan w:val="2"/>
            <w:tcBorders>
              <w:top w:val="single" w:sz="8" w:space="0" w:color="auto"/>
              <w:left w:val="single" w:sz="8" w:space="0" w:color="auto"/>
              <w:bottom w:val="single" w:sz="8" w:space="0" w:color="auto"/>
              <w:right w:val="single" w:sz="8" w:space="0" w:color="000000"/>
            </w:tcBorders>
            <w:shd w:val="clear" w:color="000000" w:fill="FFFF99"/>
            <w:vAlign w:val="center"/>
            <w:hideMark/>
          </w:tcPr>
          <w:p>
            <w:pPr>
              <w:spacing w:after="0" w:line="240" w:lineRule="auto"/>
              <w:rPr>
                <w:rFonts w:ascii="Times New Roman" w:eastAsia="Times New Roman" w:hAnsi="Times New Roman"/>
                <w:b/>
                <w:bCs/>
                <w:i/>
                <w:iCs/>
                <w:noProof/>
                <w:lang w:eastAsia="en-GB"/>
              </w:rPr>
            </w:pPr>
            <w:r>
              <w:rPr>
                <w:rFonts w:ascii="Times New Roman" w:eastAsia="Times New Roman" w:hAnsi="Times New Roman"/>
                <w:b/>
                <w:bCs/>
                <w:i/>
                <w:iCs/>
                <w:noProof/>
                <w:lang w:eastAsia="en-GB"/>
              </w:rPr>
              <w:t>Technical assistance – Implementation of payment appropriations</w:t>
            </w:r>
          </w:p>
        </w:tc>
      </w:tr>
      <w:tr>
        <w:trPr>
          <w:trHeight w:val="315"/>
        </w:trPr>
        <w:tc>
          <w:tcPr>
            <w:tcW w:w="5175" w:type="dxa"/>
            <w:tcBorders>
              <w:top w:val="nil"/>
              <w:left w:val="single" w:sz="8" w:space="0" w:color="auto"/>
              <w:bottom w:val="single" w:sz="8" w:space="0" w:color="auto"/>
              <w:right w:val="nil"/>
            </w:tcBorders>
            <w:shd w:val="clear" w:color="auto" w:fill="auto"/>
            <w:noWrap/>
            <w:vAlign w:val="center"/>
            <w:hideMark/>
          </w:tcPr>
          <w:p>
            <w:pPr>
              <w:spacing w:after="0" w:line="240" w:lineRule="auto"/>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Budget Item: 05.046002</w:t>
            </w:r>
          </w:p>
        </w:tc>
        <w:tc>
          <w:tcPr>
            <w:tcW w:w="1886"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i/>
                <w:iCs/>
                <w:noProof/>
                <w:sz w:val="20"/>
                <w:szCs w:val="20"/>
                <w:lang w:eastAsia="en-GB"/>
              </w:rPr>
            </w:pPr>
            <w:r>
              <w:rPr>
                <w:rFonts w:ascii="Times New Roman" w:eastAsia="Times New Roman" w:hAnsi="Times New Roman"/>
                <w:i/>
                <w:iCs/>
                <w:noProof/>
                <w:sz w:val="20"/>
                <w:szCs w:val="20"/>
                <w:lang w:eastAsia="en-GB"/>
              </w:rPr>
              <w:t xml:space="preserve"> (in EUR) </w:t>
            </w:r>
          </w:p>
        </w:tc>
      </w:tr>
      <w:tr>
        <w:trPr>
          <w:trHeight w:val="315"/>
        </w:trPr>
        <w:tc>
          <w:tcPr>
            <w:tcW w:w="5175"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Description</w:t>
            </w:r>
          </w:p>
        </w:tc>
        <w:tc>
          <w:tcPr>
            <w:tcW w:w="1886"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 xml:space="preserve">Amount paid </w:t>
            </w:r>
          </w:p>
        </w:tc>
      </w:tr>
      <w:tr>
        <w:trPr>
          <w:trHeight w:val="315"/>
        </w:trPr>
        <w:tc>
          <w:tcPr>
            <w:tcW w:w="517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European Network for Rural Development</w:t>
            </w:r>
          </w:p>
        </w:tc>
        <w:tc>
          <w:tcPr>
            <w:tcW w:w="1886"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3 807 289</w:t>
            </w:r>
          </w:p>
        </w:tc>
      </w:tr>
      <w:tr>
        <w:trPr>
          <w:trHeight w:val="315"/>
        </w:trPr>
        <w:tc>
          <w:tcPr>
            <w:tcW w:w="517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Information technology</w:t>
            </w:r>
          </w:p>
        </w:tc>
        <w:tc>
          <w:tcPr>
            <w:tcW w:w="1886"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2 331 319</w:t>
            </w:r>
          </w:p>
        </w:tc>
      </w:tr>
      <w:tr>
        <w:trPr>
          <w:trHeight w:val="353"/>
        </w:trPr>
        <w:tc>
          <w:tcPr>
            <w:tcW w:w="517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Technical Advisory Platform for Financial Instruments</w:t>
            </w:r>
          </w:p>
        </w:tc>
        <w:tc>
          <w:tcPr>
            <w:tcW w:w="1886"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2 198 479</w:t>
            </w:r>
          </w:p>
        </w:tc>
      </w:tr>
      <w:tr>
        <w:trPr>
          <w:trHeight w:val="315"/>
        </w:trPr>
        <w:tc>
          <w:tcPr>
            <w:tcW w:w="517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European Innovation Partnership</w:t>
            </w:r>
          </w:p>
        </w:tc>
        <w:tc>
          <w:tcPr>
            <w:tcW w:w="1886"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2 159 784</w:t>
            </w:r>
          </w:p>
        </w:tc>
      </w:tr>
      <w:tr>
        <w:trPr>
          <w:trHeight w:val="315"/>
        </w:trPr>
        <w:tc>
          <w:tcPr>
            <w:tcW w:w="517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European Evaluation Network</w:t>
            </w:r>
          </w:p>
        </w:tc>
        <w:tc>
          <w:tcPr>
            <w:tcW w:w="1886"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1 404 023</w:t>
            </w:r>
          </w:p>
        </w:tc>
      </w:tr>
      <w:tr>
        <w:trPr>
          <w:trHeight w:val="315"/>
        </w:trPr>
        <w:tc>
          <w:tcPr>
            <w:tcW w:w="517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Audit and Controls</w:t>
            </w:r>
          </w:p>
        </w:tc>
        <w:tc>
          <w:tcPr>
            <w:tcW w:w="1886"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812 715</w:t>
            </w:r>
          </w:p>
        </w:tc>
      </w:tr>
      <w:tr>
        <w:trPr>
          <w:trHeight w:val="315"/>
        </w:trPr>
        <w:tc>
          <w:tcPr>
            <w:tcW w:w="517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Protection of symbols</w:t>
            </w:r>
          </w:p>
        </w:tc>
        <w:tc>
          <w:tcPr>
            <w:tcW w:w="1886"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100 000</w:t>
            </w:r>
          </w:p>
        </w:tc>
      </w:tr>
      <w:tr>
        <w:trPr>
          <w:trHeight w:val="315"/>
        </w:trPr>
        <w:tc>
          <w:tcPr>
            <w:tcW w:w="5175"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Events</w:t>
            </w:r>
          </w:p>
        </w:tc>
        <w:tc>
          <w:tcPr>
            <w:tcW w:w="1886"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214</w:t>
            </w:r>
          </w:p>
        </w:tc>
      </w:tr>
      <w:tr>
        <w:trPr>
          <w:trHeight w:val="315"/>
        </w:trPr>
        <w:tc>
          <w:tcPr>
            <w:tcW w:w="5175" w:type="dxa"/>
            <w:tcBorders>
              <w:top w:val="nil"/>
              <w:left w:val="single" w:sz="8" w:space="0" w:color="auto"/>
              <w:bottom w:val="single" w:sz="8" w:space="0" w:color="auto"/>
              <w:right w:val="single" w:sz="8" w:space="0" w:color="auto"/>
            </w:tcBorders>
            <w:shd w:val="clear" w:color="000000" w:fill="FFFF99"/>
            <w:vAlign w:val="center"/>
            <w:hideMark/>
          </w:tcPr>
          <w:p>
            <w:pPr>
              <w:spacing w:after="0" w:line="240" w:lineRule="auto"/>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Total</w:t>
            </w:r>
          </w:p>
        </w:tc>
        <w:tc>
          <w:tcPr>
            <w:tcW w:w="1886" w:type="dxa"/>
            <w:tcBorders>
              <w:top w:val="nil"/>
              <w:left w:val="nil"/>
              <w:bottom w:val="single" w:sz="8" w:space="0" w:color="auto"/>
              <w:right w:val="single" w:sz="8" w:space="0" w:color="auto"/>
            </w:tcBorders>
            <w:shd w:val="clear" w:color="000000" w:fill="FFFF99"/>
            <w:vAlign w:val="center"/>
            <w:hideMark/>
          </w:tcPr>
          <w:p>
            <w:pPr>
              <w:spacing w:after="0" w:line="240" w:lineRule="auto"/>
              <w:jc w:val="right"/>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12 813 822</w:t>
            </w:r>
          </w:p>
        </w:tc>
      </w:tr>
      <w:bookmarkEnd w:id="67"/>
    </w:tbl>
    <w:p>
      <w:pPr>
        <w:spacing w:before="120" w:after="120" w:line="240" w:lineRule="auto"/>
        <w:ind w:left="850"/>
        <w:jc w:val="both"/>
        <w:rPr>
          <w:rFonts w:ascii="Times New Roman" w:eastAsia="Times New Roman" w:hAnsi="Times New Roman"/>
          <w:noProof/>
          <w:color w:val="000000"/>
          <w:sz w:val="24"/>
          <w:lang w:eastAsia="en-GB"/>
        </w:rPr>
      </w:pPr>
    </w:p>
    <w:p>
      <w:pPr>
        <w:keepNext/>
        <w:tabs>
          <w:tab w:val="left" w:pos="850"/>
        </w:tabs>
        <w:spacing w:before="240" w:after="120" w:line="240" w:lineRule="auto"/>
        <w:ind w:left="850" w:hanging="850"/>
        <w:jc w:val="both"/>
        <w:outlineLvl w:val="1"/>
        <w:rPr>
          <w:rFonts w:ascii="Times New Roman" w:eastAsia="Times New Roman" w:hAnsi="Times New Roman"/>
          <w:b/>
          <w:noProof/>
          <w:sz w:val="24"/>
          <w:lang w:eastAsia="en-GB"/>
        </w:rPr>
      </w:pPr>
      <w:bookmarkStart w:id="68" w:name="_Toc331167077"/>
      <w:bookmarkStart w:id="69" w:name="_Toc393127485"/>
      <w:bookmarkStart w:id="70" w:name="_Toc485997145"/>
      <w:r>
        <w:rPr>
          <w:rFonts w:ascii="Times New Roman" w:eastAsia="Times New Roman" w:hAnsi="Times New Roman"/>
          <w:b/>
          <w:noProof/>
          <w:sz w:val="24"/>
          <w:lang w:eastAsia="en-GB"/>
        </w:rPr>
        <w:t>3.3.</w:t>
      </w:r>
      <w:r>
        <w:rPr>
          <w:rFonts w:ascii="Times New Roman" w:eastAsia="Times New Roman" w:hAnsi="Times New Roman"/>
          <w:b/>
          <w:noProof/>
          <w:sz w:val="24"/>
          <w:lang w:eastAsia="en-GB"/>
        </w:rPr>
        <w:tab/>
        <w:t>Analysis of expenditure declared by axis and/or by measure</w:t>
      </w:r>
      <w:bookmarkEnd w:id="68"/>
      <w:bookmarkEnd w:id="69"/>
      <w:bookmarkEnd w:id="70"/>
    </w:p>
    <w:p>
      <w:pPr>
        <w:spacing w:before="120" w:after="120" w:line="240" w:lineRule="auto"/>
        <w:ind w:left="850" w:right="71"/>
        <w:jc w:val="both"/>
        <w:rPr>
          <w:rFonts w:ascii="Times New Roman" w:eastAsia="Times New Roman" w:hAnsi="Times New Roman"/>
          <w:noProof/>
          <w:sz w:val="24"/>
          <w:lang w:eastAsia="en-GB"/>
        </w:rPr>
      </w:pPr>
      <w:r>
        <w:rPr>
          <w:rFonts w:ascii="Times New Roman" w:eastAsia="Times New Roman" w:hAnsi="Times New Roman"/>
          <w:noProof/>
          <w:sz w:val="24"/>
          <w:lang w:eastAsia="en-GB"/>
        </w:rPr>
        <w:t>Tables 12a and 12b show the payment claims declared by Member States and by axis/measure for rural development in 2016 (4</w:t>
      </w:r>
      <w:r>
        <w:rPr>
          <w:rFonts w:ascii="Times New Roman" w:eastAsia="Times New Roman" w:hAnsi="Times New Roman"/>
          <w:noProof/>
          <w:sz w:val="24"/>
          <w:vertAlign w:val="superscript"/>
          <w:lang w:eastAsia="en-GB"/>
        </w:rPr>
        <w:t>th</w:t>
      </w:r>
      <w:r>
        <w:rPr>
          <w:rFonts w:ascii="Times New Roman" w:eastAsia="Times New Roman" w:hAnsi="Times New Roman"/>
          <w:noProof/>
          <w:sz w:val="24"/>
          <w:lang w:eastAsia="en-GB"/>
        </w:rPr>
        <w:t xml:space="preserve"> quarter of 2015 to 3</w:t>
      </w:r>
      <w:r>
        <w:rPr>
          <w:rFonts w:ascii="Times New Roman" w:eastAsia="Times New Roman" w:hAnsi="Times New Roman"/>
          <w:noProof/>
          <w:sz w:val="24"/>
          <w:vertAlign w:val="superscript"/>
          <w:lang w:eastAsia="en-GB"/>
        </w:rPr>
        <w:t>rd</w:t>
      </w:r>
      <w:r>
        <w:rPr>
          <w:rFonts w:ascii="Times New Roman" w:eastAsia="Times New Roman" w:hAnsi="Times New Roman"/>
          <w:noProof/>
          <w:sz w:val="24"/>
          <w:lang w:eastAsia="en-GB"/>
        </w:rPr>
        <w:t xml:space="preserve"> quarter of 2016), the cumulative declared expenditure from the beginning of the programmes and also the financial plans of EAFRD programmes. </w:t>
      </w:r>
    </w:p>
    <w:p>
      <w:pPr>
        <w:spacing w:before="120" w:after="120" w:line="240" w:lineRule="auto"/>
        <w:ind w:left="850" w:right="71"/>
        <w:jc w:val="both"/>
        <w:rPr>
          <w:rFonts w:ascii="Times New Roman" w:eastAsia="Times New Roman" w:hAnsi="Times New Roman"/>
          <w:noProof/>
          <w:sz w:val="24"/>
          <w:lang w:eastAsia="en-GB"/>
        </w:rPr>
      </w:pPr>
      <w:r>
        <w:rPr>
          <w:rFonts w:ascii="Times New Roman" w:eastAsia="Times New Roman" w:hAnsi="Times New Roman"/>
          <w:noProof/>
          <w:sz w:val="24"/>
          <w:lang w:eastAsia="en-GB"/>
        </w:rPr>
        <w:t>It should be noted that for EAFRD 2007-2013 the 4</w:t>
      </w:r>
      <w:r>
        <w:rPr>
          <w:rFonts w:ascii="Times New Roman" w:eastAsia="Times New Roman" w:hAnsi="Times New Roman"/>
          <w:noProof/>
          <w:sz w:val="24"/>
          <w:vertAlign w:val="superscript"/>
          <w:lang w:eastAsia="en-GB"/>
        </w:rPr>
        <w:t>th</w:t>
      </w:r>
      <w:r>
        <w:rPr>
          <w:rFonts w:ascii="Times New Roman" w:eastAsia="Times New Roman" w:hAnsi="Times New Roman"/>
          <w:noProof/>
          <w:sz w:val="24"/>
          <w:lang w:eastAsia="en-GB"/>
        </w:rPr>
        <w:t xml:space="preserve"> quarter of 2015 was the last quarter for declaration of expenditure. In this quarter the expenditure concentrated in axis 1 (40.3%), followed by axis 2 with 23.3%, axis 3 with 20.8% and axis 4 with 12.8%. The cumulative declared expenditure from the beginning of the programmes (32.0%, 47.7%, 12.4% and 5.9% for axis 1 to 4 respectively) are very much in line with the programming per axis. </w:t>
      </w:r>
    </w:p>
    <w:p>
      <w:pPr>
        <w:spacing w:before="120" w:after="120" w:line="240" w:lineRule="auto"/>
        <w:ind w:left="850" w:right="71"/>
        <w:jc w:val="both"/>
        <w:rPr>
          <w:rFonts w:ascii="Times New Roman" w:eastAsia="Times New Roman" w:hAnsi="Times New Roman"/>
          <w:noProof/>
          <w:sz w:val="24"/>
          <w:lang w:eastAsia="en-GB"/>
        </w:rPr>
      </w:pPr>
      <w:r>
        <w:rPr>
          <w:rFonts w:ascii="Times New Roman" w:eastAsia="Times New Roman" w:hAnsi="Times New Roman"/>
          <w:noProof/>
          <w:sz w:val="24"/>
          <w:lang w:eastAsia="en-GB"/>
        </w:rPr>
        <w:t xml:space="preserve">Axis 2 measures mainly involve annual payments (e.g. agro-environmental measures) whilst axis 1, 3 and, to a lesser extent, axis 4 mainly relate to multi-annual measures that require longer proceedings for their approval and implementation (e.g. investment projects). </w:t>
      </w:r>
    </w:p>
    <w:p>
      <w:pPr>
        <w:spacing w:before="120" w:after="120" w:line="240" w:lineRule="auto"/>
        <w:ind w:left="850" w:right="71"/>
        <w:jc w:val="both"/>
        <w:rPr>
          <w:rFonts w:ascii="Times New Roman" w:eastAsia="Times New Roman" w:hAnsi="Times New Roman"/>
          <w:noProof/>
          <w:sz w:val="24"/>
          <w:lang w:eastAsia="en-GB"/>
        </w:rPr>
      </w:pPr>
      <w:r>
        <w:rPr>
          <w:rFonts w:ascii="Times New Roman" w:eastAsia="Times New Roman" w:hAnsi="Times New Roman"/>
          <w:noProof/>
          <w:sz w:val="24"/>
          <w:lang w:eastAsia="en-GB"/>
        </w:rPr>
        <w:t>The expenditure for EAFRD 2014-2020 in 2016 concentrated mainly in Measure 13 (Payments to areas facing natural or other specific constraints) and in Measure 10 (Agri-environment-climate).</w:t>
      </w:r>
    </w:p>
    <w:p>
      <w:pPr>
        <w:spacing w:before="120" w:after="0" w:line="240" w:lineRule="auto"/>
        <w:jc w:val="both"/>
        <w:rPr>
          <w:rFonts w:ascii="Times New Roman" w:eastAsia="Times New Roman" w:hAnsi="Times New Roman"/>
          <w:noProof/>
          <w:sz w:val="24"/>
          <w:lang w:eastAsia="en-GB"/>
        </w:rPr>
      </w:pPr>
      <w:r>
        <w:rPr>
          <w:rFonts w:ascii="Times New Roman" w:eastAsia="Times New Roman" w:hAnsi="Times New Roman"/>
          <w:noProof/>
          <w:sz w:val="24"/>
          <w:lang w:eastAsia="en-GB"/>
        </w:rPr>
        <w:br w:type="page"/>
      </w:r>
      <w:bookmarkStart w:id="71" w:name="OLE_LINK18"/>
      <w:r>
        <w:rPr>
          <w:rFonts w:ascii="Times New Roman" w:eastAsia="Times New Roman" w:hAnsi="Times New Roman"/>
          <w:noProof/>
          <w:sz w:val="24"/>
          <w:lang w:eastAsia="en-GB"/>
        </w:rPr>
        <w:t>Table 12a</w:t>
      </w:r>
    </w:p>
    <w:tbl>
      <w:tblPr>
        <w:tblW w:w="9615" w:type="dxa"/>
        <w:tblInd w:w="93" w:type="dxa"/>
        <w:tblLayout w:type="fixed"/>
        <w:tblLook w:val="04A0" w:firstRow="1" w:lastRow="0" w:firstColumn="1" w:lastColumn="0" w:noHBand="0" w:noVBand="1"/>
      </w:tblPr>
      <w:tblGrid>
        <w:gridCol w:w="3855"/>
        <w:gridCol w:w="960"/>
        <w:gridCol w:w="840"/>
        <w:gridCol w:w="960"/>
        <w:gridCol w:w="1080"/>
        <w:gridCol w:w="840"/>
        <w:gridCol w:w="1080"/>
      </w:tblGrid>
      <w:tr>
        <w:trPr>
          <w:trHeight w:val="255"/>
        </w:trPr>
        <w:tc>
          <w:tcPr>
            <w:tcW w:w="9615" w:type="dxa"/>
            <w:gridSpan w:val="7"/>
            <w:tcBorders>
              <w:top w:val="single" w:sz="8" w:space="0" w:color="auto"/>
              <w:left w:val="single" w:sz="8" w:space="0" w:color="auto"/>
              <w:bottom w:val="nil"/>
              <w:right w:val="single" w:sz="8" w:space="0" w:color="000000"/>
            </w:tcBorders>
            <w:shd w:val="clear" w:color="000000" w:fill="FFCC99"/>
            <w:noWrap/>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 xml:space="preserve">EAFRD declared expenditure 2016 (Q4 2015) &amp; Total cumulative expenditure (Q4 2006 to Q4 2015) </w:t>
            </w:r>
          </w:p>
        </w:tc>
      </w:tr>
      <w:tr>
        <w:trPr>
          <w:trHeight w:val="270"/>
        </w:trPr>
        <w:tc>
          <w:tcPr>
            <w:tcW w:w="9615" w:type="dxa"/>
            <w:gridSpan w:val="7"/>
            <w:tcBorders>
              <w:top w:val="nil"/>
              <w:left w:val="single" w:sz="8" w:space="0" w:color="auto"/>
              <w:bottom w:val="single" w:sz="8" w:space="0" w:color="auto"/>
              <w:right w:val="single" w:sz="8" w:space="0" w:color="000000"/>
            </w:tcBorders>
            <w:shd w:val="clear" w:color="000000" w:fill="FFCC99"/>
            <w:noWrap/>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 xml:space="preserve">compared with Financial Plans - </w:t>
            </w:r>
            <w:r>
              <w:rPr>
                <w:rFonts w:ascii="Times New Roman" w:eastAsia="Times New Roman" w:hAnsi="Times New Roman"/>
                <w:b/>
                <w:bCs/>
                <w:noProof/>
                <w:sz w:val="18"/>
                <w:szCs w:val="18"/>
                <w:u w:val="single"/>
                <w:lang w:eastAsia="en-GB"/>
              </w:rPr>
              <w:t>EAFRD 2007-2013</w:t>
            </w:r>
          </w:p>
        </w:tc>
      </w:tr>
      <w:tr>
        <w:trPr>
          <w:trHeight w:val="420"/>
        </w:trPr>
        <w:tc>
          <w:tcPr>
            <w:tcW w:w="3855"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 </w:t>
            </w:r>
          </w:p>
        </w:tc>
        <w:tc>
          <w:tcPr>
            <w:tcW w:w="1800" w:type="dxa"/>
            <w:gridSpan w:val="2"/>
            <w:tcBorders>
              <w:top w:val="single" w:sz="8" w:space="0" w:color="auto"/>
              <w:left w:val="nil"/>
              <w:bottom w:val="single" w:sz="8"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Declared expenditure 2016 (Q4 2015)</w:t>
            </w:r>
          </w:p>
        </w:tc>
        <w:tc>
          <w:tcPr>
            <w:tcW w:w="2040" w:type="dxa"/>
            <w:gridSpan w:val="2"/>
            <w:tcBorders>
              <w:top w:val="single" w:sz="8" w:space="0" w:color="auto"/>
              <w:left w:val="nil"/>
              <w:bottom w:val="single" w:sz="8"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Cumulative declared expenditure (Q4 2006 to Q4 2015)</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Financial Plans 2007-2013</w:t>
            </w:r>
          </w:p>
        </w:tc>
      </w:tr>
      <w:tr>
        <w:trPr>
          <w:trHeight w:val="270"/>
        </w:trPr>
        <w:tc>
          <w:tcPr>
            <w:tcW w:w="3855"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EAFRD Axis / Measure</w:t>
            </w:r>
          </w:p>
        </w:tc>
        <w:tc>
          <w:tcPr>
            <w:tcW w:w="96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 xml:space="preserve"> (million €)</w:t>
            </w:r>
          </w:p>
        </w:tc>
        <w:tc>
          <w:tcPr>
            <w:tcW w:w="84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w:t>
            </w:r>
          </w:p>
        </w:tc>
        <w:tc>
          <w:tcPr>
            <w:tcW w:w="96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 xml:space="preserve"> (million €)</w:t>
            </w:r>
          </w:p>
        </w:tc>
        <w:tc>
          <w:tcPr>
            <w:tcW w:w="108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w:t>
            </w:r>
          </w:p>
        </w:tc>
        <w:tc>
          <w:tcPr>
            <w:tcW w:w="84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 xml:space="preserve"> (million €)</w:t>
            </w:r>
          </w:p>
        </w:tc>
        <w:tc>
          <w:tcPr>
            <w:tcW w:w="1080" w:type="dxa"/>
            <w:tcBorders>
              <w:top w:val="nil"/>
              <w:left w:val="nil"/>
              <w:bottom w:val="single" w:sz="8" w:space="0" w:color="auto"/>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 xml:space="preserve">111 Vocational training and information actions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53.4</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1.0%</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840.5</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0.9%</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902.3</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0.9%</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112 Setting up of young farmers</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348.9</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6.9%</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3 271.4</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3.5%</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3 310.8</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3.5%</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 xml:space="preserve">113 Early retirement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67.8</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1.3%</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2 655.2</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2.8%</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2 593.8</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2.7%</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114 Use of advisory services</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3.7</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0.1%</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133.3</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0.1%</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139.4</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0.1%</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115 Setting up of management, relief and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1.2</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0.0%</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31.7</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0.0%</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33.8</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0.0%</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121 Modernisation of agricultural holdings</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656.4</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12.9%</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11 693.4</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12.5%</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11 828.7</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12.3%</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122 Improvement of the economic value of forest</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6.5</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0.1%</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308.7</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0.3%</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324.1</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0.3%</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123 Adding value to agricultural and forestry...</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318.0</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6.2%</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4 412.6</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4.7%</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4 643.0</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4.8%</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124 Cooperation for development of new products</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28.7</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0.6%</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234.3</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0.2%</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252.5</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0.3%</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125 Infrastructure related to the development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477.4</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9.4%</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4 317.6</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4.6%</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4 366.9</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4.6%</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 xml:space="preserve">126 Restoring agricultural production potential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36.5</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0.7%</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648.5</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0.7%</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652.9</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0.7%</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131 Meeting standards based on Community...</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0.1</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0.0%</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62.1</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0.1%</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64.1</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0.1%</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132 Participation of farmers in food quality…</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3.0</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0.1%</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91.3</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0.1%</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99.4</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0.1%</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 xml:space="preserve">133 Information and promotion activities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11.8</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0.2%</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128.4</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0.1%</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131.3</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0.1%</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 xml:space="preserve">141 Semi-subsistence farming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27.5</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0.5%</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771.6</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0.8%</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792.2</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0.8%</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142 Producer groups</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10.5</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0.2%</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234.9</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0.3%</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250.7</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0.3%</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143 Direct Payment (BG + RO)</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0.0</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0.0%</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9.5</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0.0%</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15.7</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0.0%</w:t>
            </w:r>
          </w:p>
        </w:tc>
      </w:tr>
      <w:tr>
        <w:trPr>
          <w:trHeight w:val="270"/>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 xml:space="preserve">144 Holdings undergoing restructuring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0.1</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0.0%</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180.8</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0.2%</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190.0</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0.2%</w:t>
            </w:r>
          </w:p>
        </w:tc>
      </w:tr>
      <w:tr>
        <w:trPr>
          <w:trHeight w:val="270"/>
        </w:trPr>
        <w:tc>
          <w:tcPr>
            <w:tcW w:w="3855" w:type="dxa"/>
            <w:tcBorders>
              <w:top w:val="single" w:sz="8" w:space="0" w:color="auto"/>
              <w:left w:val="single" w:sz="8" w:space="0" w:color="auto"/>
              <w:bottom w:val="single" w:sz="8" w:space="0" w:color="auto"/>
              <w:right w:val="single" w:sz="8" w:space="0" w:color="auto"/>
            </w:tcBorders>
            <w:shd w:val="clear" w:color="000000" w:fill="FFFF99"/>
            <w:noWrap/>
            <w:vAlign w:val="center"/>
            <w:hideMark/>
          </w:tcPr>
          <w:p>
            <w:pPr>
              <w:spacing w:after="0" w:line="240" w:lineRule="auto"/>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Axis 1</w:t>
            </w:r>
          </w:p>
        </w:tc>
        <w:tc>
          <w:tcPr>
            <w:tcW w:w="960"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2 051.6</w:t>
            </w:r>
          </w:p>
        </w:tc>
        <w:tc>
          <w:tcPr>
            <w:tcW w:w="840"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40.3%</w:t>
            </w:r>
          </w:p>
        </w:tc>
        <w:tc>
          <w:tcPr>
            <w:tcW w:w="960"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30 025.7</w:t>
            </w:r>
          </w:p>
        </w:tc>
        <w:tc>
          <w:tcPr>
            <w:tcW w:w="1080"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32.0%</w:t>
            </w:r>
          </w:p>
        </w:tc>
        <w:tc>
          <w:tcPr>
            <w:tcW w:w="840"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30 591.8</w:t>
            </w:r>
          </w:p>
        </w:tc>
        <w:tc>
          <w:tcPr>
            <w:tcW w:w="1080"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31.9%</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211 Natural handicap payments to farmers in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181.1</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3.6%</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7 391.1</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7.9%</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7 128.0</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7.4%</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212 Payments to farmers in areas with handicaps...</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87.9</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1.7%</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7 681.4</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8.2%</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8 062.5</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8.4%</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213 Natura 2000 payments and payments linked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13.3</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0.3%</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267.5</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0.3%</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272.6</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0.3%</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214 Agri-environment payments</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464.2</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9.1%</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23 619.4</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25.2%</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23 845.5</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24.9%</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215 Animal welfare payments</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106.3</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2.1%</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1 006.2</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1.1%</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1 040.6</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1.1%</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216 Non-productive investments</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40.2</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0.8%</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621.0</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0.7%</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656.4</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0.7%</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221 First afforestation of agricultural land</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41.8</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0.8%</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1 585.5</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1.7%</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1 584.4</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1.7%</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222 First establishment of agroforestry systems...</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0.3</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0.0%</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1.5</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0.0%</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2.5</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0.0%</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223 First afforestation of non-agricultural land</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7.6</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0.1%</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168.2</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0.2%</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176.1</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0.2%</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224 Natura 2000 payments</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11.8</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0.2%</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74.3</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0.1%</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69.6</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0.1%</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225 Forest-environment payments</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8.0</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0.2%</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70.1</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0.1%</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79.4</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0.1%</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226 Restoring forestry potential and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148.8</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2.9%</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1 542.1</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1.6%</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1 603.3</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1.7%</w:t>
            </w:r>
          </w:p>
        </w:tc>
      </w:tr>
      <w:tr>
        <w:trPr>
          <w:trHeight w:val="270"/>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227 Non-productive investments</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75.2</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1.5%</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698.6</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0.7%</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738.5</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0.8%</w:t>
            </w:r>
          </w:p>
        </w:tc>
      </w:tr>
      <w:tr>
        <w:trPr>
          <w:trHeight w:val="270"/>
        </w:trPr>
        <w:tc>
          <w:tcPr>
            <w:tcW w:w="3855" w:type="dxa"/>
            <w:tcBorders>
              <w:top w:val="single" w:sz="8" w:space="0" w:color="auto"/>
              <w:left w:val="single" w:sz="8" w:space="0" w:color="auto"/>
              <w:bottom w:val="single" w:sz="8" w:space="0" w:color="auto"/>
              <w:right w:val="single" w:sz="8" w:space="0" w:color="auto"/>
            </w:tcBorders>
            <w:shd w:val="clear" w:color="000000" w:fill="FFFF99"/>
            <w:noWrap/>
            <w:vAlign w:val="center"/>
            <w:hideMark/>
          </w:tcPr>
          <w:p>
            <w:pPr>
              <w:spacing w:after="0" w:line="240" w:lineRule="auto"/>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Axis 2</w:t>
            </w:r>
          </w:p>
        </w:tc>
        <w:tc>
          <w:tcPr>
            <w:tcW w:w="960"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1 186.4</w:t>
            </w:r>
          </w:p>
        </w:tc>
        <w:tc>
          <w:tcPr>
            <w:tcW w:w="840"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23.3%</w:t>
            </w:r>
          </w:p>
        </w:tc>
        <w:tc>
          <w:tcPr>
            <w:tcW w:w="960"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44 727.1</w:t>
            </w:r>
          </w:p>
        </w:tc>
        <w:tc>
          <w:tcPr>
            <w:tcW w:w="1080"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47.7%</w:t>
            </w:r>
          </w:p>
        </w:tc>
        <w:tc>
          <w:tcPr>
            <w:tcW w:w="840"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45 259.23</w:t>
            </w:r>
          </w:p>
        </w:tc>
        <w:tc>
          <w:tcPr>
            <w:tcW w:w="1080"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47.2%</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311 Diversification into non-agricultural activities</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74.6</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1.5%</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1 078.8</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1.1%</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1 110.5</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1.2%</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 xml:space="preserve">312 Business creation and development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111.5</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2.2%</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1 430.3</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1.5%</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1 570.0</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1.6%</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313 Encouragement of tourism activities</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96.1</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1.9%</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887.9</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0.9%</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1 112.0</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1.2%</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321 Basic services for the economy and rural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522.1</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10.3%</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3 683.0</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3.9%</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3 745.6</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3.9%</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 xml:space="preserve">322 Village renewal and development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164.3</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3.2%</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3 199.6</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3.4%</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3 327.0</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3.5%</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323 Conservation and upgrading of the rural....</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85.8</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1.7%</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1 154.9</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1.2%</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1 194.2</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1.2%</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 xml:space="preserve">331 Training and information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2.7</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0.1%</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92.2</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0.1%</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96.4</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0.1%</w:t>
            </w:r>
          </w:p>
        </w:tc>
      </w:tr>
      <w:tr>
        <w:trPr>
          <w:trHeight w:val="270"/>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 xml:space="preserve">341 Skills acquisition, animation and implement...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4.3</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0.1%</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100.4</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0.1%</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101.0</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0.1%</w:t>
            </w:r>
          </w:p>
        </w:tc>
      </w:tr>
      <w:tr>
        <w:trPr>
          <w:trHeight w:val="270"/>
        </w:trPr>
        <w:tc>
          <w:tcPr>
            <w:tcW w:w="3855" w:type="dxa"/>
            <w:tcBorders>
              <w:top w:val="single" w:sz="8" w:space="0" w:color="auto"/>
              <w:left w:val="single" w:sz="8" w:space="0" w:color="auto"/>
              <w:bottom w:val="single" w:sz="8" w:space="0" w:color="auto"/>
              <w:right w:val="single" w:sz="8" w:space="0" w:color="auto"/>
            </w:tcBorders>
            <w:shd w:val="clear" w:color="000000" w:fill="FFFF99"/>
            <w:noWrap/>
            <w:vAlign w:val="center"/>
            <w:hideMark/>
          </w:tcPr>
          <w:p>
            <w:pPr>
              <w:spacing w:after="0" w:line="240" w:lineRule="auto"/>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Axis 3</w:t>
            </w:r>
          </w:p>
        </w:tc>
        <w:tc>
          <w:tcPr>
            <w:tcW w:w="960"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1 061.3</w:t>
            </w:r>
          </w:p>
        </w:tc>
        <w:tc>
          <w:tcPr>
            <w:tcW w:w="840"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20.8%</w:t>
            </w:r>
          </w:p>
        </w:tc>
        <w:tc>
          <w:tcPr>
            <w:tcW w:w="960"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11 627.1</w:t>
            </w:r>
          </w:p>
        </w:tc>
        <w:tc>
          <w:tcPr>
            <w:tcW w:w="1080"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12.4%</w:t>
            </w:r>
          </w:p>
        </w:tc>
        <w:tc>
          <w:tcPr>
            <w:tcW w:w="840"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12 256.8</w:t>
            </w:r>
          </w:p>
        </w:tc>
        <w:tc>
          <w:tcPr>
            <w:tcW w:w="1080"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12.8%</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411 Implementing local development strategies...</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80.1</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1.6%</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471.5</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0.5%</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505.2</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0.5%</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412 Implementing local development strategies...</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7.5</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0.1%</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58.9</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0.1%</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73.8</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0.1%</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413 Implementing local development strategies....</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456.4</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9.0%</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3 977.0</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4.2%</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4 059.9</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4.2%</w:t>
            </w:r>
          </w:p>
        </w:tc>
      </w:tr>
      <w:tr>
        <w:trPr>
          <w:trHeight w:val="255"/>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 xml:space="preserve">421 Implementing cooperation projects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39.1</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0.8%</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170.8</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0.2%</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189.9</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0.2%</w:t>
            </w:r>
          </w:p>
        </w:tc>
      </w:tr>
      <w:tr>
        <w:trPr>
          <w:trHeight w:val="270"/>
        </w:trPr>
        <w:tc>
          <w:tcPr>
            <w:tcW w:w="385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431 Running the local action group, acquiring ...</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70.9</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1.4%</w:t>
            </w:r>
          </w:p>
        </w:tc>
        <w:tc>
          <w:tcPr>
            <w:tcW w:w="96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897.7</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1.0%</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928.6</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1.0%</w:t>
            </w:r>
          </w:p>
        </w:tc>
      </w:tr>
      <w:tr>
        <w:trPr>
          <w:trHeight w:val="270"/>
        </w:trPr>
        <w:tc>
          <w:tcPr>
            <w:tcW w:w="3855" w:type="dxa"/>
            <w:tcBorders>
              <w:top w:val="single" w:sz="8" w:space="0" w:color="auto"/>
              <w:left w:val="single" w:sz="8" w:space="0" w:color="auto"/>
              <w:bottom w:val="single" w:sz="8" w:space="0" w:color="auto"/>
              <w:right w:val="single" w:sz="8" w:space="0" w:color="auto"/>
            </w:tcBorders>
            <w:shd w:val="clear" w:color="000000" w:fill="FFFF99"/>
            <w:noWrap/>
            <w:vAlign w:val="center"/>
            <w:hideMark/>
          </w:tcPr>
          <w:p>
            <w:pPr>
              <w:spacing w:after="0" w:line="240" w:lineRule="auto"/>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Axis 4</w:t>
            </w:r>
          </w:p>
        </w:tc>
        <w:tc>
          <w:tcPr>
            <w:tcW w:w="960" w:type="dxa"/>
            <w:tcBorders>
              <w:top w:val="single" w:sz="8" w:space="0" w:color="000000"/>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654.0</w:t>
            </w:r>
          </w:p>
        </w:tc>
        <w:tc>
          <w:tcPr>
            <w:tcW w:w="840"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12.8%</w:t>
            </w:r>
          </w:p>
        </w:tc>
        <w:tc>
          <w:tcPr>
            <w:tcW w:w="960" w:type="dxa"/>
            <w:tcBorders>
              <w:top w:val="single" w:sz="8" w:space="0" w:color="000000"/>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5 575.9</w:t>
            </w:r>
          </w:p>
        </w:tc>
        <w:tc>
          <w:tcPr>
            <w:tcW w:w="1080"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5.9%</w:t>
            </w:r>
          </w:p>
        </w:tc>
        <w:tc>
          <w:tcPr>
            <w:tcW w:w="840" w:type="dxa"/>
            <w:tcBorders>
              <w:top w:val="single" w:sz="8" w:space="0" w:color="000000"/>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5 757.4</w:t>
            </w:r>
          </w:p>
        </w:tc>
        <w:tc>
          <w:tcPr>
            <w:tcW w:w="1080"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6.0%</w:t>
            </w:r>
          </w:p>
        </w:tc>
      </w:tr>
      <w:tr>
        <w:trPr>
          <w:trHeight w:val="270"/>
        </w:trPr>
        <w:tc>
          <w:tcPr>
            <w:tcW w:w="3855"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511 Technical Assistance</w:t>
            </w:r>
          </w:p>
        </w:tc>
        <w:tc>
          <w:tcPr>
            <w:tcW w:w="96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139.6</w:t>
            </w:r>
          </w:p>
        </w:tc>
        <w:tc>
          <w:tcPr>
            <w:tcW w:w="8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2.7%</w:t>
            </w:r>
          </w:p>
        </w:tc>
        <w:tc>
          <w:tcPr>
            <w:tcW w:w="96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1 440.7</w:t>
            </w:r>
          </w:p>
        </w:tc>
        <w:tc>
          <w:tcPr>
            <w:tcW w:w="10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1.5%</w:t>
            </w:r>
          </w:p>
        </w:tc>
        <w:tc>
          <w:tcPr>
            <w:tcW w:w="8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1 531.1</w:t>
            </w:r>
          </w:p>
        </w:tc>
        <w:tc>
          <w:tcPr>
            <w:tcW w:w="108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1.6%</w:t>
            </w:r>
          </w:p>
        </w:tc>
      </w:tr>
      <w:tr>
        <w:trPr>
          <w:trHeight w:val="270"/>
        </w:trPr>
        <w:tc>
          <w:tcPr>
            <w:tcW w:w="3855"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611 BG RO Direct Payments</w:t>
            </w:r>
          </w:p>
        </w:tc>
        <w:tc>
          <w:tcPr>
            <w:tcW w:w="96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0.0</w:t>
            </w:r>
          </w:p>
        </w:tc>
        <w:tc>
          <w:tcPr>
            <w:tcW w:w="84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0.0%</w:t>
            </w:r>
          </w:p>
        </w:tc>
        <w:tc>
          <w:tcPr>
            <w:tcW w:w="96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436.4</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0.5%</w:t>
            </w:r>
          </w:p>
        </w:tc>
        <w:tc>
          <w:tcPr>
            <w:tcW w:w="84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437.4</w:t>
            </w:r>
          </w:p>
        </w:tc>
        <w:tc>
          <w:tcPr>
            <w:tcW w:w="1080"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0.5%</w:t>
            </w:r>
          </w:p>
        </w:tc>
      </w:tr>
      <w:tr>
        <w:trPr>
          <w:trHeight w:val="270"/>
        </w:trPr>
        <w:tc>
          <w:tcPr>
            <w:tcW w:w="3855"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Grand total</w:t>
            </w:r>
          </w:p>
        </w:tc>
        <w:tc>
          <w:tcPr>
            <w:tcW w:w="96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5 092.8</w:t>
            </w:r>
          </w:p>
        </w:tc>
        <w:tc>
          <w:tcPr>
            <w:tcW w:w="840"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100.0%</w:t>
            </w:r>
          </w:p>
        </w:tc>
        <w:tc>
          <w:tcPr>
            <w:tcW w:w="96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93 832.7</w:t>
            </w:r>
          </w:p>
        </w:tc>
        <w:tc>
          <w:tcPr>
            <w:tcW w:w="1080"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100.0%</w:t>
            </w:r>
          </w:p>
        </w:tc>
        <w:tc>
          <w:tcPr>
            <w:tcW w:w="84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95 833.8</w:t>
            </w:r>
          </w:p>
        </w:tc>
        <w:tc>
          <w:tcPr>
            <w:tcW w:w="1080" w:type="dxa"/>
            <w:tcBorders>
              <w:top w:val="single" w:sz="8" w:space="0" w:color="auto"/>
              <w:left w:val="nil"/>
              <w:bottom w:val="single" w:sz="8" w:space="0" w:color="auto"/>
              <w:right w:val="single" w:sz="8" w:space="0" w:color="auto"/>
            </w:tcBorders>
            <w:shd w:val="clear" w:color="000000" w:fill="FFFF99"/>
            <w:noWrap/>
            <w:vAlign w:val="center"/>
            <w:hideMark/>
          </w:tcPr>
          <w:p>
            <w:pPr>
              <w:spacing w:after="0" w:line="240" w:lineRule="auto"/>
              <w:jc w:val="center"/>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100.0%</w:t>
            </w:r>
          </w:p>
        </w:tc>
      </w:tr>
    </w:tbl>
    <w:p>
      <w:pPr>
        <w:spacing w:before="120" w:after="0" w:line="240" w:lineRule="auto"/>
        <w:jc w:val="both"/>
        <w:rPr>
          <w:rFonts w:ascii="Times New Roman" w:eastAsia="Times New Roman" w:hAnsi="Times New Roman"/>
          <w:noProof/>
          <w:sz w:val="24"/>
          <w:lang w:eastAsia="en-GB"/>
        </w:rPr>
      </w:pPr>
      <w:bookmarkStart w:id="72" w:name="_Toc331167078"/>
      <w:bookmarkEnd w:id="71"/>
      <w:r>
        <w:rPr>
          <w:rFonts w:ascii="Times New Roman" w:eastAsia="Times New Roman" w:hAnsi="Times New Roman"/>
          <w:noProof/>
          <w:sz w:val="24"/>
          <w:lang w:eastAsia="en-GB"/>
        </w:rPr>
        <w:t>Table 12b</w:t>
      </w:r>
    </w:p>
    <w:tbl>
      <w:tblPr>
        <w:tblW w:w="9632" w:type="dxa"/>
        <w:tblInd w:w="93" w:type="dxa"/>
        <w:tblLayout w:type="fixed"/>
        <w:tblLook w:val="04A0" w:firstRow="1" w:lastRow="0" w:firstColumn="1" w:lastColumn="0" w:noHBand="0" w:noVBand="1"/>
      </w:tblPr>
      <w:tblGrid>
        <w:gridCol w:w="1095"/>
        <w:gridCol w:w="2640"/>
        <w:gridCol w:w="840"/>
        <w:gridCol w:w="1080"/>
        <w:gridCol w:w="1080"/>
        <w:gridCol w:w="1080"/>
        <w:gridCol w:w="960"/>
        <w:gridCol w:w="857"/>
      </w:tblGrid>
      <w:tr>
        <w:trPr>
          <w:trHeight w:val="255"/>
        </w:trPr>
        <w:tc>
          <w:tcPr>
            <w:tcW w:w="9632" w:type="dxa"/>
            <w:gridSpan w:val="8"/>
            <w:tcBorders>
              <w:top w:val="single" w:sz="8" w:space="0" w:color="auto"/>
              <w:left w:val="single" w:sz="8" w:space="0" w:color="auto"/>
              <w:bottom w:val="nil"/>
              <w:right w:val="single" w:sz="8" w:space="0" w:color="000000"/>
            </w:tcBorders>
            <w:shd w:val="clear" w:color="000000" w:fill="FFCC99"/>
            <w:noWrap/>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 xml:space="preserve">EAFRD declared expenditure 2016 (Q4 2015-Q3 2016) &amp; Total cumulative expenditure (Q4 2014 to Q3 2016) </w:t>
            </w:r>
          </w:p>
        </w:tc>
      </w:tr>
      <w:tr>
        <w:trPr>
          <w:trHeight w:val="270"/>
        </w:trPr>
        <w:tc>
          <w:tcPr>
            <w:tcW w:w="9632" w:type="dxa"/>
            <w:gridSpan w:val="8"/>
            <w:tcBorders>
              <w:top w:val="nil"/>
              <w:left w:val="single" w:sz="8" w:space="0" w:color="auto"/>
              <w:bottom w:val="single" w:sz="8" w:space="0" w:color="auto"/>
              <w:right w:val="single" w:sz="8" w:space="0" w:color="000000"/>
            </w:tcBorders>
            <w:shd w:val="clear" w:color="000000" w:fill="FFCC99"/>
            <w:noWrap/>
            <w:vAlign w:val="center"/>
            <w:hideMark/>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 xml:space="preserve">compared with Financial Plans  - </w:t>
            </w:r>
            <w:r>
              <w:rPr>
                <w:rFonts w:ascii="Times New Roman" w:eastAsia="Times New Roman" w:hAnsi="Times New Roman"/>
                <w:b/>
                <w:bCs/>
                <w:noProof/>
                <w:sz w:val="18"/>
                <w:szCs w:val="18"/>
                <w:u w:val="single"/>
                <w:lang w:eastAsia="en-GB"/>
              </w:rPr>
              <w:t>EAFRD 2014-2020</w:t>
            </w:r>
          </w:p>
        </w:tc>
      </w:tr>
      <w:tr>
        <w:trPr>
          <w:trHeight w:val="420"/>
        </w:trPr>
        <w:tc>
          <w:tcPr>
            <w:tcW w:w="373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pPr>
              <w:spacing w:after="0" w:line="240" w:lineRule="auto"/>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 </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Declared expenditure 2016 (Q4 2015 to Q3 2016)</w:t>
            </w:r>
          </w:p>
        </w:tc>
        <w:tc>
          <w:tcPr>
            <w:tcW w:w="2160" w:type="dxa"/>
            <w:gridSpan w:val="2"/>
            <w:tcBorders>
              <w:top w:val="single" w:sz="8" w:space="0" w:color="auto"/>
              <w:left w:val="nil"/>
              <w:bottom w:val="single" w:sz="8"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Cumulative declared expenditure (Q4 2014 to Q3 2016)</w:t>
            </w:r>
          </w:p>
        </w:tc>
        <w:tc>
          <w:tcPr>
            <w:tcW w:w="1817" w:type="dxa"/>
            <w:gridSpan w:val="2"/>
            <w:tcBorders>
              <w:top w:val="single" w:sz="8" w:space="0" w:color="auto"/>
              <w:left w:val="nil"/>
              <w:bottom w:val="single" w:sz="8"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Financial Plans 2014-2020</w:t>
            </w:r>
          </w:p>
        </w:tc>
      </w:tr>
      <w:tr>
        <w:trPr>
          <w:trHeight w:val="270"/>
        </w:trPr>
        <w:tc>
          <w:tcPr>
            <w:tcW w:w="3735" w:type="dxa"/>
            <w:gridSpan w:val="2"/>
            <w:tcBorders>
              <w:top w:val="single" w:sz="8" w:space="0" w:color="auto"/>
              <w:left w:val="single" w:sz="8" w:space="0" w:color="auto"/>
              <w:bottom w:val="single" w:sz="8" w:space="0" w:color="auto"/>
              <w:right w:val="single" w:sz="8" w:space="0" w:color="000000"/>
            </w:tcBorders>
            <w:shd w:val="clear" w:color="000000" w:fill="FFFF99"/>
            <w:noWrap/>
            <w:vAlign w:val="center"/>
            <w:hideMark/>
          </w:tcPr>
          <w:p>
            <w:pPr>
              <w:spacing w:after="0" w:line="240" w:lineRule="auto"/>
              <w:jc w:val="center"/>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EAFRD Measure</w:t>
            </w:r>
          </w:p>
        </w:tc>
        <w:tc>
          <w:tcPr>
            <w:tcW w:w="840"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 xml:space="preserve"> (million €)</w:t>
            </w:r>
          </w:p>
        </w:tc>
        <w:tc>
          <w:tcPr>
            <w:tcW w:w="1080"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w:t>
            </w:r>
          </w:p>
        </w:tc>
        <w:tc>
          <w:tcPr>
            <w:tcW w:w="1080"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 xml:space="preserve"> (million €)</w:t>
            </w:r>
          </w:p>
        </w:tc>
        <w:tc>
          <w:tcPr>
            <w:tcW w:w="1080"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w:t>
            </w:r>
          </w:p>
        </w:tc>
        <w:tc>
          <w:tcPr>
            <w:tcW w:w="960"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 xml:space="preserve"> (million €)</w:t>
            </w:r>
          </w:p>
        </w:tc>
        <w:tc>
          <w:tcPr>
            <w:tcW w:w="857" w:type="dxa"/>
            <w:tcBorders>
              <w:top w:val="nil"/>
              <w:left w:val="nil"/>
              <w:bottom w:val="nil"/>
              <w:right w:val="single" w:sz="8" w:space="0" w:color="auto"/>
            </w:tcBorders>
            <w:shd w:val="clear" w:color="000000" w:fill="FFFF99"/>
            <w:vAlign w:val="center"/>
            <w:hideMark/>
          </w:tcPr>
          <w:p>
            <w:pPr>
              <w:spacing w:after="0" w:line="240" w:lineRule="auto"/>
              <w:jc w:val="center"/>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w:t>
            </w:r>
          </w:p>
        </w:tc>
      </w:tr>
      <w:tr>
        <w:trPr>
          <w:trHeight w:val="255"/>
        </w:trPr>
        <w:tc>
          <w:tcPr>
            <w:tcW w:w="109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Measure 01</w:t>
            </w:r>
          </w:p>
        </w:tc>
        <w:tc>
          <w:tcPr>
            <w:tcW w:w="2640"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Knowledge transfer and information actions</w:t>
            </w:r>
          </w:p>
        </w:tc>
        <w:tc>
          <w:tcPr>
            <w:tcW w:w="840" w:type="dxa"/>
            <w:tcBorders>
              <w:top w:val="single" w:sz="8" w:space="0" w:color="auto"/>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20.3</w:t>
            </w:r>
          </w:p>
        </w:tc>
        <w:tc>
          <w:tcPr>
            <w:tcW w:w="1080" w:type="dxa"/>
            <w:tcBorders>
              <w:top w:val="single" w:sz="8" w:space="0" w:color="auto"/>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0.3%</w:t>
            </w:r>
          </w:p>
        </w:tc>
        <w:tc>
          <w:tcPr>
            <w:tcW w:w="1080" w:type="dxa"/>
            <w:tcBorders>
              <w:top w:val="single" w:sz="8" w:space="0" w:color="auto"/>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21.9</w:t>
            </w:r>
          </w:p>
        </w:tc>
        <w:tc>
          <w:tcPr>
            <w:tcW w:w="1080" w:type="dxa"/>
            <w:tcBorders>
              <w:top w:val="single" w:sz="8" w:space="0" w:color="auto"/>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0.2%</w:t>
            </w:r>
          </w:p>
        </w:tc>
        <w:tc>
          <w:tcPr>
            <w:tcW w:w="960" w:type="dxa"/>
            <w:tcBorders>
              <w:top w:val="single" w:sz="8" w:space="0" w:color="auto"/>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1 132.8</w:t>
            </w:r>
          </w:p>
        </w:tc>
        <w:tc>
          <w:tcPr>
            <w:tcW w:w="857" w:type="dxa"/>
            <w:tcBorders>
              <w:top w:val="single" w:sz="8" w:space="0" w:color="auto"/>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1.1%</w:t>
            </w:r>
          </w:p>
        </w:tc>
      </w:tr>
      <w:tr>
        <w:trPr>
          <w:trHeight w:val="450"/>
        </w:trPr>
        <w:tc>
          <w:tcPr>
            <w:tcW w:w="109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Measure 02</w:t>
            </w:r>
          </w:p>
        </w:tc>
        <w:tc>
          <w:tcPr>
            <w:tcW w:w="2640"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Advisory services, farm management and farm relief services</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10.7</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0.2%</w:t>
            </w:r>
          </w:p>
        </w:tc>
        <w:tc>
          <w:tcPr>
            <w:tcW w:w="108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11.4</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0.1%</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865.9</w:t>
            </w:r>
          </w:p>
        </w:tc>
        <w:tc>
          <w:tcPr>
            <w:tcW w:w="857"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0.9%</w:t>
            </w:r>
          </w:p>
        </w:tc>
      </w:tr>
      <w:tr>
        <w:trPr>
          <w:trHeight w:val="450"/>
        </w:trPr>
        <w:tc>
          <w:tcPr>
            <w:tcW w:w="109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Measure 03</w:t>
            </w:r>
          </w:p>
        </w:tc>
        <w:tc>
          <w:tcPr>
            <w:tcW w:w="2640"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Quality schemes for agricultural products and foodstuffs</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8.8</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0.1%</w:t>
            </w:r>
          </w:p>
        </w:tc>
        <w:tc>
          <w:tcPr>
            <w:tcW w:w="108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10.5</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0.1%</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379.1</w:t>
            </w:r>
          </w:p>
        </w:tc>
        <w:tc>
          <w:tcPr>
            <w:tcW w:w="857"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0.4%</w:t>
            </w:r>
          </w:p>
        </w:tc>
      </w:tr>
      <w:tr>
        <w:trPr>
          <w:trHeight w:val="255"/>
        </w:trPr>
        <w:tc>
          <w:tcPr>
            <w:tcW w:w="109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Measure 04</w:t>
            </w:r>
          </w:p>
        </w:tc>
        <w:tc>
          <w:tcPr>
            <w:tcW w:w="2640"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Investments in physical assets</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963.6</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15.0%</w:t>
            </w:r>
          </w:p>
        </w:tc>
        <w:tc>
          <w:tcPr>
            <w:tcW w:w="108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1 183.4</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11.7%</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22 679.2</w:t>
            </w:r>
          </w:p>
        </w:tc>
        <w:tc>
          <w:tcPr>
            <w:tcW w:w="857"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22.8%</w:t>
            </w:r>
          </w:p>
        </w:tc>
      </w:tr>
      <w:tr>
        <w:trPr>
          <w:trHeight w:val="675"/>
        </w:trPr>
        <w:tc>
          <w:tcPr>
            <w:tcW w:w="109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Measure 05</w:t>
            </w:r>
          </w:p>
        </w:tc>
        <w:tc>
          <w:tcPr>
            <w:tcW w:w="2640"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Restoring agricultural production potential damaged by natural disasters and catastrophic events and introduction of appropriate prevention actions</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38.0</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0.6%</w:t>
            </w:r>
          </w:p>
        </w:tc>
        <w:tc>
          <w:tcPr>
            <w:tcW w:w="108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53.1</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0.5%</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906.2</w:t>
            </w:r>
          </w:p>
        </w:tc>
        <w:tc>
          <w:tcPr>
            <w:tcW w:w="857"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0.9%</w:t>
            </w:r>
          </w:p>
        </w:tc>
      </w:tr>
      <w:tr>
        <w:trPr>
          <w:trHeight w:val="255"/>
        </w:trPr>
        <w:tc>
          <w:tcPr>
            <w:tcW w:w="109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Measure 06</w:t>
            </w:r>
          </w:p>
        </w:tc>
        <w:tc>
          <w:tcPr>
            <w:tcW w:w="2640"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Farm and business development</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344.7</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5.4%</w:t>
            </w:r>
          </w:p>
        </w:tc>
        <w:tc>
          <w:tcPr>
            <w:tcW w:w="108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416.0</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4.1%</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7 399.6</w:t>
            </w:r>
          </w:p>
        </w:tc>
        <w:tc>
          <w:tcPr>
            <w:tcW w:w="857"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7.4%</w:t>
            </w:r>
          </w:p>
        </w:tc>
      </w:tr>
      <w:tr>
        <w:trPr>
          <w:trHeight w:val="255"/>
        </w:trPr>
        <w:tc>
          <w:tcPr>
            <w:tcW w:w="109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Measure 07</w:t>
            </w:r>
          </w:p>
        </w:tc>
        <w:tc>
          <w:tcPr>
            <w:tcW w:w="2640"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Basic services and village renewal in rural areas</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117.4</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1.8%</w:t>
            </w:r>
          </w:p>
        </w:tc>
        <w:tc>
          <w:tcPr>
            <w:tcW w:w="108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120.3</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1.2%</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6 664.3</w:t>
            </w:r>
          </w:p>
        </w:tc>
        <w:tc>
          <w:tcPr>
            <w:tcW w:w="857"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6.7%</w:t>
            </w:r>
          </w:p>
        </w:tc>
      </w:tr>
      <w:tr>
        <w:trPr>
          <w:trHeight w:val="450"/>
        </w:trPr>
        <w:tc>
          <w:tcPr>
            <w:tcW w:w="109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Measure 08</w:t>
            </w:r>
          </w:p>
        </w:tc>
        <w:tc>
          <w:tcPr>
            <w:tcW w:w="2640"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Investments in forest area development and improvement of the viability of forests</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247.8</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3.9%</w:t>
            </w:r>
          </w:p>
        </w:tc>
        <w:tc>
          <w:tcPr>
            <w:tcW w:w="108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328.2</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3.2%</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4 557.5</w:t>
            </w:r>
          </w:p>
        </w:tc>
        <w:tc>
          <w:tcPr>
            <w:tcW w:w="857"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4.6%</w:t>
            </w:r>
          </w:p>
        </w:tc>
      </w:tr>
      <w:tr>
        <w:trPr>
          <w:trHeight w:val="255"/>
        </w:trPr>
        <w:tc>
          <w:tcPr>
            <w:tcW w:w="109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Measure 09</w:t>
            </w:r>
          </w:p>
        </w:tc>
        <w:tc>
          <w:tcPr>
            <w:tcW w:w="2640"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Setting-up of producer groups and organisations</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16.0</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0.2%</w:t>
            </w:r>
          </w:p>
        </w:tc>
        <w:tc>
          <w:tcPr>
            <w:tcW w:w="108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16.0</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0.2%</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476.3</w:t>
            </w:r>
          </w:p>
        </w:tc>
        <w:tc>
          <w:tcPr>
            <w:tcW w:w="857"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0.5%</w:t>
            </w:r>
          </w:p>
        </w:tc>
      </w:tr>
      <w:tr>
        <w:trPr>
          <w:trHeight w:val="255"/>
        </w:trPr>
        <w:tc>
          <w:tcPr>
            <w:tcW w:w="109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Measure 10</w:t>
            </w:r>
          </w:p>
        </w:tc>
        <w:tc>
          <w:tcPr>
            <w:tcW w:w="2640"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Agri-environment-climate</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1 734.3</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27.1%</w:t>
            </w:r>
          </w:p>
        </w:tc>
        <w:tc>
          <w:tcPr>
            <w:tcW w:w="108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3 098.0</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30.5%</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16 365.7</w:t>
            </w:r>
          </w:p>
        </w:tc>
        <w:tc>
          <w:tcPr>
            <w:tcW w:w="857"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16.5%</w:t>
            </w:r>
          </w:p>
        </w:tc>
      </w:tr>
      <w:tr>
        <w:trPr>
          <w:trHeight w:val="255"/>
        </w:trPr>
        <w:tc>
          <w:tcPr>
            <w:tcW w:w="109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Measure 11</w:t>
            </w:r>
          </w:p>
        </w:tc>
        <w:tc>
          <w:tcPr>
            <w:tcW w:w="2640"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Organic farming</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583.7</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9.1%</w:t>
            </w:r>
          </w:p>
        </w:tc>
        <w:tc>
          <w:tcPr>
            <w:tcW w:w="108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799.7</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7.9%</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6 444.6</w:t>
            </w:r>
          </w:p>
        </w:tc>
        <w:tc>
          <w:tcPr>
            <w:tcW w:w="857"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6.5%</w:t>
            </w:r>
          </w:p>
        </w:tc>
      </w:tr>
      <w:tr>
        <w:trPr>
          <w:trHeight w:val="450"/>
        </w:trPr>
        <w:tc>
          <w:tcPr>
            <w:tcW w:w="109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Measure 12</w:t>
            </w:r>
          </w:p>
        </w:tc>
        <w:tc>
          <w:tcPr>
            <w:tcW w:w="2640"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Natura 2000 and Water Framework Directive payments</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61.1</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1.0%</w:t>
            </w:r>
          </w:p>
        </w:tc>
        <w:tc>
          <w:tcPr>
            <w:tcW w:w="108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95.9</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0.9%</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573.9</w:t>
            </w:r>
          </w:p>
        </w:tc>
        <w:tc>
          <w:tcPr>
            <w:tcW w:w="857"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0.6%</w:t>
            </w:r>
          </w:p>
        </w:tc>
      </w:tr>
      <w:tr>
        <w:trPr>
          <w:trHeight w:val="450"/>
        </w:trPr>
        <w:tc>
          <w:tcPr>
            <w:tcW w:w="109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Measure 13</w:t>
            </w:r>
          </w:p>
        </w:tc>
        <w:tc>
          <w:tcPr>
            <w:tcW w:w="2640"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 xml:space="preserve">Payments to areas facing natural or other specific constraints </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1 704.5</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26.6%</w:t>
            </w:r>
          </w:p>
        </w:tc>
        <w:tc>
          <w:tcPr>
            <w:tcW w:w="108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3 217.7</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31.7%</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16 059.2</w:t>
            </w:r>
          </w:p>
        </w:tc>
        <w:tc>
          <w:tcPr>
            <w:tcW w:w="857"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16.2%</w:t>
            </w:r>
          </w:p>
        </w:tc>
      </w:tr>
      <w:tr>
        <w:trPr>
          <w:trHeight w:val="255"/>
        </w:trPr>
        <w:tc>
          <w:tcPr>
            <w:tcW w:w="109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Measure 14</w:t>
            </w:r>
          </w:p>
        </w:tc>
        <w:tc>
          <w:tcPr>
            <w:tcW w:w="2640"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Animal Welfare</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182.5</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2.8%</w:t>
            </w:r>
          </w:p>
        </w:tc>
        <w:tc>
          <w:tcPr>
            <w:tcW w:w="108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231.5</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2.3%</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1 475.2</w:t>
            </w:r>
          </w:p>
        </w:tc>
        <w:tc>
          <w:tcPr>
            <w:tcW w:w="857"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1.5%</w:t>
            </w:r>
          </w:p>
        </w:tc>
      </w:tr>
      <w:tr>
        <w:trPr>
          <w:trHeight w:val="450"/>
        </w:trPr>
        <w:tc>
          <w:tcPr>
            <w:tcW w:w="109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Measure 15</w:t>
            </w:r>
          </w:p>
        </w:tc>
        <w:tc>
          <w:tcPr>
            <w:tcW w:w="2640"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Forest environmental and climate services and forest conservation</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6.8</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0.1%</w:t>
            </w:r>
          </w:p>
        </w:tc>
        <w:tc>
          <w:tcPr>
            <w:tcW w:w="108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9.4</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0.1%</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266.4</w:t>
            </w:r>
          </w:p>
        </w:tc>
        <w:tc>
          <w:tcPr>
            <w:tcW w:w="857"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0.3%</w:t>
            </w:r>
          </w:p>
        </w:tc>
      </w:tr>
      <w:tr>
        <w:trPr>
          <w:trHeight w:val="255"/>
        </w:trPr>
        <w:tc>
          <w:tcPr>
            <w:tcW w:w="109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Measure 16</w:t>
            </w:r>
          </w:p>
        </w:tc>
        <w:tc>
          <w:tcPr>
            <w:tcW w:w="2640"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Co-operation</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20.7</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0.3%</w:t>
            </w:r>
          </w:p>
        </w:tc>
        <w:tc>
          <w:tcPr>
            <w:tcW w:w="108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21.9</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0.2%</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1 762.6</w:t>
            </w:r>
          </w:p>
        </w:tc>
        <w:tc>
          <w:tcPr>
            <w:tcW w:w="857"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1.8%</w:t>
            </w:r>
          </w:p>
        </w:tc>
      </w:tr>
      <w:tr>
        <w:trPr>
          <w:trHeight w:val="255"/>
        </w:trPr>
        <w:tc>
          <w:tcPr>
            <w:tcW w:w="109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Measure 17</w:t>
            </w:r>
          </w:p>
        </w:tc>
        <w:tc>
          <w:tcPr>
            <w:tcW w:w="2640"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Risk management</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10.4</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0.2%</w:t>
            </w:r>
          </w:p>
        </w:tc>
        <w:tc>
          <w:tcPr>
            <w:tcW w:w="108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15.6</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0.2%</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1 715.9</w:t>
            </w:r>
          </w:p>
        </w:tc>
        <w:tc>
          <w:tcPr>
            <w:tcW w:w="857"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1.7%</w:t>
            </w:r>
          </w:p>
        </w:tc>
      </w:tr>
      <w:tr>
        <w:trPr>
          <w:trHeight w:val="450"/>
        </w:trPr>
        <w:tc>
          <w:tcPr>
            <w:tcW w:w="109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Measure 18</w:t>
            </w:r>
          </w:p>
        </w:tc>
        <w:tc>
          <w:tcPr>
            <w:tcW w:w="2640"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Financing of complementary national direct payments for Croatia</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36.1</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0.6%</w:t>
            </w:r>
          </w:p>
        </w:tc>
        <w:tc>
          <w:tcPr>
            <w:tcW w:w="108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90.7</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0.9%</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111.9</w:t>
            </w:r>
          </w:p>
        </w:tc>
        <w:tc>
          <w:tcPr>
            <w:tcW w:w="857"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0.1%</w:t>
            </w:r>
          </w:p>
        </w:tc>
      </w:tr>
      <w:tr>
        <w:trPr>
          <w:trHeight w:val="450"/>
        </w:trPr>
        <w:tc>
          <w:tcPr>
            <w:tcW w:w="109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Measure 19</w:t>
            </w:r>
          </w:p>
        </w:tc>
        <w:tc>
          <w:tcPr>
            <w:tcW w:w="2640"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Support for LEADER local development — community-led local development (CLLD)</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116.8</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1.8%</w:t>
            </w:r>
          </w:p>
        </w:tc>
        <w:tc>
          <w:tcPr>
            <w:tcW w:w="108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125.7</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1.2%</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6 900.4</w:t>
            </w:r>
          </w:p>
        </w:tc>
        <w:tc>
          <w:tcPr>
            <w:tcW w:w="857"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6.9%</w:t>
            </w:r>
          </w:p>
        </w:tc>
      </w:tr>
      <w:tr>
        <w:trPr>
          <w:trHeight w:val="255"/>
        </w:trPr>
        <w:tc>
          <w:tcPr>
            <w:tcW w:w="109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Measure 20</w:t>
            </w:r>
          </w:p>
        </w:tc>
        <w:tc>
          <w:tcPr>
            <w:tcW w:w="2640"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Technical assistance Member States</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65.4</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1.0%</w:t>
            </w:r>
          </w:p>
        </w:tc>
        <w:tc>
          <w:tcPr>
            <w:tcW w:w="108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83.7</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0.8%</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2 080.9</w:t>
            </w:r>
          </w:p>
        </w:tc>
        <w:tc>
          <w:tcPr>
            <w:tcW w:w="857"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2.1%</w:t>
            </w:r>
          </w:p>
        </w:tc>
      </w:tr>
      <w:tr>
        <w:trPr>
          <w:trHeight w:val="255"/>
        </w:trPr>
        <w:tc>
          <w:tcPr>
            <w:tcW w:w="109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Measure 113</w:t>
            </w:r>
          </w:p>
        </w:tc>
        <w:tc>
          <w:tcPr>
            <w:tcW w:w="2640"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Early retirement</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117.0</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1.8%</w:t>
            </w:r>
          </w:p>
        </w:tc>
        <w:tc>
          <w:tcPr>
            <w:tcW w:w="108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197.7</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1.9%</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529.2</w:t>
            </w:r>
          </w:p>
        </w:tc>
        <w:tc>
          <w:tcPr>
            <w:tcW w:w="857"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0.5%</w:t>
            </w:r>
          </w:p>
        </w:tc>
      </w:tr>
      <w:tr>
        <w:trPr>
          <w:trHeight w:val="255"/>
        </w:trPr>
        <w:tc>
          <w:tcPr>
            <w:tcW w:w="1095" w:type="dxa"/>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Measure 131</w:t>
            </w:r>
          </w:p>
        </w:tc>
        <w:tc>
          <w:tcPr>
            <w:tcW w:w="2640"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Meeting standards based on Community legislation</w:t>
            </w:r>
          </w:p>
        </w:tc>
        <w:tc>
          <w:tcPr>
            <w:tcW w:w="84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0.0</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0.0%</w:t>
            </w:r>
          </w:p>
        </w:tc>
        <w:tc>
          <w:tcPr>
            <w:tcW w:w="108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0.0</w:t>
            </w:r>
          </w:p>
        </w:tc>
        <w:tc>
          <w:tcPr>
            <w:tcW w:w="1080" w:type="dxa"/>
            <w:tcBorders>
              <w:top w:val="nil"/>
              <w:left w:val="nil"/>
              <w:bottom w:val="nil"/>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0.0%</w:t>
            </w:r>
          </w:p>
        </w:tc>
        <w:tc>
          <w:tcPr>
            <w:tcW w:w="960"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0.0</w:t>
            </w:r>
          </w:p>
        </w:tc>
        <w:tc>
          <w:tcPr>
            <w:tcW w:w="857" w:type="dxa"/>
            <w:tcBorders>
              <w:top w:val="nil"/>
              <w:left w:val="nil"/>
              <w:bottom w:val="nil"/>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0.0%</w:t>
            </w:r>
          </w:p>
        </w:tc>
      </w:tr>
      <w:tr>
        <w:trPr>
          <w:trHeight w:val="270"/>
        </w:trPr>
        <w:tc>
          <w:tcPr>
            <w:tcW w:w="1095"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Measure 341</w:t>
            </w:r>
          </w:p>
        </w:tc>
        <w:tc>
          <w:tcPr>
            <w:tcW w:w="2640" w:type="dxa"/>
            <w:tcBorders>
              <w:top w:val="nil"/>
              <w:left w:val="nil"/>
              <w:bottom w:val="single" w:sz="8" w:space="0" w:color="auto"/>
              <w:right w:val="nil"/>
            </w:tcBorders>
            <w:shd w:val="clear" w:color="auto" w:fill="auto"/>
            <w:vAlign w:val="center"/>
            <w:hideMark/>
          </w:tcPr>
          <w:p>
            <w:pPr>
              <w:spacing w:after="0" w:line="240" w:lineRule="auto"/>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Skills acquisition, animation and implementation</w:t>
            </w:r>
          </w:p>
        </w:tc>
        <w:tc>
          <w:tcPr>
            <w:tcW w:w="84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0.0</w:t>
            </w:r>
          </w:p>
        </w:tc>
        <w:tc>
          <w:tcPr>
            <w:tcW w:w="1080" w:type="dxa"/>
            <w:tcBorders>
              <w:top w:val="nil"/>
              <w:left w:val="nil"/>
              <w:bottom w:val="single" w:sz="8" w:space="0" w:color="auto"/>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0.0%</w:t>
            </w:r>
          </w:p>
        </w:tc>
        <w:tc>
          <w:tcPr>
            <w:tcW w:w="108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0.0</w:t>
            </w:r>
          </w:p>
        </w:tc>
        <w:tc>
          <w:tcPr>
            <w:tcW w:w="1080" w:type="dxa"/>
            <w:tcBorders>
              <w:top w:val="nil"/>
              <w:left w:val="nil"/>
              <w:bottom w:val="single" w:sz="8" w:space="0" w:color="auto"/>
              <w:right w:val="nil"/>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0.0%</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0.6</w:t>
            </w:r>
          </w:p>
        </w:tc>
        <w:tc>
          <w:tcPr>
            <w:tcW w:w="85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0.0%</w:t>
            </w:r>
          </w:p>
        </w:tc>
      </w:tr>
      <w:tr>
        <w:trPr>
          <w:trHeight w:val="270"/>
        </w:trPr>
        <w:tc>
          <w:tcPr>
            <w:tcW w:w="1095" w:type="dxa"/>
            <w:tcBorders>
              <w:top w:val="nil"/>
              <w:left w:val="single" w:sz="8" w:space="0" w:color="auto"/>
              <w:bottom w:val="single" w:sz="8" w:space="0" w:color="auto"/>
              <w:right w:val="single" w:sz="8" w:space="0" w:color="auto"/>
            </w:tcBorders>
            <w:shd w:val="clear" w:color="000000" w:fill="FFFF99"/>
            <w:noWrap/>
            <w:vAlign w:val="center"/>
            <w:hideMark/>
          </w:tcPr>
          <w:p>
            <w:pPr>
              <w:spacing w:after="0" w:line="240" w:lineRule="auto"/>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Grand total</w:t>
            </w:r>
          </w:p>
        </w:tc>
        <w:tc>
          <w:tcPr>
            <w:tcW w:w="2640" w:type="dxa"/>
            <w:tcBorders>
              <w:top w:val="nil"/>
              <w:left w:val="nil"/>
              <w:bottom w:val="single" w:sz="8" w:space="0" w:color="auto"/>
              <w:right w:val="single" w:sz="8" w:space="0" w:color="auto"/>
            </w:tcBorders>
            <w:shd w:val="clear" w:color="000000" w:fill="FFFF99"/>
            <w:noWrap/>
            <w:vAlign w:val="center"/>
            <w:hideMark/>
          </w:tcPr>
          <w:p>
            <w:pPr>
              <w:spacing w:after="0" w:line="240" w:lineRule="auto"/>
              <w:rPr>
                <w:rFonts w:ascii="Arial" w:eastAsia="Times New Roman" w:hAnsi="Arial" w:cs="Arial"/>
                <w:noProof/>
                <w:sz w:val="20"/>
                <w:szCs w:val="20"/>
                <w:lang w:eastAsia="en-GB"/>
              </w:rPr>
            </w:pPr>
          </w:p>
        </w:tc>
        <w:tc>
          <w:tcPr>
            <w:tcW w:w="84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6 406.6</w:t>
            </w:r>
          </w:p>
        </w:tc>
        <w:tc>
          <w:tcPr>
            <w:tcW w:w="108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100.0%</w:t>
            </w:r>
          </w:p>
        </w:tc>
        <w:tc>
          <w:tcPr>
            <w:tcW w:w="108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10 148.5</w:t>
            </w:r>
          </w:p>
        </w:tc>
        <w:tc>
          <w:tcPr>
            <w:tcW w:w="108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100.0%</w:t>
            </w:r>
          </w:p>
        </w:tc>
        <w:tc>
          <w:tcPr>
            <w:tcW w:w="960"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99 347.5</w:t>
            </w:r>
          </w:p>
        </w:tc>
        <w:tc>
          <w:tcPr>
            <w:tcW w:w="857" w:type="dxa"/>
            <w:tcBorders>
              <w:top w:val="nil"/>
              <w:left w:val="nil"/>
              <w:bottom w:val="single" w:sz="8" w:space="0" w:color="auto"/>
              <w:right w:val="single" w:sz="8" w:space="0" w:color="auto"/>
            </w:tcBorders>
            <w:shd w:val="clear" w:color="000000" w:fill="FFFF99"/>
            <w:noWrap/>
            <w:vAlign w:val="center"/>
            <w:hideMark/>
          </w:tcPr>
          <w:p>
            <w:pPr>
              <w:spacing w:after="0" w:line="240" w:lineRule="auto"/>
              <w:jc w:val="right"/>
              <w:rPr>
                <w:rFonts w:ascii="Times New Roman" w:eastAsia="Times New Roman" w:hAnsi="Times New Roman"/>
                <w:b/>
                <w:bCs/>
                <w:noProof/>
                <w:sz w:val="16"/>
                <w:szCs w:val="16"/>
                <w:lang w:eastAsia="en-GB"/>
              </w:rPr>
            </w:pPr>
            <w:r>
              <w:rPr>
                <w:rFonts w:ascii="Times New Roman" w:eastAsia="Times New Roman" w:hAnsi="Times New Roman"/>
                <w:b/>
                <w:bCs/>
                <w:noProof/>
                <w:sz w:val="16"/>
                <w:szCs w:val="16"/>
                <w:lang w:eastAsia="en-GB"/>
              </w:rPr>
              <w:t>100.0%</w:t>
            </w:r>
          </w:p>
        </w:tc>
      </w:tr>
    </w:tbl>
    <w:p>
      <w:pPr>
        <w:spacing w:before="120" w:after="120" w:line="240" w:lineRule="auto"/>
        <w:ind w:left="850"/>
        <w:jc w:val="both"/>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*Member States declare their expenditure quarterly. However, for year n, Q4 declarations are submitted in January of year n+1. Consequently, the corresponding reimbursements by the Commission to the Member States in year n go from Q4 of year n-1 until Q3 of year n.</w:t>
      </w:r>
    </w:p>
    <w:p>
      <w:pPr>
        <w:keepNext/>
        <w:tabs>
          <w:tab w:val="left" w:pos="850"/>
        </w:tabs>
        <w:spacing w:before="240" w:after="120" w:line="240" w:lineRule="auto"/>
        <w:ind w:left="850" w:hanging="850"/>
        <w:jc w:val="both"/>
        <w:outlineLvl w:val="1"/>
        <w:rPr>
          <w:rFonts w:ascii="Times New Roman" w:eastAsia="Times New Roman" w:hAnsi="Times New Roman"/>
          <w:b/>
          <w:noProof/>
          <w:sz w:val="24"/>
          <w:lang w:eastAsia="en-GB"/>
        </w:rPr>
      </w:pPr>
      <w:bookmarkStart w:id="73" w:name="_Toc393127486"/>
      <w:bookmarkStart w:id="74" w:name="_Toc485997146"/>
      <w:r>
        <w:rPr>
          <w:rFonts w:ascii="Times New Roman" w:eastAsia="Times New Roman" w:hAnsi="Times New Roman"/>
          <w:b/>
          <w:noProof/>
          <w:sz w:val="24"/>
          <w:lang w:eastAsia="en-GB"/>
        </w:rPr>
        <w:t>3.4.</w:t>
      </w:r>
      <w:r>
        <w:rPr>
          <w:rFonts w:ascii="Times New Roman" w:eastAsia="Times New Roman" w:hAnsi="Times New Roman"/>
          <w:b/>
          <w:noProof/>
          <w:sz w:val="24"/>
          <w:lang w:eastAsia="en-GB"/>
        </w:rPr>
        <w:tab/>
        <w:t>Implementation of EAFRD programmes</w:t>
      </w:r>
      <w:bookmarkEnd w:id="73"/>
      <w:bookmarkEnd w:id="74"/>
    </w:p>
    <w:p>
      <w:pPr>
        <w:keepNext/>
        <w:tabs>
          <w:tab w:val="left" w:pos="850"/>
        </w:tabs>
        <w:spacing w:before="240" w:after="120" w:line="240" w:lineRule="auto"/>
        <w:ind w:left="850" w:hanging="850"/>
        <w:jc w:val="both"/>
        <w:outlineLvl w:val="2"/>
        <w:rPr>
          <w:rFonts w:ascii="Times New Roman" w:eastAsia="Times New Roman" w:hAnsi="Times New Roman"/>
          <w:i/>
          <w:noProof/>
          <w:sz w:val="24"/>
          <w:lang w:eastAsia="en-GB"/>
        </w:rPr>
      </w:pPr>
      <w:bookmarkStart w:id="75" w:name="_Toc485997147"/>
      <w:bookmarkEnd w:id="72"/>
      <w:r>
        <w:rPr>
          <w:rFonts w:ascii="Times New Roman" w:eastAsia="Times New Roman" w:hAnsi="Times New Roman"/>
          <w:i/>
          <w:noProof/>
          <w:sz w:val="24"/>
          <w:lang w:eastAsia="en-GB"/>
        </w:rPr>
        <w:t>3.4.1.</w:t>
      </w:r>
      <w:r>
        <w:rPr>
          <w:rFonts w:ascii="Times New Roman" w:eastAsia="Times New Roman" w:hAnsi="Times New Roman"/>
          <w:i/>
          <w:noProof/>
          <w:sz w:val="24"/>
          <w:lang w:eastAsia="en-GB"/>
        </w:rPr>
        <w:tab/>
        <w:t>Programming period 2007-2013</w:t>
      </w:r>
      <w:bookmarkEnd w:id="75"/>
    </w:p>
    <w:p>
      <w:pPr>
        <w:spacing w:before="120" w:after="120" w:line="240" w:lineRule="auto"/>
        <w:ind w:left="850"/>
        <w:jc w:val="both"/>
        <w:rPr>
          <w:rFonts w:ascii="Times New Roman" w:eastAsia="Times New Roman" w:hAnsi="Times New Roman"/>
          <w:noProof/>
          <w:sz w:val="24"/>
          <w:lang w:eastAsia="en-GB"/>
        </w:rPr>
      </w:pPr>
      <w:r>
        <w:rPr>
          <w:rFonts w:ascii="Times New Roman" w:eastAsia="Times New Roman" w:hAnsi="Times New Roman"/>
          <w:noProof/>
          <w:sz w:val="24"/>
          <w:lang w:eastAsia="en-GB"/>
        </w:rPr>
        <w:t xml:space="preserve">Graph 2 presents the absorption rate of rural development programmes 2007-2013 per Member State: payments from the beginning of the programming period till 31 December 2016, including closure payments for the programmes that have been already closed by this date, compared to the total 2007-2013 allocation. </w:t>
      </w:r>
    </w:p>
    <w:p>
      <w:pPr>
        <w:spacing w:before="120" w:after="120" w:line="240" w:lineRule="auto"/>
        <w:ind w:left="850"/>
        <w:jc w:val="both"/>
        <w:rPr>
          <w:rFonts w:ascii="Times New Roman" w:eastAsia="Times New Roman" w:hAnsi="Times New Roman"/>
          <w:noProof/>
          <w:sz w:val="24"/>
          <w:lang w:eastAsia="en-GB"/>
        </w:rPr>
      </w:pPr>
      <w:r>
        <w:rPr>
          <w:rFonts w:ascii="Times New Roman" w:eastAsia="Times New Roman" w:hAnsi="Times New Roman"/>
          <w:noProof/>
          <w:sz w:val="24"/>
          <w:lang w:eastAsia="en-GB"/>
        </w:rPr>
        <w:t>Until the end of 2016 the application of the N+2 rule has resulted in decommitments amounting in total to EUR 1 722 million. This amount relates to years 2008-2013.</w:t>
      </w:r>
    </w:p>
    <w:p>
      <w:pPr>
        <w:keepNext/>
        <w:tabs>
          <w:tab w:val="left" w:pos="850"/>
        </w:tabs>
        <w:spacing w:before="240" w:after="120" w:line="240" w:lineRule="auto"/>
        <w:ind w:left="850" w:hanging="850"/>
        <w:jc w:val="both"/>
        <w:outlineLvl w:val="2"/>
        <w:rPr>
          <w:rFonts w:ascii="Times New Roman" w:eastAsia="Times New Roman" w:hAnsi="Times New Roman"/>
          <w:i/>
          <w:noProof/>
          <w:sz w:val="24"/>
          <w:lang w:eastAsia="en-GB"/>
        </w:rPr>
      </w:pPr>
      <w:bookmarkStart w:id="76" w:name="_Toc485997148"/>
      <w:r>
        <w:rPr>
          <w:rFonts w:ascii="Times New Roman" w:eastAsia="Times New Roman" w:hAnsi="Times New Roman"/>
          <w:i/>
          <w:noProof/>
          <w:sz w:val="24"/>
          <w:lang w:eastAsia="en-GB"/>
        </w:rPr>
        <w:t>3.4.2.</w:t>
      </w:r>
      <w:r>
        <w:rPr>
          <w:rFonts w:ascii="Times New Roman" w:eastAsia="Times New Roman" w:hAnsi="Times New Roman"/>
          <w:i/>
          <w:noProof/>
          <w:sz w:val="24"/>
          <w:lang w:eastAsia="en-GB"/>
        </w:rPr>
        <w:tab/>
        <w:t>Programming period 2014-2020</w:t>
      </w:r>
      <w:bookmarkEnd w:id="76"/>
    </w:p>
    <w:p>
      <w:pPr>
        <w:spacing w:before="120" w:after="120" w:line="240" w:lineRule="auto"/>
        <w:ind w:left="840"/>
        <w:jc w:val="both"/>
        <w:rPr>
          <w:rFonts w:ascii="Times New Roman" w:eastAsia="Times New Roman" w:hAnsi="Times New Roman"/>
          <w:noProof/>
          <w:sz w:val="24"/>
          <w:lang w:eastAsia="en-GB"/>
        </w:rPr>
      </w:pPr>
      <w:r>
        <w:rPr>
          <w:rFonts w:ascii="Times New Roman" w:eastAsia="Times New Roman" w:hAnsi="Times New Roman"/>
          <w:noProof/>
          <w:sz w:val="24"/>
          <w:lang w:eastAsia="en-GB"/>
        </w:rPr>
        <w:t>Graph 3 presents the absorption rate of rural development programmes 2014-2020 per Member State: payments from the beginning of the programming period including payments made for the 4</w:t>
      </w:r>
      <w:r>
        <w:rPr>
          <w:rFonts w:ascii="Times New Roman" w:eastAsia="Times New Roman" w:hAnsi="Times New Roman"/>
          <w:noProof/>
          <w:sz w:val="24"/>
          <w:vertAlign w:val="superscript"/>
          <w:lang w:eastAsia="en-GB"/>
        </w:rPr>
        <w:t>th</w:t>
      </w:r>
      <w:r>
        <w:rPr>
          <w:rFonts w:ascii="Times New Roman" w:eastAsia="Times New Roman" w:hAnsi="Times New Roman"/>
          <w:noProof/>
          <w:sz w:val="24"/>
          <w:lang w:eastAsia="en-GB"/>
        </w:rPr>
        <w:t xml:space="preserve"> quarter of 2016 that is reimbursed in financial year 2017 compared to the total 2014-2020 allocation.</w:t>
      </w:r>
    </w:p>
    <w:p>
      <w:pPr>
        <w:spacing w:before="120" w:after="120" w:line="240" w:lineRule="auto"/>
        <w:ind w:left="840"/>
        <w:jc w:val="both"/>
        <w:rPr>
          <w:rFonts w:ascii="Times New Roman" w:eastAsia="Times New Roman" w:hAnsi="Times New Roman"/>
          <w:noProof/>
          <w:sz w:val="24"/>
          <w:lang w:eastAsia="en-GB"/>
        </w:rPr>
        <w:sectPr>
          <w:headerReference w:type="even" r:id="rId35"/>
          <w:headerReference w:type="default" r:id="rId36"/>
          <w:footerReference w:type="even" r:id="rId37"/>
          <w:footerReference w:type="default" r:id="rId38"/>
          <w:headerReference w:type="first" r:id="rId39"/>
          <w:footerReference w:type="first" r:id="rId40"/>
          <w:pgSz w:w="11907" w:h="16839" w:code="9"/>
          <w:pgMar w:top="1134" w:right="1418" w:bottom="1134" w:left="1418" w:header="709" w:footer="709" w:gutter="0"/>
          <w:cols w:space="708"/>
          <w:docGrid w:linePitch="360"/>
        </w:sectPr>
      </w:pPr>
      <w:r>
        <w:rPr>
          <w:rFonts w:ascii="Times New Roman" w:eastAsia="Times New Roman" w:hAnsi="Times New Roman"/>
          <w:noProof/>
          <w:sz w:val="24"/>
          <w:lang w:eastAsia="en-GB"/>
        </w:rPr>
        <w:t xml:space="preserve"> </w:t>
      </w:r>
    </w:p>
    <w:p>
      <w:pPr>
        <w:spacing w:before="120" w:after="120" w:line="240" w:lineRule="auto"/>
        <w:jc w:val="both"/>
        <w:rPr>
          <w:noProof/>
          <w:lang w:eastAsia="en-GB"/>
        </w:rPr>
      </w:pPr>
      <w:r>
        <w:rPr>
          <w:noProof/>
          <w:lang w:val="en-US"/>
        </w:rPr>
        <w:drawing>
          <wp:inline distT="0" distB="0" distL="0" distR="0">
            <wp:extent cx="8818190" cy="49149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817111" cy="4914298"/>
                    </a:xfrm>
                    <a:prstGeom prst="rect">
                      <a:avLst/>
                    </a:prstGeom>
                    <a:noFill/>
                  </pic:spPr>
                </pic:pic>
              </a:graphicData>
            </a:graphic>
          </wp:inline>
        </w:drawing>
      </w:r>
    </w:p>
    <w:p>
      <w:pPr>
        <w:spacing w:before="120" w:after="120" w:line="240" w:lineRule="auto"/>
        <w:jc w:val="both"/>
        <w:rPr>
          <w:noProof/>
          <w:lang w:eastAsia="en-GB"/>
        </w:rPr>
      </w:pPr>
      <w:r>
        <w:rPr>
          <w:noProof/>
          <w:lang w:eastAsia="en-GB"/>
        </w:rPr>
        <w:pict>
          <v:shape id="_x0000_i1027" type="#_x0000_t75" style="width:669.75pt;height:440.25pt;mso-position-horizontal-relative:char;mso-position-vertical-relative:line">
            <v:imagedata r:id="rId42" o:title=""/>
          </v:shape>
        </w:pict>
      </w:r>
    </w:p>
    <w:sectPr>
      <w:headerReference w:type="even" r:id="rId43"/>
      <w:headerReference w:type="default" r:id="rId44"/>
      <w:footerReference w:type="even" r:id="rId45"/>
      <w:footerReference w:type="default" r:id="rId46"/>
      <w:headerReference w:type="first" r:id="rId47"/>
      <w:footerReference w:type="first" r:id="rId4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14</w:t>
    </w:r>
    <w:r>
      <w:rPr>
        <w:noProof/>
      </w:rPr>
      <w:fldChar w:fldCharType="end"/>
    </w:r>
  </w:p>
  <w:p>
    <w:pPr>
      <w:pStyle w:val="Footer"/>
      <w:rPr>
        <w:sz w:val="16"/>
        <w:szCs w:val="16"/>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18</w:t>
    </w:r>
    <w:r>
      <w:rPr>
        <w:noProof/>
      </w:rPr>
      <w:fldChar w:fldCharType="end"/>
    </w:r>
  </w:p>
  <w:p>
    <w:pPr>
      <w:pStyle w:val="Footer"/>
      <w:rPr>
        <w:sz w:val="16"/>
        <w:szCs w:val="16"/>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20</w:t>
    </w:r>
    <w:r>
      <w:rPr>
        <w:noProof/>
      </w:rPr>
      <w:fldChar w:fldCharType="end"/>
    </w:r>
  </w:p>
  <w:p>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3</w:t>
    </w:r>
    <w:r>
      <w:rPr>
        <w:noProof/>
      </w:rPr>
      <w:fldChar w:fldCharType="end"/>
    </w:r>
  </w:p>
  <w:p>
    <w:pPr>
      <w:pStyle w:val="Footer"/>
      <w:rPr>
        <w:sz w:val="16"/>
        <w:szCs w:val="1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w:t>
      </w:r>
      <w:r>
        <w:tab/>
      </w:r>
      <w:r>
        <w:rPr>
          <w:noProof/>
        </w:rPr>
        <w:t>Following a UK High Court Consent Order of 12 December 2014, the commitments of the UK-Wales programme were reduced by EUR 4.2 million, affecting the years 2016-2020 which was added to the direct payments ceiling of the UK. The underexecution of EUR 960 000 is the annual impact of the overall decrease in year 2016.</w:t>
      </w:r>
    </w:p>
  </w:footnote>
  <w:footnote w:id="3">
    <w:p>
      <w:pPr>
        <w:pStyle w:val="FootnoteText"/>
      </w:pPr>
      <w:r>
        <w:rPr>
          <w:rStyle w:val="FootnoteReference"/>
        </w:rPr>
        <w:footnoteRef/>
      </w:r>
      <w:r>
        <w:t xml:space="preserve"> </w:t>
      </w:r>
      <w:r>
        <w:tab/>
        <w:t>COMMISSION DELEGATED REGULATION (EU) 2016/142 of 2 December 2015 amending Annex I to Regulation (EU) No 1305/2013 of the European Parliament and of the Council and Annex III to Regulation (EU) No 1307/2013 of the European Parliament and of the Council (OJ L28 of 4.2.2016, page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16"/>
        <w:szCs w:val="16"/>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16"/>
        <w:szCs w:val="16"/>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16"/>
        <w:szCs w:val="16"/>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D5905"/>
    <w:multiLevelType w:val="singleLevel"/>
    <w:tmpl w:val="6CB4B73E"/>
    <w:name w:val="List Bullet 2"/>
    <w:lvl w:ilvl="0">
      <w:start w:val="1"/>
      <w:numFmt w:val="bullet"/>
      <w:lvlRestart w:val="0"/>
      <w:lvlText w:val=""/>
      <w:lvlJc w:val="left"/>
      <w:pPr>
        <w:tabs>
          <w:tab w:val="num" w:pos="1134"/>
        </w:tabs>
        <w:ind w:left="1134" w:hanging="283"/>
      </w:pPr>
      <w:rPr>
        <w:rFonts w:ascii="Symbol" w:hAnsi="Symbol" w:hint="default"/>
      </w:rPr>
    </w:lvl>
  </w:abstractNum>
  <w:abstractNum w:abstractNumId="1">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B3C78B8"/>
    <w:multiLevelType w:val="multilevel"/>
    <w:tmpl w:val="2ED4F4D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8">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96D67A1"/>
    <w:multiLevelType w:val="singleLevel"/>
    <w:tmpl w:val="9AC8831A"/>
    <w:name w:val="0,7215801"/>
    <w:lvl w:ilvl="0">
      <w:start w:val="1"/>
      <w:numFmt w:val="bullet"/>
      <w:lvlRestart w:val="0"/>
      <w:lvlText w:val="–"/>
      <w:lvlJc w:val="left"/>
      <w:pPr>
        <w:tabs>
          <w:tab w:val="num" w:pos="1134"/>
        </w:tabs>
        <w:ind w:left="1134" w:hanging="283"/>
      </w:pPr>
      <w:rPr>
        <w:rFonts w:ascii="Times New Roman" w:hAnsi="Times New Roman" w:cs="Times New Roman"/>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4">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5">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6">
    <w:nsid w:val="62A8042C"/>
    <w:multiLevelType w:val="singleLevel"/>
    <w:tmpl w:val="CCF20C06"/>
    <w:name w:val="0,4528865"/>
    <w:lvl w:ilvl="0">
      <w:start w:val="1"/>
      <w:numFmt w:val="bullet"/>
      <w:lvlRestart w:val="0"/>
      <w:lvlText w:val="–"/>
      <w:lvlJc w:val="left"/>
      <w:pPr>
        <w:tabs>
          <w:tab w:val="num" w:pos="1134"/>
        </w:tabs>
        <w:ind w:left="1134" w:hanging="283"/>
      </w:pPr>
      <w:rPr>
        <w:rFonts w:ascii="Times New Roman" w:hAnsi="Times New Roman" w:cs="Times New Roman"/>
      </w:r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nsid w:val="6A6901C1"/>
    <w:multiLevelType w:val="singleLevel"/>
    <w:tmpl w:val="208841AE"/>
    <w:name w:val="Point"/>
    <w:lvl w:ilvl="0">
      <w:start w:val="1"/>
      <w:numFmt w:val="bullet"/>
      <w:lvlRestart w:val="0"/>
      <w:lvlText w:val=""/>
      <w:lvlJc w:val="left"/>
      <w:pPr>
        <w:tabs>
          <w:tab w:val="num" w:pos="1134"/>
        </w:tabs>
        <w:ind w:left="1134" w:hanging="283"/>
      </w:pPr>
      <w:rPr>
        <w:rFonts w:ascii="Symbol" w:hAnsi="Symbol" w:hint="default"/>
      </w:rPr>
    </w:lvl>
  </w:abstractNum>
  <w:abstractNum w:abstractNumId="3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1">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9C96D36"/>
    <w:multiLevelType w:val="multilevel"/>
    <w:tmpl w:val="E2CADEF8"/>
    <w:name w:val="0,0873878"/>
    <w:lvl w:ilvl="0">
      <w:start w:val="1"/>
      <w:numFmt w:val="decimal"/>
      <w:lvlRestart w:val="0"/>
      <w:lvlText w:val="(%1)"/>
      <w:lvlJc w:val="left"/>
      <w:pPr>
        <w:tabs>
          <w:tab w:val="num" w:pos="1560"/>
        </w:tabs>
        <w:ind w:left="1560" w:hanging="709"/>
      </w:pPr>
    </w:lvl>
    <w:lvl w:ilvl="1">
      <w:start w:val="1"/>
      <w:numFmt w:val="lowerLetter"/>
      <w:lvlText w:val="(%2)"/>
      <w:lvlJc w:val="left"/>
      <w:pPr>
        <w:tabs>
          <w:tab w:val="num" w:pos="2268"/>
        </w:tabs>
        <w:ind w:left="2268" w:hanging="708"/>
      </w:pPr>
    </w:lvl>
    <w:lvl w:ilvl="2">
      <w:start w:val="1"/>
      <w:numFmt w:val="bullet"/>
      <w:lvlText w:val="–"/>
      <w:lvlJc w:val="left"/>
      <w:pPr>
        <w:tabs>
          <w:tab w:val="num" w:pos="2977"/>
        </w:tabs>
        <w:ind w:left="2977" w:hanging="709"/>
      </w:pPr>
      <w:rPr>
        <w:rFonts w:ascii="Times New Roman" w:hAnsi="Times New Roman" w:cs="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4">
    <w:nsid w:val="7D8820A0"/>
    <w:multiLevelType w:val="singleLevel"/>
    <w:tmpl w:val="54F6C7B4"/>
    <w:name w:val="1,378596E-02"/>
    <w:lvl w:ilvl="0">
      <w:start w:val="1"/>
      <w:numFmt w:val="bullet"/>
      <w:lvlRestart w:val="0"/>
      <w:lvlText w:val="–"/>
      <w:lvlJc w:val="left"/>
      <w:pPr>
        <w:tabs>
          <w:tab w:val="num" w:pos="1134"/>
        </w:tabs>
        <w:ind w:left="1134" w:hanging="283"/>
      </w:pPr>
      <w:rPr>
        <w:rFonts w:ascii="Times New Roman" w:hAnsi="Times New Roman" w:cs="Times New Roman"/>
      </w:rPr>
    </w:lvl>
  </w:abstractNum>
  <w:num w:numId="1">
    <w:abstractNumId w:val="13"/>
    <w:lvlOverride w:ilvl="0">
      <w:startOverride w:val="1"/>
    </w:lvlOverride>
  </w:num>
  <w:num w:numId="2">
    <w:abstractNumId w:val="22"/>
  </w:num>
  <w:num w:numId="3">
    <w:abstractNumId w:val="28"/>
  </w:num>
  <w:num w:numId="4">
    <w:abstractNumId w:val="8"/>
  </w:num>
  <w:num w:numId="5">
    <w:abstractNumId w:val="14"/>
  </w:num>
  <w:num w:numId="6">
    <w:abstractNumId w:val="4"/>
  </w:num>
  <w:num w:numId="7">
    <w:abstractNumId w:val="27"/>
  </w:num>
  <w:num w:numId="8">
    <w:abstractNumId w:val="2"/>
  </w:num>
  <w:num w:numId="9">
    <w:abstractNumId w:val="15"/>
  </w:num>
  <w:num w:numId="10">
    <w:abstractNumId w:val="20"/>
  </w:num>
  <w:num w:numId="11">
    <w:abstractNumId w:val="21"/>
  </w:num>
  <w:num w:numId="12">
    <w:abstractNumId w:val="7"/>
  </w:num>
  <w:num w:numId="13">
    <w:abstractNumId w:val="18"/>
  </w:num>
  <w:num w:numId="14">
    <w:abstractNumId w:val="33"/>
  </w:num>
  <w:num w:numId="15">
    <w:abstractNumId w:val="12"/>
  </w:num>
  <w:num w:numId="16">
    <w:abstractNumId w:val="5"/>
  </w:num>
  <w:num w:numId="17">
    <w:abstractNumId w:val="11"/>
  </w:num>
  <w:num w:numId="18">
    <w:abstractNumId w:val="25"/>
  </w:num>
  <w:num w:numId="19">
    <w:abstractNumId w:val="30"/>
  </w:num>
  <w:num w:numId="20">
    <w:abstractNumId w:val="9"/>
  </w:num>
  <w:num w:numId="21">
    <w:abstractNumId w:val="24"/>
  </w:num>
  <w:num w:numId="22">
    <w:abstractNumId w:val="23"/>
  </w:num>
  <w:num w:numId="23">
    <w:abstractNumId w:val="16"/>
  </w:num>
  <w:num w:numId="24">
    <w:abstractNumId w:val="17"/>
  </w:num>
  <w:num w:numId="25">
    <w:abstractNumId w:val="3"/>
  </w:num>
  <w:num w:numId="26">
    <w:abstractNumId w:val="10"/>
  </w:num>
  <w:num w:numId="27">
    <w:abstractNumId w:val="1"/>
  </w:num>
  <w:num w:numId="28">
    <w:abstractNumId w:val="6"/>
  </w:num>
  <w:num w:numId="29">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oNotTrackMoves/>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ocStatus" w:val="Green"/>
    <w:docVar w:name="LW_CONFIDENCE" w:val=" "/>
    <w:docVar w:name="LW_CONST_RESTREINT_UE" w:val="RESTREINT UE"/>
    <w:docVar w:name="LW_CORRIGENDUM" w:val="&lt;UNUSED&gt;"/>
    <w:docVar w:name="LW_COVERPAGE_GUID" w:val="1F81793313304B2FB53830810DED37A3"/>
    <w:docVar w:name="LW_CROSSREFERENCE" w:val="&lt;UNUSED&gt;"/>
    <w:docVar w:name="LW_DocType" w:val="NORMAL"/>
    <w:docVar w:name="LW_EMISSION" w:val="27.9.2017"/>
    <w:docVar w:name="LW_EMISSION_ISODATE" w:val="2017-09-27"/>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554"/>
    <w:docVar w:name="LW_REF.INTERNE" w:val="&lt;UNUSED&gt;"/>
    <w:docVar w:name="LW_SOUS.TITRE.OBJ.CP" w:val="&lt;UNUSED&gt;"/>
    <w:docVar w:name="LW_SUPERTITRE" w:val="&lt;UNUSED&gt;"/>
    <w:docVar w:name="LW_TITRE.OBJ.CP" w:val="10th FINANCIAL REPORT FROM THE COMMISSION TO THE EUROPEAN PARLIAMENT AND THE COUNCIL _x000b_on the EUROPEAN AGRICULTURAL FUND FOR RURAL DEVELOPMENT (EAFRD)_x000b_2016 FINANCIAL YEAR"/>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Text1"/>
    <w:link w:val="Heading1Char"/>
    <w:uiPriority w:val="9"/>
    <w:qFormat/>
    <w:pPr>
      <w:keepNext/>
      <w:numPr>
        <w:numId w:val="7"/>
      </w:numPr>
      <w:spacing w:before="360" w:after="120" w:line="240" w:lineRule="auto"/>
      <w:jc w:val="both"/>
      <w:outlineLvl w:val="0"/>
    </w:pPr>
    <w:rPr>
      <w:rFonts w:ascii="Times New Roman" w:eastAsia="Times New Roman" w:hAnsi="Times New Roman"/>
      <w:b/>
      <w:bCs/>
      <w:smallCaps/>
      <w:sz w:val="24"/>
      <w:szCs w:val="28"/>
      <w:lang w:eastAsia="en-GB"/>
    </w:rPr>
  </w:style>
  <w:style w:type="paragraph" w:styleId="Heading2">
    <w:name w:val="heading 2"/>
    <w:basedOn w:val="Normal"/>
    <w:next w:val="Text1"/>
    <w:link w:val="Heading2Char"/>
    <w:uiPriority w:val="9"/>
    <w:qFormat/>
    <w:pPr>
      <w:keepNext/>
      <w:numPr>
        <w:ilvl w:val="1"/>
        <w:numId w:val="7"/>
      </w:numPr>
      <w:spacing w:before="120" w:after="120" w:line="240" w:lineRule="auto"/>
      <w:jc w:val="both"/>
      <w:outlineLvl w:val="1"/>
    </w:pPr>
    <w:rPr>
      <w:rFonts w:ascii="Times New Roman" w:eastAsia="Times New Roman" w:hAnsi="Times New Roman"/>
      <w:b/>
      <w:bCs/>
      <w:sz w:val="24"/>
      <w:szCs w:val="26"/>
      <w:lang w:eastAsia="en-GB"/>
    </w:rPr>
  </w:style>
  <w:style w:type="paragraph" w:styleId="Heading3">
    <w:name w:val="heading 3"/>
    <w:basedOn w:val="Normal"/>
    <w:next w:val="Text1"/>
    <w:link w:val="Heading3Char"/>
    <w:uiPriority w:val="9"/>
    <w:qFormat/>
    <w:pPr>
      <w:keepNext/>
      <w:numPr>
        <w:ilvl w:val="2"/>
        <w:numId w:val="7"/>
      </w:numPr>
      <w:spacing w:before="120" w:after="120" w:line="240" w:lineRule="auto"/>
      <w:jc w:val="both"/>
      <w:outlineLvl w:val="2"/>
    </w:pPr>
    <w:rPr>
      <w:rFonts w:ascii="Times New Roman" w:eastAsia="Times New Roman" w:hAnsi="Times New Roman"/>
      <w:bCs/>
      <w:i/>
      <w:sz w:val="24"/>
      <w:lang w:eastAsia="en-GB"/>
    </w:rPr>
  </w:style>
  <w:style w:type="paragraph" w:styleId="Heading4">
    <w:name w:val="heading 4"/>
    <w:basedOn w:val="Normal"/>
    <w:next w:val="Text1"/>
    <w:link w:val="Heading4Char"/>
    <w:uiPriority w:val="9"/>
    <w:qFormat/>
    <w:pPr>
      <w:keepNext/>
      <w:numPr>
        <w:ilvl w:val="3"/>
        <w:numId w:val="7"/>
      </w:numPr>
      <w:spacing w:before="120" w:after="120" w:line="240" w:lineRule="auto"/>
      <w:jc w:val="both"/>
      <w:outlineLvl w:val="3"/>
    </w:pPr>
    <w:rPr>
      <w:rFonts w:ascii="Times New Roman" w:eastAsia="Times New Roman" w:hAnsi="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b/>
      <w:bCs/>
      <w:smallCaps/>
      <w:sz w:val="24"/>
      <w:szCs w:val="28"/>
    </w:rPr>
  </w:style>
  <w:style w:type="character" w:customStyle="1" w:styleId="Heading2Char">
    <w:name w:val="Heading 2 Char"/>
    <w:link w:val="Heading2"/>
    <w:uiPriority w:val="9"/>
    <w:rPr>
      <w:rFonts w:ascii="Times New Roman" w:eastAsia="Times New Roman" w:hAnsi="Times New Roman"/>
      <w:b/>
      <w:bCs/>
      <w:sz w:val="24"/>
      <w:szCs w:val="26"/>
    </w:rPr>
  </w:style>
  <w:style w:type="character" w:customStyle="1" w:styleId="Heading3Char">
    <w:name w:val="Heading 3 Char"/>
    <w:link w:val="Heading3"/>
    <w:uiPriority w:val="9"/>
    <w:rPr>
      <w:rFonts w:ascii="Times New Roman" w:eastAsia="Times New Roman" w:hAnsi="Times New Roman"/>
      <w:bCs/>
      <w:i/>
      <w:sz w:val="24"/>
      <w:szCs w:val="22"/>
    </w:rPr>
  </w:style>
  <w:style w:type="character" w:customStyle="1" w:styleId="Heading4Char">
    <w:name w:val="Heading 4 Char"/>
    <w:link w:val="Heading4"/>
    <w:uiPriority w:val="9"/>
    <w:rPr>
      <w:rFonts w:ascii="Times New Roman" w:eastAsia="Times New Roman" w:hAnsi="Times New Roman"/>
      <w:bCs/>
      <w:iCs/>
      <w:sz w:val="24"/>
      <w:szCs w:val="22"/>
    </w:rPr>
  </w:style>
  <w:style w:type="numbering" w:customStyle="1" w:styleId="NoList1">
    <w:name w:val="No List1"/>
    <w:next w:val="NoList"/>
    <w:uiPriority w:val="99"/>
    <w:semiHidden/>
    <w:unhideWhenUsed/>
  </w:style>
  <w:style w:type="paragraph" w:styleId="ListNumber">
    <w:name w:val="List Number"/>
    <w:basedOn w:val="Normal"/>
    <w:pPr>
      <w:numPr>
        <w:numId w:val="25"/>
      </w:numPr>
      <w:spacing w:after="240" w:line="240" w:lineRule="auto"/>
      <w:jc w:val="both"/>
    </w:pPr>
    <w:rPr>
      <w:rFonts w:ascii="Times New Roman" w:eastAsia="Times New Roman" w:hAnsi="Times New Roman"/>
      <w:sz w:val="24"/>
      <w:szCs w:val="20"/>
    </w:rPr>
  </w:style>
  <w:style w:type="paragraph" w:customStyle="1" w:styleId="ListBullet1">
    <w:name w:val="List Bullet 1"/>
    <w:basedOn w:val="Text1"/>
    <w:pPr>
      <w:numPr>
        <w:numId w:val="16"/>
      </w:numPr>
      <w:spacing w:before="0" w:after="240"/>
    </w:pPr>
    <w:rPr>
      <w:szCs w:val="20"/>
      <w:lang w:eastAsia="en-US"/>
    </w:rPr>
  </w:style>
  <w:style w:type="paragraph" w:customStyle="1" w:styleId="ListDash1">
    <w:name w:val="List Dash 1"/>
    <w:basedOn w:val="Text1"/>
    <w:pPr>
      <w:numPr>
        <w:numId w:val="21"/>
      </w:numPr>
      <w:spacing w:before="0" w:after="240"/>
    </w:pPr>
    <w:rPr>
      <w:szCs w:val="20"/>
      <w:lang w:eastAsia="en-US"/>
    </w:rPr>
  </w:style>
  <w:style w:type="paragraph" w:customStyle="1" w:styleId="ListDash2">
    <w:name w:val="List Dash 2"/>
    <w:basedOn w:val="Text2"/>
    <w:pPr>
      <w:numPr>
        <w:numId w:val="22"/>
      </w:numPr>
      <w:spacing w:before="0" w:after="240"/>
    </w:pPr>
    <w:rPr>
      <w:szCs w:val="20"/>
      <w:lang w:eastAsia="en-US"/>
    </w:rPr>
  </w:style>
  <w:style w:type="paragraph" w:customStyle="1" w:styleId="ListNumberLevel2">
    <w:name w:val="List Number (Level 2)"/>
    <w:basedOn w:val="Normal"/>
    <w:pPr>
      <w:numPr>
        <w:ilvl w:val="1"/>
        <w:numId w:val="25"/>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
    <w:pPr>
      <w:numPr>
        <w:ilvl w:val="2"/>
        <w:numId w:val="25"/>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
    <w:pPr>
      <w:numPr>
        <w:ilvl w:val="3"/>
        <w:numId w:val="25"/>
      </w:numPr>
      <w:spacing w:after="240" w:line="240" w:lineRule="auto"/>
      <w:jc w:val="both"/>
    </w:pPr>
    <w:rPr>
      <w:rFonts w:ascii="Times New Roman" w:eastAsia="Times New Roman" w:hAnsi="Times New Roman"/>
      <w:sz w:val="24"/>
      <w:szCs w:val="20"/>
    </w:rPr>
  </w:style>
  <w:style w:type="paragraph" w:customStyle="1" w:styleId="Annexetitreacte">
    <w:name w:val="Annexe titre (acte)"/>
    <w:basedOn w:val="Normal"/>
    <w:next w:val="Normal"/>
    <w:pPr>
      <w:spacing w:before="120" w:after="120" w:line="240" w:lineRule="auto"/>
      <w:jc w:val="center"/>
    </w:pPr>
    <w:rPr>
      <w:rFonts w:ascii="Times New Roman" w:eastAsia="Times New Roman" w:hAnsi="Times New Roman"/>
      <w:b/>
      <w:sz w:val="24"/>
      <w:u w:val="single"/>
      <w:lang w:eastAsia="de-DE"/>
    </w:rPr>
  </w:style>
  <w:style w:type="paragraph" w:customStyle="1" w:styleId="Annexetitreexposglobal">
    <w:name w:val="Annexe titre (exposé global)"/>
    <w:basedOn w:val="Normal"/>
    <w:next w:val="Normal"/>
    <w:pPr>
      <w:spacing w:before="120" w:after="120" w:line="240" w:lineRule="auto"/>
      <w:jc w:val="center"/>
    </w:pPr>
    <w:rPr>
      <w:rFonts w:ascii="Times New Roman" w:eastAsia="Times New Roman" w:hAnsi="Times New Roman"/>
      <w:b/>
      <w:sz w:val="24"/>
      <w:u w:val="single"/>
      <w:lang w:eastAsia="de-DE"/>
    </w:rPr>
  </w:style>
  <w:style w:type="paragraph" w:customStyle="1" w:styleId="Annexetitrefichefinacte">
    <w:name w:val="Annexe titre (fiche fin. acte)"/>
    <w:basedOn w:val="Normal"/>
    <w:next w:val="Normal"/>
    <w:pPr>
      <w:spacing w:before="120" w:after="120" w:line="240" w:lineRule="auto"/>
      <w:jc w:val="center"/>
    </w:pPr>
    <w:rPr>
      <w:rFonts w:ascii="Times New Roman" w:eastAsia="Times New Roman" w:hAnsi="Times New Roman"/>
      <w:b/>
      <w:sz w:val="24"/>
      <w:u w:val="single"/>
      <w:lang w:eastAsia="de-DE"/>
    </w:rPr>
  </w:style>
  <w:style w:type="table" w:styleId="TableGrid">
    <w:name w:val="Table Grid"/>
    <w:basedOn w:val="TableNormal"/>
    <w:pPr>
      <w:spacing w:after="24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Pr>
      <w:rFonts w:cs="Times New Roman"/>
      <w:i/>
      <w:iCs/>
      <w:shd w:val="clear" w:color="auto" w:fill="auto"/>
    </w:rPr>
  </w:style>
  <w:style w:type="paragraph" w:styleId="ListNumber2">
    <w:name w:val="List Number 2"/>
    <w:basedOn w:val="Text2"/>
    <w:pPr>
      <w:numPr>
        <w:numId w:val="27"/>
      </w:numPr>
      <w:spacing w:before="0" w:after="240"/>
    </w:pPr>
    <w:rPr>
      <w:szCs w:val="20"/>
      <w:lang w:eastAsia="en-US"/>
    </w:rPr>
  </w:style>
  <w:style w:type="paragraph" w:styleId="ListNumber3">
    <w:name w:val="List Number 3"/>
    <w:basedOn w:val="Text3"/>
    <w:pPr>
      <w:numPr>
        <w:numId w:val="28"/>
      </w:numPr>
      <w:spacing w:before="0" w:after="240"/>
    </w:pPr>
    <w:rPr>
      <w:szCs w:val="20"/>
      <w:lang w:eastAsia="en-US"/>
    </w:rPr>
  </w:style>
  <w:style w:type="paragraph" w:styleId="ListNumber4">
    <w:name w:val="List Number 4"/>
    <w:basedOn w:val="Text4"/>
    <w:pPr>
      <w:numPr>
        <w:numId w:val="29"/>
      </w:numPr>
      <w:spacing w:before="0" w:after="240"/>
    </w:pPr>
    <w:rPr>
      <w:szCs w:val="20"/>
      <w:lang w:eastAsia="en-US"/>
    </w:rPr>
  </w:style>
  <w:style w:type="paragraph" w:customStyle="1" w:styleId="ListNumber1">
    <w:name w:val="List Number 1"/>
    <w:basedOn w:val="Text1"/>
    <w:pPr>
      <w:numPr>
        <w:numId w:val="26"/>
      </w:numPr>
      <w:spacing w:before="0" w:after="240"/>
    </w:pPr>
    <w:rPr>
      <w:szCs w:val="20"/>
      <w:lang w:eastAsia="en-US"/>
    </w:rPr>
  </w:style>
  <w:style w:type="paragraph" w:customStyle="1" w:styleId="ListNumber1Level2">
    <w:name w:val="List Number 1 (Level 2)"/>
    <w:basedOn w:val="Text1"/>
    <w:pPr>
      <w:numPr>
        <w:ilvl w:val="1"/>
        <w:numId w:val="26"/>
      </w:numPr>
      <w:spacing w:before="0" w:after="240"/>
    </w:pPr>
    <w:rPr>
      <w:szCs w:val="20"/>
      <w:lang w:eastAsia="en-US"/>
    </w:rPr>
  </w:style>
  <w:style w:type="paragraph" w:customStyle="1" w:styleId="ListNumber2Level2">
    <w:name w:val="List Number 2 (Level 2)"/>
    <w:basedOn w:val="Text2"/>
    <w:pPr>
      <w:numPr>
        <w:ilvl w:val="1"/>
        <w:numId w:val="27"/>
      </w:numPr>
      <w:spacing w:before="0" w:after="240"/>
    </w:pPr>
    <w:rPr>
      <w:szCs w:val="20"/>
      <w:lang w:eastAsia="en-US"/>
    </w:rPr>
  </w:style>
  <w:style w:type="paragraph" w:customStyle="1" w:styleId="ListNumber3Level2">
    <w:name w:val="List Number 3 (Level 2)"/>
    <w:basedOn w:val="Text3"/>
    <w:pPr>
      <w:numPr>
        <w:ilvl w:val="1"/>
        <w:numId w:val="28"/>
      </w:numPr>
      <w:spacing w:before="0" w:after="240"/>
    </w:pPr>
    <w:rPr>
      <w:szCs w:val="20"/>
      <w:lang w:eastAsia="en-US"/>
    </w:rPr>
  </w:style>
  <w:style w:type="paragraph" w:customStyle="1" w:styleId="ListNumber4Level2">
    <w:name w:val="List Number 4 (Level 2)"/>
    <w:basedOn w:val="Text4"/>
    <w:pPr>
      <w:numPr>
        <w:ilvl w:val="1"/>
        <w:numId w:val="29"/>
      </w:numPr>
      <w:spacing w:before="0" w:after="240"/>
    </w:pPr>
    <w:rPr>
      <w:szCs w:val="20"/>
      <w:lang w:eastAsia="en-US"/>
    </w:rPr>
  </w:style>
  <w:style w:type="paragraph" w:customStyle="1" w:styleId="ListNumber1Level3">
    <w:name w:val="List Number 1 (Level 3)"/>
    <w:basedOn w:val="Text1"/>
    <w:pPr>
      <w:numPr>
        <w:ilvl w:val="2"/>
        <w:numId w:val="26"/>
      </w:numPr>
      <w:spacing w:before="0" w:after="240"/>
    </w:pPr>
    <w:rPr>
      <w:szCs w:val="20"/>
      <w:lang w:eastAsia="en-US"/>
    </w:rPr>
  </w:style>
  <w:style w:type="paragraph" w:customStyle="1" w:styleId="ListNumber2Level3">
    <w:name w:val="List Number 2 (Level 3)"/>
    <w:basedOn w:val="Text2"/>
    <w:pPr>
      <w:numPr>
        <w:ilvl w:val="2"/>
        <w:numId w:val="27"/>
      </w:numPr>
      <w:spacing w:before="0" w:after="240"/>
    </w:pPr>
    <w:rPr>
      <w:szCs w:val="20"/>
      <w:lang w:eastAsia="en-US"/>
    </w:rPr>
  </w:style>
  <w:style w:type="paragraph" w:customStyle="1" w:styleId="ListNumber3Level3">
    <w:name w:val="List Number 3 (Level 3)"/>
    <w:basedOn w:val="Text3"/>
    <w:pPr>
      <w:numPr>
        <w:ilvl w:val="2"/>
        <w:numId w:val="28"/>
      </w:numPr>
      <w:spacing w:before="0" w:after="240"/>
    </w:pPr>
    <w:rPr>
      <w:szCs w:val="20"/>
      <w:lang w:eastAsia="en-US"/>
    </w:rPr>
  </w:style>
  <w:style w:type="paragraph" w:customStyle="1" w:styleId="ListNumber4Level3">
    <w:name w:val="List Number 4 (Level 3)"/>
    <w:basedOn w:val="Text4"/>
    <w:pPr>
      <w:numPr>
        <w:ilvl w:val="2"/>
        <w:numId w:val="29"/>
      </w:numPr>
      <w:spacing w:before="0" w:after="240"/>
    </w:pPr>
    <w:rPr>
      <w:szCs w:val="20"/>
      <w:lang w:eastAsia="en-US"/>
    </w:rPr>
  </w:style>
  <w:style w:type="paragraph" w:customStyle="1" w:styleId="ListNumber1Level4">
    <w:name w:val="List Number 1 (Level 4)"/>
    <w:basedOn w:val="Text1"/>
    <w:pPr>
      <w:numPr>
        <w:ilvl w:val="3"/>
        <w:numId w:val="26"/>
      </w:numPr>
      <w:spacing w:before="0" w:after="240"/>
    </w:pPr>
    <w:rPr>
      <w:szCs w:val="20"/>
      <w:lang w:eastAsia="en-US"/>
    </w:rPr>
  </w:style>
  <w:style w:type="paragraph" w:customStyle="1" w:styleId="ListNumber2Level4">
    <w:name w:val="List Number 2 (Level 4)"/>
    <w:basedOn w:val="Text2"/>
    <w:pPr>
      <w:numPr>
        <w:ilvl w:val="3"/>
        <w:numId w:val="27"/>
      </w:numPr>
      <w:spacing w:before="0" w:after="240"/>
    </w:pPr>
    <w:rPr>
      <w:szCs w:val="20"/>
      <w:lang w:eastAsia="en-US"/>
    </w:rPr>
  </w:style>
  <w:style w:type="paragraph" w:customStyle="1" w:styleId="ListNumber3Level4">
    <w:name w:val="List Number 3 (Level 4)"/>
    <w:basedOn w:val="Text3"/>
    <w:pPr>
      <w:numPr>
        <w:ilvl w:val="3"/>
        <w:numId w:val="28"/>
      </w:numPr>
      <w:spacing w:before="0" w:after="240"/>
    </w:pPr>
    <w:rPr>
      <w:szCs w:val="20"/>
      <w:lang w:eastAsia="en-US"/>
    </w:rPr>
  </w:style>
  <w:style w:type="paragraph" w:customStyle="1" w:styleId="ListNumber4Level4">
    <w:name w:val="List Number 4 (Level 4)"/>
    <w:basedOn w:val="Text4"/>
    <w:pPr>
      <w:numPr>
        <w:ilvl w:val="3"/>
        <w:numId w:val="29"/>
      </w:numPr>
      <w:spacing w:before="0" w:after="240"/>
    </w:pPr>
    <w:rPr>
      <w:szCs w:val="20"/>
      <w:lang w:eastAsia="en-US"/>
    </w:rPr>
  </w:style>
  <w:style w:type="paragraph" w:styleId="ListBullet">
    <w:name w:val="List Bullet"/>
    <w:basedOn w:val="Normal"/>
    <w:pPr>
      <w:numPr>
        <w:numId w:val="15"/>
      </w:numPr>
      <w:spacing w:after="240" w:line="240" w:lineRule="auto"/>
      <w:jc w:val="both"/>
    </w:pPr>
    <w:rPr>
      <w:rFonts w:ascii="Times New Roman" w:eastAsia="Times New Roman" w:hAnsi="Times New Roman"/>
      <w:sz w:val="24"/>
      <w:szCs w:val="20"/>
    </w:rPr>
  </w:style>
  <w:style w:type="paragraph" w:styleId="ListBullet2">
    <w:name w:val="List Bullet 2"/>
    <w:basedOn w:val="Text2"/>
    <w:pPr>
      <w:numPr>
        <w:numId w:val="17"/>
      </w:numPr>
      <w:spacing w:before="0" w:after="240"/>
    </w:pPr>
    <w:rPr>
      <w:szCs w:val="20"/>
      <w:lang w:eastAsia="en-US"/>
    </w:rPr>
  </w:style>
  <w:style w:type="paragraph" w:styleId="ListBullet3">
    <w:name w:val="List Bullet 3"/>
    <w:basedOn w:val="Text3"/>
    <w:pPr>
      <w:numPr>
        <w:numId w:val="18"/>
      </w:numPr>
      <w:spacing w:before="0" w:after="240"/>
    </w:pPr>
    <w:rPr>
      <w:szCs w:val="20"/>
      <w:lang w:eastAsia="en-US"/>
    </w:rPr>
  </w:style>
  <w:style w:type="paragraph" w:styleId="ListBullet4">
    <w:name w:val="List Bullet 4"/>
    <w:basedOn w:val="Text4"/>
    <w:pPr>
      <w:numPr>
        <w:numId w:val="19"/>
      </w:numPr>
      <w:spacing w:before="0" w:after="240"/>
    </w:pPr>
    <w:rPr>
      <w:szCs w:val="20"/>
      <w:lang w:eastAsia="en-US"/>
    </w:rPr>
  </w:style>
  <w:style w:type="paragraph" w:customStyle="1" w:styleId="ListDash">
    <w:name w:val="List Dash"/>
    <w:basedOn w:val="Normal"/>
    <w:pPr>
      <w:numPr>
        <w:numId w:val="20"/>
      </w:numPr>
      <w:spacing w:after="240" w:line="240" w:lineRule="auto"/>
      <w:jc w:val="both"/>
    </w:pPr>
    <w:rPr>
      <w:rFonts w:ascii="Times New Roman" w:eastAsia="Times New Roman" w:hAnsi="Times New Roman"/>
      <w:sz w:val="24"/>
      <w:szCs w:val="20"/>
    </w:rPr>
  </w:style>
  <w:style w:type="paragraph" w:customStyle="1" w:styleId="ListDash3">
    <w:name w:val="List Dash 3"/>
    <w:basedOn w:val="Text3"/>
    <w:pPr>
      <w:numPr>
        <w:numId w:val="23"/>
      </w:numPr>
      <w:spacing w:before="0" w:after="240"/>
    </w:pPr>
    <w:rPr>
      <w:szCs w:val="20"/>
      <w:lang w:eastAsia="en-US"/>
    </w:rPr>
  </w:style>
  <w:style w:type="paragraph" w:customStyle="1" w:styleId="ListDash4">
    <w:name w:val="List Dash 4"/>
    <w:basedOn w:val="Text4"/>
    <w:pPr>
      <w:numPr>
        <w:numId w:val="24"/>
      </w:numPr>
      <w:spacing w:before="0" w:after="240"/>
    </w:pPr>
    <w:rPr>
      <w:szCs w:val="20"/>
      <w:lang w:eastAsia="en-US"/>
    </w:rPr>
  </w:style>
  <w:style w:type="paragraph" w:customStyle="1" w:styleId="Annexetitrefichefinglobale">
    <w:name w:val="Annexe titre (fiche fin. globale)"/>
    <w:basedOn w:val="Normal"/>
    <w:next w:val="Normal"/>
    <w:pPr>
      <w:spacing w:before="120" w:after="120" w:line="240" w:lineRule="auto"/>
      <w:jc w:val="center"/>
    </w:pPr>
    <w:rPr>
      <w:rFonts w:ascii="Times New Roman" w:eastAsia="Times New Roman" w:hAnsi="Times New Roman"/>
      <w:b/>
      <w:sz w:val="24"/>
      <w:u w:val="single"/>
      <w:lang w:eastAsia="de-DE"/>
    </w:r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b/>
      <w:sz w:val="24"/>
      <w:u w:val="single"/>
      <w:lang w:eastAsia="de-DE"/>
    </w:rPr>
  </w:style>
  <w:style w:type="paragraph" w:customStyle="1" w:styleId="Exposdesmotifstitreglobal">
    <w:name w:val="Exposé des motifs titre (global)"/>
    <w:basedOn w:val="Normal"/>
    <w:next w:val="Normal"/>
    <w:pPr>
      <w:spacing w:before="120" w:after="120" w:line="240" w:lineRule="auto"/>
      <w:jc w:val="center"/>
    </w:pPr>
    <w:rPr>
      <w:rFonts w:ascii="Times New Roman" w:eastAsia="Times New Roman" w:hAnsi="Times New Roman"/>
      <w:b/>
      <w:sz w:val="24"/>
      <w:u w:val="single"/>
      <w:lang w:eastAsia="de-DE"/>
    </w:rPr>
  </w:style>
  <w:style w:type="paragraph" w:customStyle="1" w:styleId="Langueoriginale">
    <w:name w:val="Langue originale"/>
    <w:basedOn w:val="Normal"/>
    <w:next w:val="Phrasefinale"/>
    <w:pPr>
      <w:spacing w:before="360" w:after="120" w:line="240" w:lineRule="auto"/>
      <w:jc w:val="center"/>
    </w:pPr>
    <w:rPr>
      <w:rFonts w:ascii="Times New Roman" w:eastAsia="Times New Roman" w:hAnsi="Times New Roman"/>
      <w:caps/>
      <w:sz w:val="24"/>
      <w:lang w:eastAsia="de-DE"/>
    </w:rPr>
  </w:style>
  <w:style w:type="paragraph" w:customStyle="1" w:styleId="Phrasefinale">
    <w:name w:val="Phrase finale"/>
    <w:basedOn w:val="Normal"/>
    <w:next w:val="Normal"/>
    <w:pPr>
      <w:spacing w:before="360" w:after="0" w:line="240" w:lineRule="auto"/>
      <w:jc w:val="center"/>
    </w:pPr>
    <w:rPr>
      <w:rFonts w:ascii="Times New Roman" w:eastAsia="Times New Roman" w:hAnsi="Times New Roman"/>
      <w:sz w:val="24"/>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b/>
      <w:sz w:val="24"/>
      <w:lang w:eastAsia="de-DE"/>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b/>
      <w:sz w:val="24"/>
      <w:lang w:eastAsia="de-DE"/>
    </w:rPr>
  </w:style>
  <w:style w:type="paragraph" w:customStyle="1" w:styleId="Rfrenceinstitutionelle">
    <w:name w:val="Référence institutionelle"/>
    <w:basedOn w:val="Normal"/>
    <w:next w:val="Statut"/>
    <w:pPr>
      <w:spacing w:after="240" w:line="240" w:lineRule="auto"/>
      <w:ind w:left="5103"/>
    </w:pPr>
    <w:rPr>
      <w:rFonts w:ascii="Times New Roman" w:eastAsia="Times New Roman" w:hAnsi="Times New Roman"/>
      <w:sz w:val="24"/>
      <w:lang w:eastAsia="de-DE"/>
    </w:rPr>
  </w:style>
  <w:style w:type="paragraph" w:customStyle="1" w:styleId="Rfrenceinterinstitutionelle">
    <w:name w:val="Référence interinstitutionelle"/>
    <w:basedOn w:val="Normal"/>
    <w:next w:val="Statut"/>
    <w:pPr>
      <w:spacing w:after="0" w:line="240" w:lineRule="auto"/>
      <w:ind w:left="5103"/>
    </w:pPr>
    <w:rPr>
      <w:rFonts w:ascii="Times New Roman" w:eastAsia="Times New Roman" w:hAnsi="Times New Roman"/>
      <w:sz w:val="24"/>
      <w:lang w:eastAsia="de-DE"/>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sz w:val="24"/>
      <w:lang w:eastAsia="de-DE"/>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b/>
      <w:sz w:val="24"/>
      <w:lang w:eastAsia="de-DE"/>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sz w:val="24"/>
      <w:lang w:eastAsia="de-DE"/>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b/>
      <w:sz w:val="24"/>
      <w:lang w:eastAsia="de-DE"/>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b/>
      <w:sz w:val="24"/>
      <w:lang w:eastAsia="de-DE"/>
    </w:rPr>
  </w:style>
  <w:style w:type="paragraph" w:customStyle="1" w:styleId="Fichefinancirestandardtitre">
    <w:name w:val="Fiche financière (standard) titre"/>
    <w:basedOn w:val="Normal"/>
    <w:next w:val="Normal"/>
    <w:pPr>
      <w:spacing w:before="120" w:after="120" w:line="240" w:lineRule="auto"/>
      <w:jc w:val="center"/>
    </w:pPr>
    <w:rPr>
      <w:rFonts w:ascii="Times New Roman" w:eastAsia="Times New Roman" w:hAnsi="Times New Roman"/>
      <w:b/>
      <w:sz w:val="24"/>
      <w:u w:val="single"/>
      <w:lang w:eastAsia="de-DE"/>
    </w:rPr>
  </w:style>
  <w:style w:type="paragraph" w:customStyle="1" w:styleId="Fichefinancirestandardtitreacte">
    <w:name w:val="Fiche financière (standard) titre (acte)"/>
    <w:basedOn w:val="Normal"/>
    <w:next w:val="Normal"/>
    <w:pPr>
      <w:spacing w:before="120" w:after="120" w:line="240" w:lineRule="auto"/>
      <w:jc w:val="center"/>
    </w:pPr>
    <w:rPr>
      <w:rFonts w:ascii="Times New Roman" w:eastAsia="Times New Roman" w:hAnsi="Times New Roman"/>
      <w:b/>
      <w:sz w:val="24"/>
      <w:u w:val="single"/>
      <w:lang w:eastAsia="de-DE"/>
    </w:rPr>
  </w:style>
  <w:style w:type="paragraph" w:customStyle="1" w:styleId="Fichefinanciretravailtitre">
    <w:name w:val="Fiche financière (travail) titre"/>
    <w:basedOn w:val="Normal"/>
    <w:next w:val="Normal"/>
    <w:pPr>
      <w:spacing w:before="120" w:after="120" w:line="240" w:lineRule="auto"/>
      <w:jc w:val="center"/>
    </w:pPr>
    <w:rPr>
      <w:rFonts w:ascii="Times New Roman" w:eastAsia="Times New Roman" w:hAnsi="Times New Roman"/>
      <w:b/>
      <w:sz w:val="24"/>
      <w:u w:val="single"/>
      <w:lang w:eastAsia="de-DE"/>
    </w:rPr>
  </w:style>
  <w:style w:type="paragraph" w:customStyle="1" w:styleId="Fichefinanciretravailtitreacte">
    <w:name w:val="Fiche financière (travail) titre (acte)"/>
    <w:basedOn w:val="Normal"/>
    <w:next w:val="Normal"/>
    <w:pPr>
      <w:spacing w:before="120" w:after="120" w:line="240" w:lineRule="auto"/>
      <w:jc w:val="center"/>
    </w:pPr>
    <w:rPr>
      <w:rFonts w:ascii="Times New Roman" w:eastAsia="Times New Roman" w:hAnsi="Times New Roman"/>
      <w:b/>
      <w:sz w:val="24"/>
      <w:u w:val="single"/>
      <w:lang w:eastAsia="de-DE"/>
    </w:rPr>
  </w:style>
  <w:style w:type="paragraph" w:customStyle="1" w:styleId="Fichefinancireattributiontitre">
    <w:name w:val="Fiche financière (attribution) titre"/>
    <w:basedOn w:val="Normal"/>
    <w:next w:val="Normal"/>
    <w:pPr>
      <w:spacing w:before="120" w:after="120" w:line="240" w:lineRule="auto"/>
      <w:jc w:val="center"/>
    </w:pPr>
    <w:rPr>
      <w:rFonts w:ascii="Times New Roman" w:eastAsia="Times New Roman" w:hAnsi="Times New Roman"/>
      <w:b/>
      <w:sz w:val="24"/>
      <w:u w:val="single"/>
      <w:lang w:eastAsia="de-DE"/>
    </w:rPr>
  </w:style>
  <w:style w:type="paragraph" w:customStyle="1" w:styleId="Fichefinancireattributiontitreacte">
    <w:name w:val="Fiche financière (attribution) titre (acte)"/>
    <w:basedOn w:val="Normal"/>
    <w:next w:val="Normal"/>
    <w:pPr>
      <w:spacing w:before="120" w:after="120" w:line="240" w:lineRule="auto"/>
      <w:jc w:val="center"/>
    </w:pPr>
    <w:rPr>
      <w:rFonts w:ascii="Times New Roman" w:eastAsia="Times New Roman" w:hAnsi="Times New Roman"/>
      <w:b/>
      <w:sz w:val="24"/>
      <w:u w:val="single"/>
      <w:lang w:eastAsia="de-DE"/>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link w:val="PlainText"/>
    <w:rPr>
      <w:rFonts w:ascii="Courier New" w:eastAsia="Times New Roman" w:hAnsi="Courier New" w:cs="Courier New"/>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sz w:val="16"/>
      <w:szCs w:val="20"/>
      <w:lang w:eastAsia="en-GB"/>
    </w:rPr>
  </w:style>
  <w:style w:type="character" w:customStyle="1" w:styleId="BodyTextIndent3Char">
    <w:name w:val="Body Text Indent 3 Char"/>
    <w:link w:val="BodyTextIndent3"/>
    <w:rPr>
      <w:rFonts w:ascii="Times New Roman" w:eastAsia="Times New Roman" w:hAnsi="Times New Roman"/>
      <w:sz w:val="16"/>
    </w:rPr>
  </w:style>
  <w:style w:type="character" w:customStyle="1" w:styleId="shorttext">
    <w:name w:val="short_text"/>
    <w:rPr>
      <w:shd w:val="clear" w:color="auto" w:fill="auto"/>
    </w:rPr>
  </w:style>
  <w:style w:type="character" w:customStyle="1" w:styleId="hps">
    <w:name w:val="hps"/>
    <w:rPr>
      <w:shd w:val="clear" w:color="auto" w:fill="auto"/>
    </w:rPr>
  </w:style>
  <w:style w:type="character" w:styleId="Hyperlink">
    <w:name w:val="Hyperlink"/>
    <w:uiPriority w:val="99"/>
    <w:rPr>
      <w:color w:val="0000FF"/>
      <w:u w:val="single"/>
      <w:shd w:val="clear" w:color="auto" w:fill="auto"/>
    </w:rPr>
  </w:style>
  <w:style w:type="paragraph" w:styleId="Caption">
    <w:name w:val="caption"/>
    <w:basedOn w:val="Normal"/>
    <w:next w:val="Normal"/>
    <w:qFormat/>
    <w:pPr>
      <w:spacing w:before="120" w:after="120" w:line="240" w:lineRule="auto"/>
      <w:jc w:val="both"/>
    </w:pPr>
    <w:rPr>
      <w:rFonts w:ascii="Times New Roman" w:eastAsia="Times New Roman" w:hAnsi="Times New Roman"/>
      <w:b/>
      <w:bCs/>
      <w:sz w:val="20"/>
      <w:szCs w:val="20"/>
      <w:lang w:eastAsia="en-GB"/>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sz w:val="24"/>
      <w:lang w:eastAsia="en-GB"/>
    </w:rPr>
  </w:style>
  <w:style w:type="paragraph" w:styleId="CommentText">
    <w:name w:val="annotation text"/>
    <w:basedOn w:val="Normal"/>
    <w:link w:val="CommentTextChar"/>
    <w:semiHidden/>
    <w:pPr>
      <w:spacing w:before="120" w:after="120" w:line="240" w:lineRule="auto"/>
      <w:jc w:val="both"/>
    </w:pPr>
    <w:rPr>
      <w:rFonts w:ascii="Times New Roman" w:eastAsia="Times New Roman" w:hAnsi="Times New Roman"/>
      <w:sz w:val="20"/>
      <w:szCs w:val="20"/>
      <w:lang w:eastAsia="en-GB"/>
    </w:rPr>
  </w:style>
  <w:style w:type="character" w:customStyle="1" w:styleId="CommentTextChar">
    <w:name w:val="Comment Text Char"/>
    <w:link w:val="CommentText"/>
    <w:semiHidden/>
    <w:rPr>
      <w:rFonts w:ascii="Times New Roman" w:eastAsia="Times New Roman" w:hAnsi="Times New Roman"/>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rPr>
      <w:rFonts w:ascii="Times New Roman" w:eastAsia="Times New Roman" w:hAnsi="Times New Roman"/>
      <w:b/>
      <w:bCs/>
    </w:rPr>
  </w:style>
  <w:style w:type="paragraph" w:styleId="BalloonText">
    <w:name w:val="Balloon Text"/>
    <w:basedOn w:val="Normal"/>
    <w:link w:val="BalloonTextChar"/>
    <w:semiHidden/>
    <w:pPr>
      <w:spacing w:before="120" w:after="120" w:line="240" w:lineRule="auto"/>
      <w:jc w:val="both"/>
    </w:pPr>
    <w:rPr>
      <w:rFonts w:ascii="Tahoma" w:eastAsia="Times New Roman" w:hAnsi="Tahoma" w:cs="Tahoma"/>
      <w:sz w:val="16"/>
      <w:szCs w:val="16"/>
      <w:lang w:eastAsia="en-GB"/>
    </w:rPr>
  </w:style>
  <w:style w:type="character" w:customStyle="1" w:styleId="BalloonTextChar">
    <w:name w:val="Balloon Text Char"/>
    <w:link w:val="BalloonText"/>
    <w:semiHidden/>
    <w:rPr>
      <w:rFonts w:ascii="Tahoma" w:eastAsia="Times New Roman" w:hAnsi="Tahoma" w:cs="Tahoma"/>
      <w:sz w:val="16"/>
      <w:szCs w:val="16"/>
    </w:rPr>
  </w:style>
  <w:style w:type="character" w:styleId="CommentReference">
    <w:name w:val="annotation reference"/>
    <w:semiHidden/>
    <w:rPr>
      <w:sz w:val="16"/>
      <w:szCs w:val="16"/>
      <w:shd w:val="clear" w:color="auto" w:fill="auto"/>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imes New Roman" w:hAnsi="Times New Roman"/>
      <w:sz w:val="24"/>
      <w:lang w:eastAsia="en-GB"/>
    </w:rPr>
  </w:style>
  <w:style w:type="character" w:customStyle="1" w:styleId="HeaderChar">
    <w:name w:val="Header Char"/>
    <w:link w:val="Header"/>
    <w:uiPriority w:val="99"/>
    <w:rPr>
      <w:rFonts w:ascii="Times New Roman" w:eastAsia="Times New Roman" w:hAnsi="Times New Roman"/>
      <w:sz w:val="24"/>
      <w:szCs w:val="22"/>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imes New Roman" w:hAnsi="Times New Roman"/>
      <w:sz w:val="24"/>
      <w:lang w:eastAsia="en-GB"/>
    </w:rPr>
  </w:style>
  <w:style w:type="character" w:customStyle="1" w:styleId="FooterChar">
    <w:name w:val="Footer Char"/>
    <w:link w:val="Footer"/>
    <w:uiPriority w:val="99"/>
    <w:rPr>
      <w:rFonts w:ascii="Times New Roman" w:eastAsia="Times New Roman" w:hAnsi="Times New Roman"/>
      <w:sz w:val="24"/>
      <w:szCs w:val="22"/>
    </w:rPr>
  </w:style>
  <w:style w:type="paragraph" w:styleId="FootnoteText">
    <w:name w:val="footnote text"/>
    <w:basedOn w:val="Normal"/>
    <w:link w:val="FootnoteTextChar"/>
    <w:unhideWhenUsed/>
    <w:pPr>
      <w:spacing w:after="0" w:line="240" w:lineRule="auto"/>
      <w:ind w:left="720" w:hanging="720"/>
      <w:jc w:val="both"/>
    </w:pPr>
    <w:rPr>
      <w:rFonts w:ascii="Times New Roman" w:eastAsia="Times New Roman" w:hAnsi="Times New Roman"/>
      <w:sz w:val="20"/>
      <w:szCs w:val="20"/>
      <w:lang w:eastAsia="en-GB"/>
    </w:rPr>
  </w:style>
  <w:style w:type="character" w:customStyle="1" w:styleId="FootnoteTextChar">
    <w:name w:val="Footnote Text Char"/>
    <w:link w:val="FootnoteText"/>
    <w:rPr>
      <w:rFonts w:ascii="Times New Roman" w:eastAsia="Times New Roman" w:hAnsi="Times New Roman"/>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b/>
      <w:sz w:val="24"/>
      <w:szCs w:val="20"/>
    </w:rPr>
  </w:style>
  <w:style w:type="paragraph" w:styleId="TOC1">
    <w:name w:val="toc 1"/>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lang w:eastAsia="en-GB"/>
    </w:rPr>
  </w:style>
  <w:style w:type="paragraph" w:styleId="TOC2">
    <w:name w:val="toc 2"/>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lang w:eastAsia="en-GB"/>
    </w:rPr>
  </w:style>
  <w:style w:type="paragraph" w:styleId="TOC3">
    <w:name w:val="toc 3"/>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sz w:val="24"/>
      <w:lang w:eastAsia="en-GB"/>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sz w:val="24"/>
      <w:lang w:eastAsia="en-GB"/>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sz w:val="24"/>
      <w:lang w:eastAsia="en-GB"/>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lang w:eastAsia="en-GB"/>
    </w:rPr>
  </w:style>
  <w:style w:type="paragraph" w:customStyle="1" w:styleId="Tiret0">
    <w:name w:val="Tiret 0"/>
    <w:basedOn w:val="Point0"/>
    <w:pPr>
      <w:numPr>
        <w:numId w:val="2"/>
      </w:numPr>
    </w:pPr>
  </w:style>
  <w:style w:type="paragraph" w:customStyle="1" w:styleId="Tiret1">
    <w:name w:val="Tiret 1"/>
    <w:basedOn w:val="Point1"/>
    <w:pPr>
      <w:numPr>
        <w:numId w:val="1"/>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lang w:eastAsia="en-GB"/>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sz w:val="24"/>
      <w:lang w:eastAsia="en-GB"/>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sz w:val="24"/>
      <w:lang w:eastAsia="en-GB"/>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sz w:val="24"/>
      <w:lang w:eastAsia="en-GB"/>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lang w:eastAsia="en-G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sz w:val="24"/>
      <w:lang w:eastAsia="en-GB"/>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sz w:val="24"/>
      <w:lang w:eastAsia="en-GB"/>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sz w:val="24"/>
      <w:lang w:eastAsia="en-GB"/>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sz w:val="24"/>
      <w:lang w:eastAsia="en-GB"/>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sz w:val="24"/>
      <w:lang w:eastAsia="en-GB"/>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sz w:val="24"/>
      <w:lang w:eastAsia="en-GB"/>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sz w:val="24"/>
      <w:lang w:eastAsia="en-GB"/>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sz w:val="24"/>
      <w:lang w:eastAsia="en-GB"/>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sz w:val="24"/>
      <w:lang w:eastAsia="en-GB"/>
    </w:rPr>
  </w:style>
  <w:style w:type="paragraph" w:customStyle="1" w:styleId="Bullet0">
    <w:name w:val="Bullet 0"/>
    <w:basedOn w:val="Normal"/>
    <w:pPr>
      <w:numPr>
        <w:numId w:val="9"/>
      </w:numPr>
      <w:spacing w:before="120" w:after="120" w:line="240" w:lineRule="auto"/>
      <w:jc w:val="both"/>
    </w:pPr>
    <w:rPr>
      <w:rFonts w:ascii="Times New Roman" w:eastAsia="Times New Roman" w:hAnsi="Times New Roman"/>
      <w:sz w:val="24"/>
      <w:lang w:eastAsia="en-GB"/>
    </w:rPr>
  </w:style>
  <w:style w:type="paragraph" w:customStyle="1" w:styleId="Bullet1">
    <w:name w:val="Bullet 1"/>
    <w:basedOn w:val="Normal"/>
    <w:pPr>
      <w:numPr>
        <w:numId w:val="10"/>
      </w:numPr>
      <w:spacing w:before="120" w:after="120" w:line="240" w:lineRule="auto"/>
      <w:jc w:val="both"/>
    </w:pPr>
    <w:rPr>
      <w:rFonts w:ascii="Times New Roman" w:eastAsia="Times New Roman" w:hAnsi="Times New Roman"/>
      <w:sz w:val="24"/>
      <w:lang w:eastAsia="en-GB"/>
    </w:rPr>
  </w:style>
  <w:style w:type="paragraph" w:customStyle="1" w:styleId="Bullet2">
    <w:name w:val="Bullet 2"/>
    <w:basedOn w:val="Normal"/>
    <w:pPr>
      <w:numPr>
        <w:numId w:val="11"/>
      </w:numPr>
      <w:spacing w:before="120" w:after="120" w:line="240" w:lineRule="auto"/>
      <w:jc w:val="both"/>
    </w:pPr>
    <w:rPr>
      <w:rFonts w:ascii="Times New Roman" w:eastAsia="Times New Roman" w:hAnsi="Times New Roman"/>
      <w:sz w:val="24"/>
      <w:lang w:eastAsia="en-GB"/>
    </w:rPr>
  </w:style>
  <w:style w:type="paragraph" w:customStyle="1" w:styleId="Bullet3">
    <w:name w:val="Bullet 3"/>
    <w:basedOn w:val="Normal"/>
    <w:pPr>
      <w:numPr>
        <w:numId w:val="12"/>
      </w:numPr>
      <w:spacing w:before="120" w:after="120" w:line="240" w:lineRule="auto"/>
      <w:jc w:val="both"/>
    </w:pPr>
    <w:rPr>
      <w:rFonts w:ascii="Times New Roman" w:eastAsia="Times New Roman" w:hAnsi="Times New Roman"/>
      <w:sz w:val="24"/>
      <w:lang w:eastAsia="en-GB"/>
    </w:rPr>
  </w:style>
  <w:style w:type="paragraph" w:customStyle="1" w:styleId="Bullet4">
    <w:name w:val="Bullet 4"/>
    <w:basedOn w:val="Normal"/>
    <w:pPr>
      <w:numPr>
        <w:numId w:val="13"/>
      </w:numPr>
      <w:spacing w:before="120" w:after="120" w:line="240" w:lineRule="auto"/>
      <w:jc w:val="both"/>
    </w:pPr>
    <w:rPr>
      <w:rFonts w:ascii="Times New Roman" w:eastAsia="Times New Roman" w:hAnsi="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i/>
      <w:sz w:val="32"/>
      <w:lang w:eastAsia="en-GB"/>
    </w:rPr>
  </w:style>
  <w:style w:type="paragraph" w:customStyle="1" w:styleId="Considrant">
    <w:name w:val="Considérant"/>
    <w:basedOn w:val="Normal"/>
    <w:pPr>
      <w:numPr>
        <w:numId w:val="14"/>
      </w:numPr>
      <w:spacing w:before="120" w:after="120" w:line="240" w:lineRule="auto"/>
      <w:jc w:val="both"/>
    </w:pPr>
    <w:rPr>
      <w:rFonts w:ascii="Times New Roman" w:eastAsia="Times New Roman" w:hAnsi="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lang w:eastAsia="en-GB"/>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lang w:eastAsia="en-GB"/>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lang w:val="fr-BE" w:eastAsia="en-GB"/>
    </w:rPr>
  </w:style>
  <w:style w:type="character" w:customStyle="1" w:styleId="FooterCoverPageChar">
    <w:name w:val="Footer Cover Page Char"/>
    <w:link w:val="FooterCoverPage"/>
    <w:rPr>
      <w:rFonts w:ascii="Times New Roman" w:hAnsi="Times New Roman"/>
      <w:sz w:val="24"/>
      <w:szCs w:val="22"/>
      <w:lang w:val="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lang w:val="fr-BE" w:eastAsia="en-GB"/>
    </w:rPr>
  </w:style>
  <w:style w:type="character" w:customStyle="1" w:styleId="HeaderCoverPageChar">
    <w:name w:val="Header Cover Page Char"/>
    <w:link w:val="HeaderCoverPage"/>
    <w:rPr>
      <w:rFonts w:ascii="Times New Roman" w:hAnsi="Times New Roman"/>
      <w:sz w:val="24"/>
      <w:szCs w:val="22"/>
      <w:lang w:val="fr-BE"/>
    </w:rPr>
  </w:style>
  <w:style w:type="paragraph" w:styleId="Revision">
    <w:name w:val="Revision"/>
    <w:hidden/>
    <w:uiPriority w:val="99"/>
    <w:semiHidden/>
    <w:rPr>
      <w:sz w:val="22"/>
      <w:szCs w:val="22"/>
      <w:lang w:eastAsia="en-US"/>
    </w:rPr>
  </w:style>
  <w:style w:type="character" w:customStyle="1" w:styleId="Text1Char">
    <w:name w:val="Text 1 Char"/>
    <w:link w:val="Text1"/>
    <w:locked/>
    <w:rPr>
      <w:rFonts w:ascii="Times New Roman" w:eastAsia="Times New Roman" w:hAnsi="Times New Roman"/>
      <w:sz w:val="24"/>
      <w:szCs w:val="22"/>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sz w:val="24"/>
      <w:szCs w:val="20"/>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character" w:styleId="Strong">
    <w:name w:val="Strong"/>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Text1"/>
    <w:link w:val="Heading1Char"/>
    <w:uiPriority w:val="9"/>
    <w:qFormat/>
    <w:pPr>
      <w:keepNext/>
      <w:numPr>
        <w:numId w:val="7"/>
      </w:numPr>
      <w:spacing w:before="360" w:after="120" w:line="240" w:lineRule="auto"/>
      <w:jc w:val="both"/>
      <w:outlineLvl w:val="0"/>
    </w:pPr>
    <w:rPr>
      <w:rFonts w:ascii="Times New Roman" w:eastAsia="Times New Roman" w:hAnsi="Times New Roman"/>
      <w:b/>
      <w:bCs/>
      <w:smallCaps/>
      <w:sz w:val="24"/>
      <w:szCs w:val="28"/>
      <w:lang w:eastAsia="en-GB"/>
    </w:rPr>
  </w:style>
  <w:style w:type="paragraph" w:styleId="Heading2">
    <w:name w:val="heading 2"/>
    <w:basedOn w:val="Normal"/>
    <w:next w:val="Text1"/>
    <w:link w:val="Heading2Char"/>
    <w:uiPriority w:val="9"/>
    <w:qFormat/>
    <w:pPr>
      <w:keepNext/>
      <w:numPr>
        <w:ilvl w:val="1"/>
        <w:numId w:val="7"/>
      </w:numPr>
      <w:spacing w:before="120" w:after="120" w:line="240" w:lineRule="auto"/>
      <w:jc w:val="both"/>
      <w:outlineLvl w:val="1"/>
    </w:pPr>
    <w:rPr>
      <w:rFonts w:ascii="Times New Roman" w:eastAsia="Times New Roman" w:hAnsi="Times New Roman"/>
      <w:b/>
      <w:bCs/>
      <w:sz w:val="24"/>
      <w:szCs w:val="26"/>
      <w:lang w:eastAsia="en-GB"/>
    </w:rPr>
  </w:style>
  <w:style w:type="paragraph" w:styleId="Heading3">
    <w:name w:val="heading 3"/>
    <w:basedOn w:val="Normal"/>
    <w:next w:val="Text1"/>
    <w:link w:val="Heading3Char"/>
    <w:uiPriority w:val="9"/>
    <w:qFormat/>
    <w:pPr>
      <w:keepNext/>
      <w:numPr>
        <w:ilvl w:val="2"/>
        <w:numId w:val="7"/>
      </w:numPr>
      <w:spacing w:before="120" w:after="120" w:line="240" w:lineRule="auto"/>
      <w:jc w:val="both"/>
      <w:outlineLvl w:val="2"/>
    </w:pPr>
    <w:rPr>
      <w:rFonts w:ascii="Times New Roman" w:eastAsia="Times New Roman" w:hAnsi="Times New Roman"/>
      <w:bCs/>
      <w:i/>
      <w:sz w:val="24"/>
      <w:lang w:eastAsia="en-GB"/>
    </w:rPr>
  </w:style>
  <w:style w:type="paragraph" w:styleId="Heading4">
    <w:name w:val="heading 4"/>
    <w:basedOn w:val="Normal"/>
    <w:next w:val="Text1"/>
    <w:link w:val="Heading4Char"/>
    <w:uiPriority w:val="9"/>
    <w:qFormat/>
    <w:pPr>
      <w:keepNext/>
      <w:numPr>
        <w:ilvl w:val="3"/>
        <w:numId w:val="7"/>
      </w:numPr>
      <w:spacing w:before="120" w:after="120" w:line="240" w:lineRule="auto"/>
      <w:jc w:val="both"/>
      <w:outlineLvl w:val="3"/>
    </w:pPr>
    <w:rPr>
      <w:rFonts w:ascii="Times New Roman" w:eastAsia="Times New Roman" w:hAnsi="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b/>
      <w:bCs/>
      <w:smallCaps/>
      <w:sz w:val="24"/>
      <w:szCs w:val="28"/>
    </w:rPr>
  </w:style>
  <w:style w:type="character" w:customStyle="1" w:styleId="Heading2Char">
    <w:name w:val="Heading 2 Char"/>
    <w:link w:val="Heading2"/>
    <w:uiPriority w:val="9"/>
    <w:rPr>
      <w:rFonts w:ascii="Times New Roman" w:eastAsia="Times New Roman" w:hAnsi="Times New Roman"/>
      <w:b/>
      <w:bCs/>
      <w:sz w:val="24"/>
      <w:szCs w:val="26"/>
    </w:rPr>
  </w:style>
  <w:style w:type="character" w:customStyle="1" w:styleId="Heading3Char">
    <w:name w:val="Heading 3 Char"/>
    <w:link w:val="Heading3"/>
    <w:uiPriority w:val="9"/>
    <w:rPr>
      <w:rFonts w:ascii="Times New Roman" w:eastAsia="Times New Roman" w:hAnsi="Times New Roman"/>
      <w:bCs/>
      <w:i/>
      <w:sz w:val="24"/>
      <w:szCs w:val="22"/>
    </w:rPr>
  </w:style>
  <w:style w:type="character" w:customStyle="1" w:styleId="Heading4Char">
    <w:name w:val="Heading 4 Char"/>
    <w:link w:val="Heading4"/>
    <w:uiPriority w:val="9"/>
    <w:rPr>
      <w:rFonts w:ascii="Times New Roman" w:eastAsia="Times New Roman" w:hAnsi="Times New Roman"/>
      <w:bCs/>
      <w:iCs/>
      <w:sz w:val="24"/>
      <w:szCs w:val="22"/>
    </w:rPr>
  </w:style>
  <w:style w:type="numbering" w:customStyle="1" w:styleId="NoList1">
    <w:name w:val="No List1"/>
    <w:next w:val="NoList"/>
    <w:uiPriority w:val="99"/>
    <w:semiHidden/>
    <w:unhideWhenUsed/>
  </w:style>
  <w:style w:type="paragraph" w:styleId="ListNumber">
    <w:name w:val="List Number"/>
    <w:basedOn w:val="Normal"/>
    <w:pPr>
      <w:numPr>
        <w:numId w:val="25"/>
      </w:numPr>
      <w:spacing w:after="240" w:line="240" w:lineRule="auto"/>
      <w:jc w:val="both"/>
    </w:pPr>
    <w:rPr>
      <w:rFonts w:ascii="Times New Roman" w:eastAsia="Times New Roman" w:hAnsi="Times New Roman"/>
      <w:sz w:val="24"/>
      <w:szCs w:val="20"/>
    </w:rPr>
  </w:style>
  <w:style w:type="paragraph" w:customStyle="1" w:styleId="ListBullet1">
    <w:name w:val="List Bullet 1"/>
    <w:basedOn w:val="Text1"/>
    <w:pPr>
      <w:numPr>
        <w:numId w:val="16"/>
      </w:numPr>
      <w:spacing w:before="0" w:after="240"/>
    </w:pPr>
    <w:rPr>
      <w:szCs w:val="20"/>
      <w:lang w:eastAsia="en-US"/>
    </w:rPr>
  </w:style>
  <w:style w:type="paragraph" w:customStyle="1" w:styleId="ListDash1">
    <w:name w:val="List Dash 1"/>
    <w:basedOn w:val="Text1"/>
    <w:pPr>
      <w:numPr>
        <w:numId w:val="21"/>
      </w:numPr>
      <w:spacing w:before="0" w:after="240"/>
    </w:pPr>
    <w:rPr>
      <w:szCs w:val="20"/>
      <w:lang w:eastAsia="en-US"/>
    </w:rPr>
  </w:style>
  <w:style w:type="paragraph" w:customStyle="1" w:styleId="ListDash2">
    <w:name w:val="List Dash 2"/>
    <w:basedOn w:val="Text2"/>
    <w:pPr>
      <w:numPr>
        <w:numId w:val="22"/>
      </w:numPr>
      <w:spacing w:before="0" w:after="240"/>
    </w:pPr>
    <w:rPr>
      <w:szCs w:val="20"/>
      <w:lang w:eastAsia="en-US"/>
    </w:rPr>
  </w:style>
  <w:style w:type="paragraph" w:customStyle="1" w:styleId="ListNumberLevel2">
    <w:name w:val="List Number (Level 2)"/>
    <w:basedOn w:val="Normal"/>
    <w:pPr>
      <w:numPr>
        <w:ilvl w:val="1"/>
        <w:numId w:val="25"/>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
    <w:pPr>
      <w:numPr>
        <w:ilvl w:val="2"/>
        <w:numId w:val="25"/>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
    <w:pPr>
      <w:numPr>
        <w:ilvl w:val="3"/>
        <w:numId w:val="25"/>
      </w:numPr>
      <w:spacing w:after="240" w:line="240" w:lineRule="auto"/>
      <w:jc w:val="both"/>
    </w:pPr>
    <w:rPr>
      <w:rFonts w:ascii="Times New Roman" w:eastAsia="Times New Roman" w:hAnsi="Times New Roman"/>
      <w:sz w:val="24"/>
      <w:szCs w:val="20"/>
    </w:rPr>
  </w:style>
  <w:style w:type="paragraph" w:customStyle="1" w:styleId="Annexetitreacte">
    <w:name w:val="Annexe titre (acte)"/>
    <w:basedOn w:val="Normal"/>
    <w:next w:val="Normal"/>
    <w:pPr>
      <w:spacing w:before="120" w:after="120" w:line="240" w:lineRule="auto"/>
      <w:jc w:val="center"/>
    </w:pPr>
    <w:rPr>
      <w:rFonts w:ascii="Times New Roman" w:eastAsia="Times New Roman" w:hAnsi="Times New Roman"/>
      <w:b/>
      <w:sz w:val="24"/>
      <w:u w:val="single"/>
      <w:lang w:eastAsia="de-DE"/>
    </w:rPr>
  </w:style>
  <w:style w:type="paragraph" w:customStyle="1" w:styleId="Annexetitreexposglobal">
    <w:name w:val="Annexe titre (exposé global)"/>
    <w:basedOn w:val="Normal"/>
    <w:next w:val="Normal"/>
    <w:pPr>
      <w:spacing w:before="120" w:after="120" w:line="240" w:lineRule="auto"/>
      <w:jc w:val="center"/>
    </w:pPr>
    <w:rPr>
      <w:rFonts w:ascii="Times New Roman" w:eastAsia="Times New Roman" w:hAnsi="Times New Roman"/>
      <w:b/>
      <w:sz w:val="24"/>
      <w:u w:val="single"/>
      <w:lang w:eastAsia="de-DE"/>
    </w:rPr>
  </w:style>
  <w:style w:type="paragraph" w:customStyle="1" w:styleId="Annexetitrefichefinacte">
    <w:name w:val="Annexe titre (fiche fin. acte)"/>
    <w:basedOn w:val="Normal"/>
    <w:next w:val="Normal"/>
    <w:pPr>
      <w:spacing w:before="120" w:after="120" w:line="240" w:lineRule="auto"/>
      <w:jc w:val="center"/>
    </w:pPr>
    <w:rPr>
      <w:rFonts w:ascii="Times New Roman" w:eastAsia="Times New Roman" w:hAnsi="Times New Roman"/>
      <w:b/>
      <w:sz w:val="24"/>
      <w:u w:val="single"/>
      <w:lang w:eastAsia="de-DE"/>
    </w:rPr>
  </w:style>
  <w:style w:type="table" w:styleId="TableGrid">
    <w:name w:val="Table Grid"/>
    <w:basedOn w:val="TableNormal"/>
    <w:pPr>
      <w:spacing w:after="24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Pr>
      <w:rFonts w:cs="Times New Roman"/>
      <w:i/>
      <w:iCs/>
      <w:shd w:val="clear" w:color="auto" w:fill="auto"/>
    </w:rPr>
  </w:style>
  <w:style w:type="paragraph" w:styleId="ListNumber2">
    <w:name w:val="List Number 2"/>
    <w:basedOn w:val="Text2"/>
    <w:pPr>
      <w:numPr>
        <w:numId w:val="27"/>
      </w:numPr>
      <w:spacing w:before="0" w:after="240"/>
    </w:pPr>
    <w:rPr>
      <w:szCs w:val="20"/>
      <w:lang w:eastAsia="en-US"/>
    </w:rPr>
  </w:style>
  <w:style w:type="paragraph" w:styleId="ListNumber3">
    <w:name w:val="List Number 3"/>
    <w:basedOn w:val="Text3"/>
    <w:pPr>
      <w:numPr>
        <w:numId w:val="28"/>
      </w:numPr>
      <w:spacing w:before="0" w:after="240"/>
    </w:pPr>
    <w:rPr>
      <w:szCs w:val="20"/>
      <w:lang w:eastAsia="en-US"/>
    </w:rPr>
  </w:style>
  <w:style w:type="paragraph" w:styleId="ListNumber4">
    <w:name w:val="List Number 4"/>
    <w:basedOn w:val="Text4"/>
    <w:pPr>
      <w:numPr>
        <w:numId w:val="29"/>
      </w:numPr>
      <w:spacing w:before="0" w:after="240"/>
    </w:pPr>
    <w:rPr>
      <w:szCs w:val="20"/>
      <w:lang w:eastAsia="en-US"/>
    </w:rPr>
  </w:style>
  <w:style w:type="paragraph" w:customStyle="1" w:styleId="ListNumber1">
    <w:name w:val="List Number 1"/>
    <w:basedOn w:val="Text1"/>
    <w:pPr>
      <w:numPr>
        <w:numId w:val="26"/>
      </w:numPr>
      <w:spacing w:before="0" w:after="240"/>
    </w:pPr>
    <w:rPr>
      <w:szCs w:val="20"/>
      <w:lang w:eastAsia="en-US"/>
    </w:rPr>
  </w:style>
  <w:style w:type="paragraph" w:customStyle="1" w:styleId="ListNumber1Level2">
    <w:name w:val="List Number 1 (Level 2)"/>
    <w:basedOn w:val="Text1"/>
    <w:pPr>
      <w:numPr>
        <w:ilvl w:val="1"/>
        <w:numId w:val="26"/>
      </w:numPr>
      <w:spacing w:before="0" w:after="240"/>
    </w:pPr>
    <w:rPr>
      <w:szCs w:val="20"/>
      <w:lang w:eastAsia="en-US"/>
    </w:rPr>
  </w:style>
  <w:style w:type="paragraph" w:customStyle="1" w:styleId="ListNumber2Level2">
    <w:name w:val="List Number 2 (Level 2)"/>
    <w:basedOn w:val="Text2"/>
    <w:pPr>
      <w:numPr>
        <w:ilvl w:val="1"/>
        <w:numId w:val="27"/>
      </w:numPr>
      <w:spacing w:before="0" w:after="240"/>
    </w:pPr>
    <w:rPr>
      <w:szCs w:val="20"/>
      <w:lang w:eastAsia="en-US"/>
    </w:rPr>
  </w:style>
  <w:style w:type="paragraph" w:customStyle="1" w:styleId="ListNumber3Level2">
    <w:name w:val="List Number 3 (Level 2)"/>
    <w:basedOn w:val="Text3"/>
    <w:pPr>
      <w:numPr>
        <w:ilvl w:val="1"/>
        <w:numId w:val="28"/>
      </w:numPr>
      <w:spacing w:before="0" w:after="240"/>
    </w:pPr>
    <w:rPr>
      <w:szCs w:val="20"/>
      <w:lang w:eastAsia="en-US"/>
    </w:rPr>
  </w:style>
  <w:style w:type="paragraph" w:customStyle="1" w:styleId="ListNumber4Level2">
    <w:name w:val="List Number 4 (Level 2)"/>
    <w:basedOn w:val="Text4"/>
    <w:pPr>
      <w:numPr>
        <w:ilvl w:val="1"/>
        <w:numId w:val="29"/>
      </w:numPr>
      <w:spacing w:before="0" w:after="240"/>
    </w:pPr>
    <w:rPr>
      <w:szCs w:val="20"/>
      <w:lang w:eastAsia="en-US"/>
    </w:rPr>
  </w:style>
  <w:style w:type="paragraph" w:customStyle="1" w:styleId="ListNumber1Level3">
    <w:name w:val="List Number 1 (Level 3)"/>
    <w:basedOn w:val="Text1"/>
    <w:pPr>
      <w:numPr>
        <w:ilvl w:val="2"/>
        <w:numId w:val="26"/>
      </w:numPr>
      <w:spacing w:before="0" w:after="240"/>
    </w:pPr>
    <w:rPr>
      <w:szCs w:val="20"/>
      <w:lang w:eastAsia="en-US"/>
    </w:rPr>
  </w:style>
  <w:style w:type="paragraph" w:customStyle="1" w:styleId="ListNumber2Level3">
    <w:name w:val="List Number 2 (Level 3)"/>
    <w:basedOn w:val="Text2"/>
    <w:pPr>
      <w:numPr>
        <w:ilvl w:val="2"/>
        <w:numId w:val="27"/>
      </w:numPr>
      <w:spacing w:before="0" w:after="240"/>
    </w:pPr>
    <w:rPr>
      <w:szCs w:val="20"/>
      <w:lang w:eastAsia="en-US"/>
    </w:rPr>
  </w:style>
  <w:style w:type="paragraph" w:customStyle="1" w:styleId="ListNumber3Level3">
    <w:name w:val="List Number 3 (Level 3)"/>
    <w:basedOn w:val="Text3"/>
    <w:pPr>
      <w:numPr>
        <w:ilvl w:val="2"/>
        <w:numId w:val="28"/>
      </w:numPr>
      <w:spacing w:before="0" w:after="240"/>
    </w:pPr>
    <w:rPr>
      <w:szCs w:val="20"/>
      <w:lang w:eastAsia="en-US"/>
    </w:rPr>
  </w:style>
  <w:style w:type="paragraph" w:customStyle="1" w:styleId="ListNumber4Level3">
    <w:name w:val="List Number 4 (Level 3)"/>
    <w:basedOn w:val="Text4"/>
    <w:pPr>
      <w:numPr>
        <w:ilvl w:val="2"/>
        <w:numId w:val="29"/>
      </w:numPr>
      <w:spacing w:before="0" w:after="240"/>
    </w:pPr>
    <w:rPr>
      <w:szCs w:val="20"/>
      <w:lang w:eastAsia="en-US"/>
    </w:rPr>
  </w:style>
  <w:style w:type="paragraph" w:customStyle="1" w:styleId="ListNumber1Level4">
    <w:name w:val="List Number 1 (Level 4)"/>
    <w:basedOn w:val="Text1"/>
    <w:pPr>
      <w:numPr>
        <w:ilvl w:val="3"/>
        <w:numId w:val="26"/>
      </w:numPr>
      <w:spacing w:before="0" w:after="240"/>
    </w:pPr>
    <w:rPr>
      <w:szCs w:val="20"/>
      <w:lang w:eastAsia="en-US"/>
    </w:rPr>
  </w:style>
  <w:style w:type="paragraph" w:customStyle="1" w:styleId="ListNumber2Level4">
    <w:name w:val="List Number 2 (Level 4)"/>
    <w:basedOn w:val="Text2"/>
    <w:pPr>
      <w:numPr>
        <w:ilvl w:val="3"/>
        <w:numId w:val="27"/>
      </w:numPr>
      <w:spacing w:before="0" w:after="240"/>
    </w:pPr>
    <w:rPr>
      <w:szCs w:val="20"/>
      <w:lang w:eastAsia="en-US"/>
    </w:rPr>
  </w:style>
  <w:style w:type="paragraph" w:customStyle="1" w:styleId="ListNumber3Level4">
    <w:name w:val="List Number 3 (Level 4)"/>
    <w:basedOn w:val="Text3"/>
    <w:pPr>
      <w:numPr>
        <w:ilvl w:val="3"/>
        <w:numId w:val="28"/>
      </w:numPr>
      <w:spacing w:before="0" w:after="240"/>
    </w:pPr>
    <w:rPr>
      <w:szCs w:val="20"/>
      <w:lang w:eastAsia="en-US"/>
    </w:rPr>
  </w:style>
  <w:style w:type="paragraph" w:customStyle="1" w:styleId="ListNumber4Level4">
    <w:name w:val="List Number 4 (Level 4)"/>
    <w:basedOn w:val="Text4"/>
    <w:pPr>
      <w:numPr>
        <w:ilvl w:val="3"/>
        <w:numId w:val="29"/>
      </w:numPr>
      <w:spacing w:before="0" w:after="240"/>
    </w:pPr>
    <w:rPr>
      <w:szCs w:val="20"/>
      <w:lang w:eastAsia="en-US"/>
    </w:rPr>
  </w:style>
  <w:style w:type="paragraph" w:styleId="ListBullet">
    <w:name w:val="List Bullet"/>
    <w:basedOn w:val="Normal"/>
    <w:pPr>
      <w:numPr>
        <w:numId w:val="15"/>
      </w:numPr>
      <w:spacing w:after="240" w:line="240" w:lineRule="auto"/>
      <w:jc w:val="both"/>
    </w:pPr>
    <w:rPr>
      <w:rFonts w:ascii="Times New Roman" w:eastAsia="Times New Roman" w:hAnsi="Times New Roman"/>
      <w:sz w:val="24"/>
      <w:szCs w:val="20"/>
    </w:rPr>
  </w:style>
  <w:style w:type="paragraph" w:styleId="ListBullet2">
    <w:name w:val="List Bullet 2"/>
    <w:basedOn w:val="Text2"/>
    <w:pPr>
      <w:numPr>
        <w:numId w:val="17"/>
      </w:numPr>
      <w:spacing w:before="0" w:after="240"/>
    </w:pPr>
    <w:rPr>
      <w:szCs w:val="20"/>
      <w:lang w:eastAsia="en-US"/>
    </w:rPr>
  </w:style>
  <w:style w:type="paragraph" w:styleId="ListBullet3">
    <w:name w:val="List Bullet 3"/>
    <w:basedOn w:val="Text3"/>
    <w:pPr>
      <w:numPr>
        <w:numId w:val="18"/>
      </w:numPr>
      <w:spacing w:before="0" w:after="240"/>
    </w:pPr>
    <w:rPr>
      <w:szCs w:val="20"/>
      <w:lang w:eastAsia="en-US"/>
    </w:rPr>
  </w:style>
  <w:style w:type="paragraph" w:styleId="ListBullet4">
    <w:name w:val="List Bullet 4"/>
    <w:basedOn w:val="Text4"/>
    <w:pPr>
      <w:numPr>
        <w:numId w:val="19"/>
      </w:numPr>
      <w:spacing w:before="0" w:after="240"/>
    </w:pPr>
    <w:rPr>
      <w:szCs w:val="20"/>
      <w:lang w:eastAsia="en-US"/>
    </w:rPr>
  </w:style>
  <w:style w:type="paragraph" w:customStyle="1" w:styleId="ListDash">
    <w:name w:val="List Dash"/>
    <w:basedOn w:val="Normal"/>
    <w:pPr>
      <w:numPr>
        <w:numId w:val="20"/>
      </w:numPr>
      <w:spacing w:after="240" w:line="240" w:lineRule="auto"/>
      <w:jc w:val="both"/>
    </w:pPr>
    <w:rPr>
      <w:rFonts w:ascii="Times New Roman" w:eastAsia="Times New Roman" w:hAnsi="Times New Roman"/>
      <w:sz w:val="24"/>
      <w:szCs w:val="20"/>
    </w:rPr>
  </w:style>
  <w:style w:type="paragraph" w:customStyle="1" w:styleId="ListDash3">
    <w:name w:val="List Dash 3"/>
    <w:basedOn w:val="Text3"/>
    <w:pPr>
      <w:numPr>
        <w:numId w:val="23"/>
      </w:numPr>
      <w:spacing w:before="0" w:after="240"/>
    </w:pPr>
    <w:rPr>
      <w:szCs w:val="20"/>
      <w:lang w:eastAsia="en-US"/>
    </w:rPr>
  </w:style>
  <w:style w:type="paragraph" w:customStyle="1" w:styleId="ListDash4">
    <w:name w:val="List Dash 4"/>
    <w:basedOn w:val="Text4"/>
    <w:pPr>
      <w:numPr>
        <w:numId w:val="24"/>
      </w:numPr>
      <w:spacing w:before="0" w:after="240"/>
    </w:pPr>
    <w:rPr>
      <w:szCs w:val="20"/>
      <w:lang w:eastAsia="en-US"/>
    </w:rPr>
  </w:style>
  <w:style w:type="paragraph" w:customStyle="1" w:styleId="Annexetitrefichefinglobale">
    <w:name w:val="Annexe titre (fiche fin. globale)"/>
    <w:basedOn w:val="Normal"/>
    <w:next w:val="Normal"/>
    <w:pPr>
      <w:spacing w:before="120" w:after="120" w:line="240" w:lineRule="auto"/>
      <w:jc w:val="center"/>
    </w:pPr>
    <w:rPr>
      <w:rFonts w:ascii="Times New Roman" w:eastAsia="Times New Roman" w:hAnsi="Times New Roman"/>
      <w:b/>
      <w:sz w:val="24"/>
      <w:u w:val="single"/>
      <w:lang w:eastAsia="de-DE"/>
    </w:r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b/>
      <w:sz w:val="24"/>
      <w:u w:val="single"/>
      <w:lang w:eastAsia="de-DE"/>
    </w:rPr>
  </w:style>
  <w:style w:type="paragraph" w:customStyle="1" w:styleId="Exposdesmotifstitreglobal">
    <w:name w:val="Exposé des motifs titre (global)"/>
    <w:basedOn w:val="Normal"/>
    <w:next w:val="Normal"/>
    <w:pPr>
      <w:spacing w:before="120" w:after="120" w:line="240" w:lineRule="auto"/>
      <w:jc w:val="center"/>
    </w:pPr>
    <w:rPr>
      <w:rFonts w:ascii="Times New Roman" w:eastAsia="Times New Roman" w:hAnsi="Times New Roman"/>
      <w:b/>
      <w:sz w:val="24"/>
      <w:u w:val="single"/>
      <w:lang w:eastAsia="de-DE"/>
    </w:rPr>
  </w:style>
  <w:style w:type="paragraph" w:customStyle="1" w:styleId="Langueoriginale">
    <w:name w:val="Langue originale"/>
    <w:basedOn w:val="Normal"/>
    <w:next w:val="Phrasefinale"/>
    <w:pPr>
      <w:spacing w:before="360" w:after="120" w:line="240" w:lineRule="auto"/>
      <w:jc w:val="center"/>
    </w:pPr>
    <w:rPr>
      <w:rFonts w:ascii="Times New Roman" w:eastAsia="Times New Roman" w:hAnsi="Times New Roman"/>
      <w:caps/>
      <w:sz w:val="24"/>
      <w:lang w:eastAsia="de-DE"/>
    </w:rPr>
  </w:style>
  <w:style w:type="paragraph" w:customStyle="1" w:styleId="Phrasefinale">
    <w:name w:val="Phrase finale"/>
    <w:basedOn w:val="Normal"/>
    <w:next w:val="Normal"/>
    <w:pPr>
      <w:spacing w:before="360" w:after="0" w:line="240" w:lineRule="auto"/>
      <w:jc w:val="center"/>
    </w:pPr>
    <w:rPr>
      <w:rFonts w:ascii="Times New Roman" w:eastAsia="Times New Roman" w:hAnsi="Times New Roman"/>
      <w:sz w:val="24"/>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b/>
      <w:sz w:val="24"/>
      <w:lang w:eastAsia="de-DE"/>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b/>
      <w:sz w:val="24"/>
      <w:lang w:eastAsia="de-DE"/>
    </w:rPr>
  </w:style>
  <w:style w:type="paragraph" w:customStyle="1" w:styleId="Rfrenceinstitutionelle">
    <w:name w:val="Référence institutionelle"/>
    <w:basedOn w:val="Normal"/>
    <w:next w:val="Statut"/>
    <w:pPr>
      <w:spacing w:after="240" w:line="240" w:lineRule="auto"/>
      <w:ind w:left="5103"/>
    </w:pPr>
    <w:rPr>
      <w:rFonts w:ascii="Times New Roman" w:eastAsia="Times New Roman" w:hAnsi="Times New Roman"/>
      <w:sz w:val="24"/>
      <w:lang w:eastAsia="de-DE"/>
    </w:rPr>
  </w:style>
  <w:style w:type="paragraph" w:customStyle="1" w:styleId="Rfrenceinterinstitutionelle">
    <w:name w:val="Référence interinstitutionelle"/>
    <w:basedOn w:val="Normal"/>
    <w:next w:val="Statut"/>
    <w:pPr>
      <w:spacing w:after="0" w:line="240" w:lineRule="auto"/>
      <w:ind w:left="5103"/>
    </w:pPr>
    <w:rPr>
      <w:rFonts w:ascii="Times New Roman" w:eastAsia="Times New Roman" w:hAnsi="Times New Roman"/>
      <w:sz w:val="24"/>
      <w:lang w:eastAsia="de-DE"/>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sz w:val="24"/>
      <w:lang w:eastAsia="de-DE"/>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b/>
      <w:sz w:val="24"/>
      <w:lang w:eastAsia="de-DE"/>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sz w:val="24"/>
      <w:lang w:eastAsia="de-DE"/>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b/>
      <w:sz w:val="24"/>
      <w:lang w:eastAsia="de-DE"/>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b/>
      <w:sz w:val="24"/>
      <w:lang w:eastAsia="de-DE"/>
    </w:rPr>
  </w:style>
  <w:style w:type="paragraph" w:customStyle="1" w:styleId="Fichefinancirestandardtitre">
    <w:name w:val="Fiche financière (standard) titre"/>
    <w:basedOn w:val="Normal"/>
    <w:next w:val="Normal"/>
    <w:pPr>
      <w:spacing w:before="120" w:after="120" w:line="240" w:lineRule="auto"/>
      <w:jc w:val="center"/>
    </w:pPr>
    <w:rPr>
      <w:rFonts w:ascii="Times New Roman" w:eastAsia="Times New Roman" w:hAnsi="Times New Roman"/>
      <w:b/>
      <w:sz w:val="24"/>
      <w:u w:val="single"/>
      <w:lang w:eastAsia="de-DE"/>
    </w:rPr>
  </w:style>
  <w:style w:type="paragraph" w:customStyle="1" w:styleId="Fichefinancirestandardtitreacte">
    <w:name w:val="Fiche financière (standard) titre (acte)"/>
    <w:basedOn w:val="Normal"/>
    <w:next w:val="Normal"/>
    <w:pPr>
      <w:spacing w:before="120" w:after="120" w:line="240" w:lineRule="auto"/>
      <w:jc w:val="center"/>
    </w:pPr>
    <w:rPr>
      <w:rFonts w:ascii="Times New Roman" w:eastAsia="Times New Roman" w:hAnsi="Times New Roman"/>
      <w:b/>
      <w:sz w:val="24"/>
      <w:u w:val="single"/>
      <w:lang w:eastAsia="de-DE"/>
    </w:rPr>
  </w:style>
  <w:style w:type="paragraph" w:customStyle="1" w:styleId="Fichefinanciretravailtitre">
    <w:name w:val="Fiche financière (travail) titre"/>
    <w:basedOn w:val="Normal"/>
    <w:next w:val="Normal"/>
    <w:pPr>
      <w:spacing w:before="120" w:after="120" w:line="240" w:lineRule="auto"/>
      <w:jc w:val="center"/>
    </w:pPr>
    <w:rPr>
      <w:rFonts w:ascii="Times New Roman" w:eastAsia="Times New Roman" w:hAnsi="Times New Roman"/>
      <w:b/>
      <w:sz w:val="24"/>
      <w:u w:val="single"/>
      <w:lang w:eastAsia="de-DE"/>
    </w:rPr>
  </w:style>
  <w:style w:type="paragraph" w:customStyle="1" w:styleId="Fichefinanciretravailtitreacte">
    <w:name w:val="Fiche financière (travail) titre (acte)"/>
    <w:basedOn w:val="Normal"/>
    <w:next w:val="Normal"/>
    <w:pPr>
      <w:spacing w:before="120" w:after="120" w:line="240" w:lineRule="auto"/>
      <w:jc w:val="center"/>
    </w:pPr>
    <w:rPr>
      <w:rFonts w:ascii="Times New Roman" w:eastAsia="Times New Roman" w:hAnsi="Times New Roman"/>
      <w:b/>
      <w:sz w:val="24"/>
      <w:u w:val="single"/>
      <w:lang w:eastAsia="de-DE"/>
    </w:rPr>
  </w:style>
  <w:style w:type="paragraph" w:customStyle="1" w:styleId="Fichefinancireattributiontitre">
    <w:name w:val="Fiche financière (attribution) titre"/>
    <w:basedOn w:val="Normal"/>
    <w:next w:val="Normal"/>
    <w:pPr>
      <w:spacing w:before="120" w:after="120" w:line="240" w:lineRule="auto"/>
      <w:jc w:val="center"/>
    </w:pPr>
    <w:rPr>
      <w:rFonts w:ascii="Times New Roman" w:eastAsia="Times New Roman" w:hAnsi="Times New Roman"/>
      <w:b/>
      <w:sz w:val="24"/>
      <w:u w:val="single"/>
      <w:lang w:eastAsia="de-DE"/>
    </w:rPr>
  </w:style>
  <w:style w:type="paragraph" w:customStyle="1" w:styleId="Fichefinancireattributiontitreacte">
    <w:name w:val="Fiche financière (attribution) titre (acte)"/>
    <w:basedOn w:val="Normal"/>
    <w:next w:val="Normal"/>
    <w:pPr>
      <w:spacing w:before="120" w:after="120" w:line="240" w:lineRule="auto"/>
      <w:jc w:val="center"/>
    </w:pPr>
    <w:rPr>
      <w:rFonts w:ascii="Times New Roman" w:eastAsia="Times New Roman" w:hAnsi="Times New Roman"/>
      <w:b/>
      <w:sz w:val="24"/>
      <w:u w:val="single"/>
      <w:lang w:eastAsia="de-DE"/>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link w:val="PlainText"/>
    <w:rPr>
      <w:rFonts w:ascii="Courier New" w:eastAsia="Times New Roman" w:hAnsi="Courier New" w:cs="Courier New"/>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sz w:val="16"/>
      <w:szCs w:val="20"/>
      <w:lang w:eastAsia="en-GB"/>
    </w:rPr>
  </w:style>
  <w:style w:type="character" w:customStyle="1" w:styleId="BodyTextIndent3Char">
    <w:name w:val="Body Text Indent 3 Char"/>
    <w:link w:val="BodyTextIndent3"/>
    <w:rPr>
      <w:rFonts w:ascii="Times New Roman" w:eastAsia="Times New Roman" w:hAnsi="Times New Roman"/>
      <w:sz w:val="16"/>
    </w:rPr>
  </w:style>
  <w:style w:type="character" w:customStyle="1" w:styleId="shorttext">
    <w:name w:val="short_text"/>
    <w:rPr>
      <w:shd w:val="clear" w:color="auto" w:fill="auto"/>
    </w:rPr>
  </w:style>
  <w:style w:type="character" w:customStyle="1" w:styleId="hps">
    <w:name w:val="hps"/>
    <w:rPr>
      <w:shd w:val="clear" w:color="auto" w:fill="auto"/>
    </w:rPr>
  </w:style>
  <w:style w:type="character" w:styleId="Hyperlink">
    <w:name w:val="Hyperlink"/>
    <w:uiPriority w:val="99"/>
    <w:rPr>
      <w:color w:val="0000FF"/>
      <w:u w:val="single"/>
      <w:shd w:val="clear" w:color="auto" w:fill="auto"/>
    </w:rPr>
  </w:style>
  <w:style w:type="paragraph" w:styleId="Caption">
    <w:name w:val="caption"/>
    <w:basedOn w:val="Normal"/>
    <w:next w:val="Normal"/>
    <w:qFormat/>
    <w:pPr>
      <w:spacing w:before="120" w:after="120" w:line="240" w:lineRule="auto"/>
      <w:jc w:val="both"/>
    </w:pPr>
    <w:rPr>
      <w:rFonts w:ascii="Times New Roman" w:eastAsia="Times New Roman" w:hAnsi="Times New Roman"/>
      <w:b/>
      <w:bCs/>
      <w:sz w:val="20"/>
      <w:szCs w:val="20"/>
      <w:lang w:eastAsia="en-GB"/>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sz w:val="24"/>
      <w:lang w:eastAsia="en-GB"/>
    </w:rPr>
  </w:style>
  <w:style w:type="paragraph" w:styleId="CommentText">
    <w:name w:val="annotation text"/>
    <w:basedOn w:val="Normal"/>
    <w:link w:val="CommentTextChar"/>
    <w:semiHidden/>
    <w:pPr>
      <w:spacing w:before="120" w:after="120" w:line="240" w:lineRule="auto"/>
      <w:jc w:val="both"/>
    </w:pPr>
    <w:rPr>
      <w:rFonts w:ascii="Times New Roman" w:eastAsia="Times New Roman" w:hAnsi="Times New Roman"/>
      <w:sz w:val="20"/>
      <w:szCs w:val="20"/>
      <w:lang w:eastAsia="en-GB"/>
    </w:rPr>
  </w:style>
  <w:style w:type="character" w:customStyle="1" w:styleId="CommentTextChar">
    <w:name w:val="Comment Text Char"/>
    <w:link w:val="CommentText"/>
    <w:semiHidden/>
    <w:rPr>
      <w:rFonts w:ascii="Times New Roman" w:eastAsia="Times New Roman" w:hAnsi="Times New Roman"/>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rPr>
      <w:rFonts w:ascii="Times New Roman" w:eastAsia="Times New Roman" w:hAnsi="Times New Roman"/>
      <w:b/>
      <w:bCs/>
    </w:rPr>
  </w:style>
  <w:style w:type="paragraph" w:styleId="BalloonText">
    <w:name w:val="Balloon Text"/>
    <w:basedOn w:val="Normal"/>
    <w:link w:val="BalloonTextChar"/>
    <w:semiHidden/>
    <w:pPr>
      <w:spacing w:before="120" w:after="120" w:line="240" w:lineRule="auto"/>
      <w:jc w:val="both"/>
    </w:pPr>
    <w:rPr>
      <w:rFonts w:ascii="Tahoma" w:eastAsia="Times New Roman" w:hAnsi="Tahoma" w:cs="Tahoma"/>
      <w:sz w:val="16"/>
      <w:szCs w:val="16"/>
      <w:lang w:eastAsia="en-GB"/>
    </w:rPr>
  </w:style>
  <w:style w:type="character" w:customStyle="1" w:styleId="BalloonTextChar">
    <w:name w:val="Balloon Text Char"/>
    <w:link w:val="BalloonText"/>
    <w:semiHidden/>
    <w:rPr>
      <w:rFonts w:ascii="Tahoma" w:eastAsia="Times New Roman" w:hAnsi="Tahoma" w:cs="Tahoma"/>
      <w:sz w:val="16"/>
      <w:szCs w:val="16"/>
    </w:rPr>
  </w:style>
  <w:style w:type="character" w:styleId="CommentReference">
    <w:name w:val="annotation reference"/>
    <w:semiHidden/>
    <w:rPr>
      <w:sz w:val="16"/>
      <w:szCs w:val="16"/>
      <w:shd w:val="clear" w:color="auto" w:fill="auto"/>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imes New Roman" w:hAnsi="Times New Roman"/>
      <w:sz w:val="24"/>
      <w:lang w:eastAsia="en-GB"/>
    </w:rPr>
  </w:style>
  <w:style w:type="character" w:customStyle="1" w:styleId="HeaderChar">
    <w:name w:val="Header Char"/>
    <w:link w:val="Header"/>
    <w:uiPriority w:val="99"/>
    <w:rPr>
      <w:rFonts w:ascii="Times New Roman" w:eastAsia="Times New Roman" w:hAnsi="Times New Roman"/>
      <w:sz w:val="24"/>
      <w:szCs w:val="22"/>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imes New Roman" w:hAnsi="Times New Roman"/>
      <w:sz w:val="24"/>
      <w:lang w:eastAsia="en-GB"/>
    </w:rPr>
  </w:style>
  <w:style w:type="character" w:customStyle="1" w:styleId="FooterChar">
    <w:name w:val="Footer Char"/>
    <w:link w:val="Footer"/>
    <w:uiPriority w:val="99"/>
    <w:rPr>
      <w:rFonts w:ascii="Times New Roman" w:eastAsia="Times New Roman" w:hAnsi="Times New Roman"/>
      <w:sz w:val="24"/>
      <w:szCs w:val="22"/>
    </w:rPr>
  </w:style>
  <w:style w:type="paragraph" w:styleId="FootnoteText">
    <w:name w:val="footnote text"/>
    <w:basedOn w:val="Normal"/>
    <w:link w:val="FootnoteTextChar"/>
    <w:unhideWhenUsed/>
    <w:pPr>
      <w:spacing w:after="0" w:line="240" w:lineRule="auto"/>
      <w:ind w:left="720" w:hanging="720"/>
      <w:jc w:val="both"/>
    </w:pPr>
    <w:rPr>
      <w:rFonts w:ascii="Times New Roman" w:eastAsia="Times New Roman" w:hAnsi="Times New Roman"/>
      <w:sz w:val="20"/>
      <w:szCs w:val="20"/>
      <w:lang w:eastAsia="en-GB"/>
    </w:rPr>
  </w:style>
  <w:style w:type="character" w:customStyle="1" w:styleId="FootnoteTextChar">
    <w:name w:val="Footnote Text Char"/>
    <w:link w:val="FootnoteText"/>
    <w:rPr>
      <w:rFonts w:ascii="Times New Roman" w:eastAsia="Times New Roman" w:hAnsi="Times New Roman"/>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b/>
      <w:sz w:val="24"/>
      <w:szCs w:val="20"/>
    </w:rPr>
  </w:style>
  <w:style w:type="paragraph" w:styleId="TOC1">
    <w:name w:val="toc 1"/>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lang w:eastAsia="en-GB"/>
    </w:rPr>
  </w:style>
  <w:style w:type="paragraph" w:styleId="TOC2">
    <w:name w:val="toc 2"/>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lang w:eastAsia="en-GB"/>
    </w:rPr>
  </w:style>
  <w:style w:type="paragraph" w:styleId="TOC3">
    <w:name w:val="toc 3"/>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sz w:val="24"/>
      <w:lang w:eastAsia="en-GB"/>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sz w:val="24"/>
      <w:lang w:eastAsia="en-GB"/>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sz w:val="24"/>
      <w:lang w:eastAsia="en-GB"/>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lang w:eastAsia="en-GB"/>
    </w:rPr>
  </w:style>
  <w:style w:type="paragraph" w:customStyle="1" w:styleId="Tiret0">
    <w:name w:val="Tiret 0"/>
    <w:basedOn w:val="Point0"/>
    <w:pPr>
      <w:numPr>
        <w:numId w:val="2"/>
      </w:numPr>
    </w:pPr>
  </w:style>
  <w:style w:type="paragraph" w:customStyle="1" w:styleId="Tiret1">
    <w:name w:val="Tiret 1"/>
    <w:basedOn w:val="Point1"/>
    <w:pPr>
      <w:numPr>
        <w:numId w:val="1"/>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lang w:eastAsia="en-GB"/>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sz w:val="24"/>
      <w:lang w:eastAsia="en-GB"/>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sz w:val="24"/>
      <w:lang w:eastAsia="en-GB"/>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sz w:val="24"/>
      <w:lang w:eastAsia="en-GB"/>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lang w:eastAsia="en-G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sz w:val="24"/>
      <w:lang w:eastAsia="en-GB"/>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sz w:val="24"/>
      <w:lang w:eastAsia="en-GB"/>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sz w:val="24"/>
      <w:lang w:eastAsia="en-GB"/>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sz w:val="24"/>
      <w:lang w:eastAsia="en-GB"/>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sz w:val="24"/>
      <w:lang w:eastAsia="en-GB"/>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sz w:val="24"/>
      <w:lang w:eastAsia="en-GB"/>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sz w:val="24"/>
      <w:lang w:eastAsia="en-GB"/>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sz w:val="24"/>
      <w:lang w:eastAsia="en-GB"/>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sz w:val="24"/>
      <w:lang w:eastAsia="en-GB"/>
    </w:rPr>
  </w:style>
  <w:style w:type="paragraph" w:customStyle="1" w:styleId="Bullet0">
    <w:name w:val="Bullet 0"/>
    <w:basedOn w:val="Normal"/>
    <w:pPr>
      <w:numPr>
        <w:numId w:val="9"/>
      </w:numPr>
      <w:spacing w:before="120" w:after="120" w:line="240" w:lineRule="auto"/>
      <w:jc w:val="both"/>
    </w:pPr>
    <w:rPr>
      <w:rFonts w:ascii="Times New Roman" w:eastAsia="Times New Roman" w:hAnsi="Times New Roman"/>
      <w:sz w:val="24"/>
      <w:lang w:eastAsia="en-GB"/>
    </w:rPr>
  </w:style>
  <w:style w:type="paragraph" w:customStyle="1" w:styleId="Bullet1">
    <w:name w:val="Bullet 1"/>
    <w:basedOn w:val="Normal"/>
    <w:pPr>
      <w:numPr>
        <w:numId w:val="10"/>
      </w:numPr>
      <w:spacing w:before="120" w:after="120" w:line="240" w:lineRule="auto"/>
      <w:jc w:val="both"/>
    </w:pPr>
    <w:rPr>
      <w:rFonts w:ascii="Times New Roman" w:eastAsia="Times New Roman" w:hAnsi="Times New Roman"/>
      <w:sz w:val="24"/>
      <w:lang w:eastAsia="en-GB"/>
    </w:rPr>
  </w:style>
  <w:style w:type="paragraph" w:customStyle="1" w:styleId="Bullet2">
    <w:name w:val="Bullet 2"/>
    <w:basedOn w:val="Normal"/>
    <w:pPr>
      <w:numPr>
        <w:numId w:val="11"/>
      </w:numPr>
      <w:spacing w:before="120" w:after="120" w:line="240" w:lineRule="auto"/>
      <w:jc w:val="both"/>
    </w:pPr>
    <w:rPr>
      <w:rFonts w:ascii="Times New Roman" w:eastAsia="Times New Roman" w:hAnsi="Times New Roman"/>
      <w:sz w:val="24"/>
      <w:lang w:eastAsia="en-GB"/>
    </w:rPr>
  </w:style>
  <w:style w:type="paragraph" w:customStyle="1" w:styleId="Bullet3">
    <w:name w:val="Bullet 3"/>
    <w:basedOn w:val="Normal"/>
    <w:pPr>
      <w:numPr>
        <w:numId w:val="12"/>
      </w:numPr>
      <w:spacing w:before="120" w:after="120" w:line="240" w:lineRule="auto"/>
      <w:jc w:val="both"/>
    </w:pPr>
    <w:rPr>
      <w:rFonts w:ascii="Times New Roman" w:eastAsia="Times New Roman" w:hAnsi="Times New Roman"/>
      <w:sz w:val="24"/>
      <w:lang w:eastAsia="en-GB"/>
    </w:rPr>
  </w:style>
  <w:style w:type="paragraph" w:customStyle="1" w:styleId="Bullet4">
    <w:name w:val="Bullet 4"/>
    <w:basedOn w:val="Normal"/>
    <w:pPr>
      <w:numPr>
        <w:numId w:val="13"/>
      </w:numPr>
      <w:spacing w:before="120" w:after="120" w:line="240" w:lineRule="auto"/>
      <w:jc w:val="both"/>
    </w:pPr>
    <w:rPr>
      <w:rFonts w:ascii="Times New Roman" w:eastAsia="Times New Roman" w:hAnsi="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i/>
      <w:sz w:val="32"/>
      <w:lang w:eastAsia="en-GB"/>
    </w:rPr>
  </w:style>
  <w:style w:type="paragraph" w:customStyle="1" w:styleId="Considrant">
    <w:name w:val="Considérant"/>
    <w:basedOn w:val="Normal"/>
    <w:pPr>
      <w:numPr>
        <w:numId w:val="14"/>
      </w:numPr>
      <w:spacing w:before="120" w:after="120" w:line="240" w:lineRule="auto"/>
      <w:jc w:val="both"/>
    </w:pPr>
    <w:rPr>
      <w:rFonts w:ascii="Times New Roman" w:eastAsia="Times New Roman" w:hAnsi="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lang w:eastAsia="en-GB"/>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lang w:eastAsia="en-GB"/>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lang w:val="fr-BE" w:eastAsia="en-GB"/>
    </w:rPr>
  </w:style>
  <w:style w:type="character" w:customStyle="1" w:styleId="FooterCoverPageChar">
    <w:name w:val="Footer Cover Page Char"/>
    <w:link w:val="FooterCoverPage"/>
    <w:rPr>
      <w:rFonts w:ascii="Times New Roman" w:hAnsi="Times New Roman"/>
      <w:sz w:val="24"/>
      <w:szCs w:val="22"/>
      <w:lang w:val="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lang w:val="fr-BE" w:eastAsia="en-GB"/>
    </w:rPr>
  </w:style>
  <w:style w:type="character" w:customStyle="1" w:styleId="HeaderCoverPageChar">
    <w:name w:val="Header Cover Page Char"/>
    <w:link w:val="HeaderCoverPage"/>
    <w:rPr>
      <w:rFonts w:ascii="Times New Roman" w:hAnsi="Times New Roman"/>
      <w:sz w:val="24"/>
      <w:szCs w:val="22"/>
      <w:lang w:val="fr-BE"/>
    </w:rPr>
  </w:style>
  <w:style w:type="paragraph" w:styleId="Revision">
    <w:name w:val="Revision"/>
    <w:hidden/>
    <w:uiPriority w:val="99"/>
    <w:semiHidden/>
    <w:rPr>
      <w:sz w:val="22"/>
      <w:szCs w:val="22"/>
      <w:lang w:eastAsia="en-US"/>
    </w:rPr>
  </w:style>
  <w:style w:type="character" w:customStyle="1" w:styleId="Text1Char">
    <w:name w:val="Text 1 Char"/>
    <w:link w:val="Text1"/>
    <w:locked/>
    <w:rPr>
      <w:rFonts w:ascii="Times New Roman" w:eastAsia="Times New Roman" w:hAnsi="Times New Roman"/>
      <w:sz w:val="24"/>
      <w:szCs w:val="22"/>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sz w:val="24"/>
      <w:szCs w:val="20"/>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character" w:styleId="Strong">
    <w:name w:val="Strong"/>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4791">
      <w:bodyDiv w:val="1"/>
      <w:marLeft w:val="0"/>
      <w:marRight w:val="0"/>
      <w:marTop w:val="0"/>
      <w:marBottom w:val="0"/>
      <w:divBdr>
        <w:top w:val="none" w:sz="0" w:space="0" w:color="auto"/>
        <w:left w:val="none" w:sz="0" w:space="0" w:color="auto"/>
        <w:bottom w:val="none" w:sz="0" w:space="0" w:color="auto"/>
        <w:right w:val="none" w:sz="0" w:space="0" w:color="auto"/>
      </w:divBdr>
    </w:div>
    <w:div w:id="48503476">
      <w:bodyDiv w:val="1"/>
      <w:marLeft w:val="0"/>
      <w:marRight w:val="0"/>
      <w:marTop w:val="0"/>
      <w:marBottom w:val="0"/>
      <w:divBdr>
        <w:top w:val="none" w:sz="0" w:space="0" w:color="auto"/>
        <w:left w:val="none" w:sz="0" w:space="0" w:color="auto"/>
        <w:bottom w:val="none" w:sz="0" w:space="0" w:color="auto"/>
        <w:right w:val="none" w:sz="0" w:space="0" w:color="auto"/>
      </w:divBdr>
    </w:div>
    <w:div w:id="55590005">
      <w:bodyDiv w:val="1"/>
      <w:marLeft w:val="0"/>
      <w:marRight w:val="0"/>
      <w:marTop w:val="0"/>
      <w:marBottom w:val="0"/>
      <w:divBdr>
        <w:top w:val="none" w:sz="0" w:space="0" w:color="auto"/>
        <w:left w:val="none" w:sz="0" w:space="0" w:color="auto"/>
        <w:bottom w:val="none" w:sz="0" w:space="0" w:color="auto"/>
        <w:right w:val="none" w:sz="0" w:space="0" w:color="auto"/>
      </w:divBdr>
    </w:div>
    <w:div w:id="57746921">
      <w:bodyDiv w:val="1"/>
      <w:marLeft w:val="0"/>
      <w:marRight w:val="0"/>
      <w:marTop w:val="0"/>
      <w:marBottom w:val="0"/>
      <w:divBdr>
        <w:top w:val="none" w:sz="0" w:space="0" w:color="auto"/>
        <w:left w:val="none" w:sz="0" w:space="0" w:color="auto"/>
        <w:bottom w:val="none" w:sz="0" w:space="0" w:color="auto"/>
        <w:right w:val="none" w:sz="0" w:space="0" w:color="auto"/>
      </w:divBdr>
    </w:div>
    <w:div w:id="79524618">
      <w:bodyDiv w:val="1"/>
      <w:marLeft w:val="0"/>
      <w:marRight w:val="0"/>
      <w:marTop w:val="0"/>
      <w:marBottom w:val="0"/>
      <w:divBdr>
        <w:top w:val="none" w:sz="0" w:space="0" w:color="auto"/>
        <w:left w:val="none" w:sz="0" w:space="0" w:color="auto"/>
        <w:bottom w:val="none" w:sz="0" w:space="0" w:color="auto"/>
        <w:right w:val="none" w:sz="0" w:space="0" w:color="auto"/>
      </w:divBdr>
    </w:div>
    <w:div w:id="89620424">
      <w:bodyDiv w:val="1"/>
      <w:marLeft w:val="0"/>
      <w:marRight w:val="0"/>
      <w:marTop w:val="0"/>
      <w:marBottom w:val="0"/>
      <w:divBdr>
        <w:top w:val="none" w:sz="0" w:space="0" w:color="auto"/>
        <w:left w:val="none" w:sz="0" w:space="0" w:color="auto"/>
        <w:bottom w:val="none" w:sz="0" w:space="0" w:color="auto"/>
        <w:right w:val="none" w:sz="0" w:space="0" w:color="auto"/>
      </w:divBdr>
    </w:div>
    <w:div w:id="117531499">
      <w:bodyDiv w:val="1"/>
      <w:marLeft w:val="0"/>
      <w:marRight w:val="0"/>
      <w:marTop w:val="0"/>
      <w:marBottom w:val="0"/>
      <w:divBdr>
        <w:top w:val="none" w:sz="0" w:space="0" w:color="auto"/>
        <w:left w:val="none" w:sz="0" w:space="0" w:color="auto"/>
        <w:bottom w:val="none" w:sz="0" w:space="0" w:color="auto"/>
        <w:right w:val="none" w:sz="0" w:space="0" w:color="auto"/>
      </w:divBdr>
    </w:div>
    <w:div w:id="165752188">
      <w:bodyDiv w:val="1"/>
      <w:marLeft w:val="0"/>
      <w:marRight w:val="0"/>
      <w:marTop w:val="0"/>
      <w:marBottom w:val="0"/>
      <w:divBdr>
        <w:top w:val="none" w:sz="0" w:space="0" w:color="auto"/>
        <w:left w:val="none" w:sz="0" w:space="0" w:color="auto"/>
        <w:bottom w:val="none" w:sz="0" w:space="0" w:color="auto"/>
        <w:right w:val="none" w:sz="0" w:space="0" w:color="auto"/>
      </w:divBdr>
    </w:div>
    <w:div w:id="196701086">
      <w:bodyDiv w:val="1"/>
      <w:marLeft w:val="0"/>
      <w:marRight w:val="0"/>
      <w:marTop w:val="0"/>
      <w:marBottom w:val="0"/>
      <w:divBdr>
        <w:top w:val="none" w:sz="0" w:space="0" w:color="auto"/>
        <w:left w:val="none" w:sz="0" w:space="0" w:color="auto"/>
        <w:bottom w:val="none" w:sz="0" w:space="0" w:color="auto"/>
        <w:right w:val="none" w:sz="0" w:space="0" w:color="auto"/>
      </w:divBdr>
    </w:div>
    <w:div w:id="230584177">
      <w:bodyDiv w:val="1"/>
      <w:marLeft w:val="0"/>
      <w:marRight w:val="0"/>
      <w:marTop w:val="0"/>
      <w:marBottom w:val="0"/>
      <w:divBdr>
        <w:top w:val="none" w:sz="0" w:space="0" w:color="auto"/>
        <w:left w:val="none" w:sz="0" w:space="0" w:color="auto"/>
        <w:bottom w:val="none" w:sz="0" w:space="0" w:color="auto"/>
        <w:right w:val="none" w:sz="0" w:space="0" w:color="auto"/>
      </w:divBdr>
    </w:div>
    <w:div w:id="232088436">
      <w:bodyDiv w:val="1"/>
      <w:marLeft w:val="0"/>
      <w:marRight w:val="0"/>
      <w:marTop w:val="0"/>
      <w:marBottom w:val="0"/>
      <w:divBdr>
        <w:top w:val="none" w:sz="0" w:space="0" w:color="auto"/>
        <w:left w:val="none" w:sz="0" w:space="0" w:color="auto"/>
        <w:bottom w:val="none" w:sz="0" w:space="0" w:color="auto"/>
        <w:right w:val="none" w:sz="0" w:space="0" w:color="auto"/>
      </w:divBdr>
    </w:div>
    <w:div w:id="285431364">
      <w:bodyDiv w:val="1"/>
      <w:marLeft w:val="0"/>
      <w:marRight w:val="0"/>
      <w:marTop w:val="0"/>
      <w:marBottom w:val="0"/>
      <w:divBdr>
        <w:top w:val="none" w:sz="0" w:space="0" w:color="auto"/>
        <w:left w:val="none" w:sz="0" w:space="0" w:color="auto"/>
        <w:bottom w:val="none" w:sz="0" w:space="0" w:color="auto"/>
        <w:right w:val="none" w:sz="0" w:space="0" w:color="auto"/>
      </w:divBdr>
    </w:div>
    <w:div w:id="288627254">
      <w:bodyDiv w:val="1"/>
      <w:marLeft w:val="0"/>
      <w:marRight w:val="0"/>
      <w:marTop w:val="0"/>
      <w:marBottom w:val="0"/>
      <w:divBdr>
        <w:top w:val="none" w:sz="0" w:space="0" w:color="auto"/>
        <w:left w:val="none" w:sz="0" w:space="0" w:color="auto"/>
        <w:bottom w:val="none" w:sz="0" w:space="0" w:color="auto"/>
        <w:right w:val="none" w:sz="0" w:space="0" w:color="auto"/>
      </w:divBdr>
    </w:div>
    <w:div w:id="344330042">
      <w:bodyDiv w:val="1"/>
      <w:marLeft w:val="0"/>
      <w:marRight w:val="0"/>
      <w:marTop w:val="0"/>
      <w:marBottom w:val="0"/>
      <w:divBdr>
        <w:top w:val="none" w:sz="0" w:space="0" w:color="auto"/>
        <w:left w:val="none" w:sz="0" w:space="0" w:color="auto"/>
        <w:bottom w:val="none" w:sz="0" w:space="0" w:color="auto"/>
        <w:right w:val="none" w:sz="0" w:space="0" w:color="auto"/>
      </w:divBdr>
    </w:div>
    <w:div w:id="526061196">
      <w:bodyDiv w:val="1"/>
      <w:marLeft w:val="0"/>
      <w:marRight w:val="0"/>
      <w:marTop w:val="0"/>
      <w:marBottom w:val="0"/>
      <w:divBdr>
        <w:top w:val="none" w:sz="0" w:space="0" w:color="auto"/>
        <w:left w:val="none" w:sz="0" w:space="0" w:color="auto"/>
        <w:bottom w:val="none" w:sz="0" w:space="0" w:color="auto"/>
        <w:right w:val="none" w:sz="0" w:space="0" w:color="auto"/>
      </w:divBdr>
    </w:div>
    <w:div w:id="526068619">
      <w:bodyDiv w:val="1"/>
      <w:marLeft w:val="0"/>
      <w:marRight w:val="0"/>
      <w:marTop w:val="0"/>
      <w:marBottom w:val="0"/>
      <w:divBdr>
        <w:top w:val="none" w:sz="0" w:space="0" w:color="auto"/>
        <w:left w:val="none" w:sz="0" w:space="0" w:color="auto"/>
        <w:bottom w:val="none" w:sz="0" w:space="0" w:color="auto"/>
        <w:right w:val="none" w:sz="0" w:space="0" w:color="auto"/>
      </w:divBdr>
    </w:div>
    <w:div w:id="580794129">
      <w:bodyDiv w:val="1"/>
      <w:marLeft w:val="0"/>
      <w:marRight w:val="0"/>
      <w:marTop w:val="0"/>
      <w:marBottom w:val="0"/>
      <w:divBdr>
        <w:top w:val="none" w:sz="0" w:space="0" w:color="auto"/>
        <w:left w:val="none" w:sz="0" w:space="0" w:color="auto"/>
        <w:bottom w:val="none" w:sz="0" w:space="0" w:color="auto"/>
        <w:right w:val="none" w:sz="0" w:space="0" w:color="auto"/>
      </w:divBdr>
    </w:div>
    <w:div w:id="610018029">
      <w:bodyDiv w:val="1"/>
      <w:marLeft w:val="0"/>
      <w:marRight w:val="0"/>
      <w:marTop w:val="0"/>
      <w:marBottom w:val="0"/>
      <w:divBdr>
        <w:top w:val="none" w:sz="0" w:space="0" w:color="auto"/>
        <w:left w:val="none" w:sz="0" w:space="0" w:color="auto"/>
        <w:bottom w:val="none" w:sz="0" w:space="0" w:color="auto"/>
        <w:right w:val="none" w:sz="0" w:space="0" w:color="auto"/>
      </w:divBdr>
    </w:div>
    <w:div w:id="736437301">
      <w:bodyDiv w:val="1"/>
      <w:marLeft w:val="0"/>
      <w:marRight w:val="0"/>
      <w:marTop w:val="0"/>
      <w:marBottom w:val="0"/>
      <w:divBdr>
        <w:top w:val="none" w:sz="0" w:space="0" w:color="auto"/>
        <w:left w:val="none" w:sz="0" w:space="0" w:color="auto"/>
        <w:bottom w:val="none" w:sz="0" w:space="0" w:color="auto"/>
        <w:right w:val="none" w:sz="0" w:space="0" w:color="auto"/>
      </w:divBdr>
    </w:div>
    <w:div w:id="742799920">
      <w:bodyDiv w:val="1"/>
      <w:marLeft w:val="0"/>
      <w:marRight w:val="0"/>
      <w:marTop w:val="0"/>
      <w:marBottom w:val="0"/>
      <w:divBdr>
        <w:top w:val="none" w:sz="0" w:space="0" w:color="auto"/>
        <w:left w:val="none" w:sz="0" w:space="0" w:color="auto"/>
        <w:bottom w:val="none" w:sz="0" w:space="0" w:color="auto"/>
        <w:right w:val="none" w:sz="0" w:space="0" w:color="auto"/>
      </w:divBdr>
    </w:div>
    <w:div w:id="746150139">
      <w:bodyDiv w:val="1"/>
      <w:marLeft w:val="0"/>
      <w:marRight w:val="0"/>
      <w:marTop w:val="0"/>
      <w:marBottom w:val="0"/>
      <w:divBdr>
        <w:top w:val="none" w:sz="0" w:space="0" w:color="auto"/>
        <w:left w:val="none" w:sz="0" w:space="0" w:color="auto"/>
        <w:bottom w:val="none" w:sz="0" w:space="0" w:color="auto"/>
        <w:right w:val="none" w:sz="0" w:space="0" w:color="auto"/>
      </w:divBdr>
    </w:div>
    <w:div w:id="772557418">
      <w:bodyDiv w:val="1"/>
      <w:marLeft w:val="0"/>
      <w:marRight w:val="0"/>
      <w:marTop w:val="0"/>
      <w:marBottom w:val="0"/>
      <w:divBdr>
        <w:top w:val="none" w:sz="0" w:space="0" w:color="auto"/>
        <w:left w:val="none" w:sz="0" w:space="0" w:color="auto"/>
        <w:bottom w:val="none" w:sz="0" w:space="0" w:color="auto"/>
        <w:right w:val="none" w:sz="0" w:space="0" w:color="auto"/>
      </w:divBdr>
    </w:div>
    <w:div w:id="774903897">
      <w:bodyDiv w:val="1"/>
      <w:marLeft w:val="0"/>
      <w:marRight w:val="0"/>
      <w:marTop w:val="0"/>
      <w:marBottom w:val="0"/>
      <w:divBdr>
        <w:top w:val="none" w:sz="0" w:space="0" w:color="auto"/>
        <w:left w:val="none" w:sz="0" w:space="0" w:color="auto"/>
        <w:bottom w:val="none" w:sz="0" w:space="0" w:color="auto"/>
        <w:right w:val="none" w:sz="0" w:space="0" w:color="auto"/>
      </w:divBdr>
    </w:div>
    <w:div w:id="824054861">
      <w:bodyDiv w:val="1"/>
      <w:marLeft w:val="0"/>
      <w:marRight w:val="0"/>
      <w:marTop w:val="0"/>
      <w:marBottom w:val="0"/>
      <w:divBdr>
        <w:top w:val="none" w:sz="0" w:space="0" w:color="auto"/>
        <w:left w:val="none" w:sz="0" w:space="0" w:color="auto"/>
        <w:bottom w:val="none" w:sz="0" w:space="0" w:color="auto"/>
        <w:right w:val="none" w:sz="0" w:space="0" w:color="auto"/>
      </w:divBdr>
    </w:div>
    <w:div w:id="837111333">
      <w:bodyDiv w:val="1"/>
      <w:marLeft w:val="0"/>
      <w:marRight w:val="0"/>
      <w:marTop w:val="0"/>
      <w:marBottom w:val="0"/>
      <w:divBdr>
        <w:top w:val="none" w:sz="0" w:space="0" w:color="auto"/>
        <w:left w:val="none" w:sz="0" w:space="0" w:color="auto"/>
        <w:bottom w:val="none" w:sz="0" w:space="0" w:color="auto"/>
        <w:right w:val="none" w:sz="0" w:space="0" w:color="auto"/>
      </w:divBdr>
    </w:div>
    <w:div w:id="889069503">
      <w:bodyDiv w:val="1"/>
      <w:marLeft w:val="0"/>
      <w:marRight w:val="0"/>
      <w:marTop w:val="0"/>
      <w:marBottom w:val="0"/>
      <w:divBdr>
        <w:top w:val="none" w:sz="0" w:space="0" w:color="auto"/>
        <w:left w:val="none" w:sz="0" w:space="0" w:color="auto"/>
        <w:bottom w:val="none" w:sz="0" w:space="0" w:color="auto"/>
        <w:right w:val="none" w:sz="0" w:space="0" w:color="auto"/>
      </w:divBdr>
    </w:div>
    <w:div w:id="1008021674">
      <w:bodyDiv w:val="1"/>
      <w:marLeft w:val="0"/>
      <w:marRight w:val="0"/>
      <w:marTop w:val="0"/>
      <w:marBottom w:val="0"/>
      <w:divBdr>
        <w:top w:val="none" w:sz="0" w:space="0" w:color="auto"/>
        <w:left w:val="none" w:sz="0" w:space="0" w:color="auto"/>
        <w:bottom w:val="none" w:sz="0" w:space="0" w:color="auto"/>
        <w:right w:val="none" w:sz="0" w:space="0" w:color="auto"/>
      </w:divBdr>
    </w:div>
    <w:div w:id="1024332129">
      <w:bodyDiv w:val="1"/>
      <w:marLeft w:val="0"/>
      <w:marRight w:val="0"/>
      <w:marTop w:val="0"/>
      <w:marBottom w:val="0"/>
      <w:divBdr>
        <w:top w:val="none" w:sz="0" w:space="0" w:color="auto"/>
        <w:left w:val="none" w:sz="0" w:space="0" w:color="auto"/>
        <w:bottom w:val="none" w:sz="0" w:space="0" w:color="auto"/>
        <w:right w:val="none" w:sz="0" w:space="0" w:color="auto"/>
      </w:divBdr>
    </w:div>
    <w:div w:id="1065105355">
      <w:bodyDiv w:val="1"/>
      <w:marLeft w:val="0"/>
      <w:marRight w:val="0"/>
      <w:marTop w:val="0"/>
      <w:marBottom w:val="0"/>
      <w:divBdr>
        <w:top w:val="none" w:sz="0" w:space="0" w:color="auto"/>
        <w:left w:val="none" w:sz="0" w:space="0" w:color="auto"/>
        <w:bottom w:val="none" w:sz="0" w:space="0" w:color="auto"/>
        <w:right w:val="none" w:sz="0" w:space="0" w:color="auto"/>
      </w:divBdr>
    </w:div>
    <w:div w:id="1104810222">
      <w:bodyDiv w:val="1"/>
      <w:marLeft w:val="0"/>
      <w:marRight w:val="0"/>
      <w:marTop w:val="0"/>
      <w:marBottom w:val="0"/>
      <w:divBdr>
        <w:top w:val="none" w:sz="0" w:space="0" w:color="auto"/>
        <w:left w:val="none" w:sz="0" w:space="0" w:color="auto"/>
        <w:bottom w:val="none" w:sz="0" w:space="0" w:color="auto"/>
        <w:right w:val="none" w:sz="0" w:space="0" w:color="auto"/>
      </w:divBdr>
    </w:div>
    <w:div w:id="1179542234">
      <w:bodyDiv w:val="1"/>
      <w:marLeft w:val="0"/>
      <w:marRight w:val="0"/>
      <w:marTop w:val="0"/>
      <w:marBottom w:val="0"/>
      <w:divBdr>
        <w:top w:val="none" w:sz="0" w:space="0" w:color="auto"/>
        <w:left w:val="none" w:sz="0" w:space="0" w:color="auto"/>
        <w:bottom w:val="none" w:sz="0" w:space="0" w:color="auto"/>
        <w:right w:val="none" w:sz="0" w:space="0" w:color="auto"/>
      </w:divBdr>
    </w:div>
    <w:div w:id="1190029536">
      <w:bodyDiv w:val="1"/>
      <w:marLeft w:val="0"/>
      <w:marRight w:val="0"/>
      <w:marTop w:val="0"/>
      <w:marBottom w:val="0"/>
      <w:divBdr>
        <w:top w:val="none" w:sz="0" w:space="0" w:color="auto"/>
        <w:left w:val="none" w:sz="0" w:space="0" w:color="auto"/>
        <w:bottom w:val="none" w:sz="0" w:space="0" w:color="auto"/>
        <w:right w:val="none" w:sz="0" w:space="0" w:color="auto"/>
      </w:divBdr>
    </w:div>
    <w:div w:id="1231162155">
      <w:bodyDiv w:val="1"/>
      <w:marLeft w:val="0"/>
      <w:marRight w:val="0"/>
      <w:marTop w:val="0"/>
      <w:marBottom w:val="0"/>
      <w:divBdr>
        <w:top w:val="none" w:sz="0" w:space="0" w:color="auto"/>
        <w:left w:val="none" w:sz="0" w:space="0" w:color="auto"/>
        <w:bottom w:val="none" w:sz="0" w:space="0" w:color="auto"/>
        <w:right w:val="none" w:sz="0" w:space="0" w:color="auto"/>
      </w:divBdr>
    </w:div>
    <w:div w:id="1325818863">
      <w:bodyDiv w:val="1"/>
      <w:marLeft w:val="0"/>
      <w:marRight w:val="0"/>
      <w:marTop w:val="0"/>
      <w:marBottom w:val="0"/>
      <w:divBdr>
        <w:top w:val="none" w:sz="0" w:space="0" w:color="auto"/>
        <w:left w:val="none" w:sz="0" w:space="0" w:color="auto"/>
        <w:bottom w:val="none" w:sz="0" w:space="0" w:color="auto"/>
        <w:right w:val="none" w:sz="0" w:space="0" w:color="auto"/>
      </w:divBdr>
    </w:div>
    <w:div w:id="1331592549">
      <w:bodyDiv w:val="1"/>
      <w:marLeft w:val="0"/>
      <w:marRight w:val="0"/>
      <w:marTop w:val="0"/>
      <w:marBottom w:val="0"/>
      <w:divBdr>
        <w:top w:val="none" w:sz="0" w:space="0" w:color="auto"/>
        <w:left w:val="none" w:sz="0" w:space="0" w:color="auto"/>
        <w:bottom w:val="none" w:sz="0" w:space="0" w:color="auto"/>
        <w:right w:val="none" w:sz="0" w:space="0" w:color="auto"/>
      </w:divBdr>
    </w:div>
    <w:div w:id="1342201723">
      <w:bodyDiv w:val="1"/>
      <w:marLeft w:val="0"/>
      <w:marRight w:val="0"/>
      <w:marTop w:val="0"/>
      <w:marBottom w:val="0"/>
      <w:divBdr>
        <w:top w:val="none" w:sz="0" w:space="0" w:color="auto"/>
        <w:left w:val="none" w:sz="0" w:space="0" w:color="auto"/>
        <w:bottom w:val="none" w:sz="0" w:space="0" w:color="auto"/>
        <w:right w:val="none" w:sz="0" w:space="0" w:color="auto"/>
      </w:divBdr>
    </w:div>
    <w:div w:id="1345981416">
      <w:bodyDiv w:val="1"/>
      <w:marLeft w:val="0"/>
      <w:marRight w:val="0"/>
      <w:marTop w:val="0"/>
      <w:marBottom w:val="0"/>
      <w:divBdr>
        <w:top w:val="none" w:sz="0" w:space="0" w:color="auto"/>
        <w:left w:val="none" w:sz="0" w:space="0" w:color="auto"/>
        <w:bottom w:val="none" w:sz="0" w:space="0" w:color="auto"/>
        <w:right w:val="none" w:sz="0" w:space="0" w:color="auto"/>
      </w:divBdr>
    </w:div>
    <w:div w:id="1354109431">
      <w:bodyDiv w:val="1"/>
      <w:marLeft w:val="0"/>
      <w:marRight w:val="0"/>
      <w:marTop w:val="0"/>
      <w:marBottom w:val="0"/>
      <w:divBdr>
        <w:top w:val="none" w:sz="0" w:space="0" w:color="auto"/>
        <w:left w:val="none" w:sz="0" w:space="0" w:color="auto"/>
        <w:bottom w:val="none" w:sz="0" w:space="0" w:color="auto"/>
        <w:right w:val="none" w:sz="0" w:space="0" w:color="auto"/>
      </w:divBdr>
    </w:div>
    <w:div w:id="1372345142">
      <w:bodyDiv w:val="1"/>
      <w:marLeft w:val="0"/>
      <w:marRight w:val="0"/>
      <w:marTop w:val="0"/>
      <w:marBottom w:val="0"/>
      <w:divBdr>
        <w:top w:val="none" w:sz="0" w:space="0" w:color="auto"/>
        <w:left w:val="none" w:sz="0" w:space="0" w:color="auto"/>
        <w:bottom w:val="none" w:sz="0" w:space="0" w:color="auto"/>
        <w:right w:val="none" w:sz="0" w:space="0" w:color="auto"/>
      </w:divBdr>
    </w:div>
    <w:div w:id="1410226752">
      <w:bodyDiv w:val="1"/>
      <w:marLeft w:val="0"/>
      <w:marRight w:val="0"/>
      <w:marTop w:val="0"/>
      <w:marBottom w:val="0"/>
      <w:divBdr>
        <w:top w:val="none" w:sz="0" w:space="0" w:color="auto"/>
        <w:left w:val="none" w:sz="0" w:space="0" w:color="auto"/>
        <w:bottom w:val="none" w:sz="0" w:space="0" w:color="auto"/>
        <w:right w:val="none" w:sz="0" w:space="0" w:color="auto"/>
      </w:divBdr>
    </w:div>
    <w:div w:id="1538005148">
      <w:bodyDiv w:val="1"/>
      <w:marLeft w:val="0"/>
      <w:marRight w:val="0"/>
      <w:marTop w:val="0"/>
      <w:marBottom w:val="0"/>
      <w:divBdr>
        <w:top w:val="none" w:sz="0" w:space="0" w:color="auto"/>
        <w:left w:val="none" w:sz="0" w:space="0" w:color="auto"/>
        <w:bottom w:val="none" w:sz="0" w:space="0" w:color="auto"/>
        <w:right w:val="none" w:sz="0" w:space="0" w:color="auto"/>
      </w:divBdr>
    </w:div>
    <w:div w:id="1565525382">
      <w:bodyDiv w:val="1"/>
      <w:marLeft w:val="0"/>
      <w:marRight w:val="0"/>
      <w:marTop w:val="0"/>
      <w:marBottom w:val="0"/>
      <w:divBdr>
        <w:top w:val="none" w:sz="0" w:space="0" w:color="auto"/>
        <w:left w:val="none" w:sz="0" w:space="0" w:color="auto"/>
        <w:bottom w:val="none" w:sz="0" w:space="0" w:color="auto"/>
        <w:right w:val="none" w:sz="0" w:space="0" w:color="auto"/>
      </w:divBdr>
    </w:div>
    <w:div w:id="1622609434">
      <w:bodyDiv w:val="1"/>
      <w:marLeft w:val="0"/>
      <w:marRight w:val="0"/>
      <w:marTop w:val="0"/>
      <w:marBottom w:val="0"/>
      <w:divBdr>
        <w:top w:val="none" w:sz="0" w:space="0" w:color="auto"/>
        <w:left w:val="none" w:sz="0" w:space="0" w:color="auto"/>
        <w:bottom w:val="none" w:sz="0" w:space="0" w:color="auto"/>
        <w:right w:val="none" w:sz="0" w:space="0" w:color="auto"/>
      </w:divBdr>
    </w:div>
    <w:div w:id="1659728628">
      <w:bodyDiv w:val="1"/>
      <w:marLeft w:val="0"/>
      <w:marRight w:val="0"/>
      <w:marTop w:val="0"/>
      <w:marBottom w:val="0"/>
      <w:divBdr>
        <w:top w:val="none" w:sz="0" w:space="0" w:color="auto"/>
        <w:left w:val="none" w:sz="0" w:space="0" w:color="auto"/>
        <w:bottom w:val="none" w:sz="0" w:space="0" w:color="auto"/>
        <w:right w:val="none" w:sz="0" w:space="0" w:color="auto"/>
      </w:divBdr>
    </w:div>
    <w:div w:id="1682929643">
      <w:bodyDiv w:val="1"/>
      <w:marLeft w:val="0"/>
      <w:marRight w:val="0"/>
      <w:marTop w:val="0"/>
      <w:marBottom w:val="0"/>
      <w:divBdr>
        <w:top w:val="none" w:sz="0" w:space="0" w:color="auto"/>
        <w:left w:val="none" w:sz="0" w:space="0" w:color="auto"/>
        <w:bottom w:val="none" w:sz="0" w:space="0" w:color="auto"/>
        <w:right w:val="none" w:sz="0" w:space="0" w:color="auto"/>
      </w:divBdr>
    </w:div>
    <w:div w:id="1721779611">
      <w:bodyDiv w:val="1"/>
      <w:marLeft w:val="0"/>
      <w:marRight w:val="0"/>
      <w:marTop w:val="0"/>
      <w:marBottom w:val="0"/>
      <w:divBdr>
        <w:top w:val="none" w:sz="0" w:space="0" w:color="auto"/>
        <w:left w:val="none" w:sz="0" w:space="0" w:color="auto"/>
        <w:bottom w:val="none" w:sz="0" w:space="0" w:color="auto"/>
        <w:right w:val="none" w:sz="0" w:space="0" w:color="auto"/>
      </w:divBdr>
    </w:div>
    <w:div w:id="1741518366">
      <w:bodyDiv w:val="1"/>
      <w:marLeft w:val="0"/>
      <w:marRight w:val="0"/>
      <w:marTop w:val="0"/>
      <w:marBottom w:val="0"/>
      <w:divBdr>
        <w:top w:val="none" w:sz="0" w:space="0" w:color="auto"/>
        <w:left w:val="none" w:sz="0" w:space="0" w:color="auto"/>
        <w:bottom w:val="none" w:sz="0" w:space="0" w:color="auto"/>
        <w:right w:val="none" w:sz="0" w:space="0" w:color="auto"/>
      </w:divBdr>
    </w:div>
    <w:div w:id="1867711935">
      <w:bodyDiv w:val="1"/>
      <w:marLeft w:val="0"/>
      <w:marRight w:val="0"/>
      <w:marTop w:val="0"/>
      <w:marBottom w:val="0"/>
      <w:divBdr>
        <w:top w:val="none" w:sz="0" w:space="0" w:color="auto"/>
        <w:left w:val="none" w:sz="0" w:space="0" w:color="auto"/>
        <w:bottom w:val="none" w:sz="0" w:space="0" w:color="auto"/>
        <w:right w:val="none" w:sz="0" w:space="0" w:color="auto"/>
      </w:divBdr>
    </w:div>
    <w:div w:id="1888374777">
      <w:bodyDiv w:val="1"/>
      <w:marLeft w:val="0"/>
      <w:marRight w:val="0"/>
      <w:marTop w:val="0"/>
      <w:marBottom w:val="0"/>
      <w:divBdr>
        <w:top w:val="none" w:sz="0" w:space="0" w:color="auto"/>
        <w:left w:val="none" w:sz="0" w:space="0" w:color="auto"/>
        <w:bottom w:val="none" w:sz="0" w:space="0" w:color="auto"/>
        <w:right w:val="none" w:sz="0" w:space="0" w:color="auto"/>
      </w:divBdr>
    </w:div>
    <w:div w:id="1914316164">
      <w:bodyDiv w:val="1"/>
      <w:marLeft w:val="0"/>
      <w:marRight w:val="0"/>
      <w:marTop w:val="0"/>
      <w:marBottom w:val="0"/>
      <w:divBdr>
        <w:top w:val="none" w:sz="0" w:space="0" w:color="auto"/>
        <w:left w:val="none" w:sz="0" w:space="0" w:color="auto"/>
        <w:bottom w:val="none" w:sz="0" w:space="0" w:color="auto"/>
        <w:right w:val="none" w:sz="0" w:space="0" w:color="auto"/>
      </w:divBdr>
    </w:div>
    <w:div w:id="1929995712">
      <w:bodyDiv w:val="1"/>
      <w:marLeft w:val="0"/>
      <w:marRight w:val="0"/>
      <w:marTop w:val="0"/>
      <w:marBottom w:val="0"/>
      <w:divBdr>
        <w:top w:val="none" w:sz="0" w:space="0" w:color="auto"/>
        <w:left w:val="none" w:sz="0" w:space="0" w:color="auto"/>
        <w:bottom w:val="none" w:sz="0" w:space="0" w:color="auto"/>
        <w:right w:val="none" w:sz="0" w:space="0" w:color="auto"/>
      </w:divBdr>
    </w:div>
    <w:div w:id="1941063620">
      <w:bodyDiv w:val="1"/>
      <w:marLeft w:val="0"/>
      <w:marRight w:val="0"/>
      <w:marTop w:val="0"/>
      <w:marBottom w:val="0"/>
      <w:divBdr>
        <w:top w:val="none" w:sz="0" w:space="0" w:color="auto"/>
        <w:left w:val="none" w:sz="0" w:space="0" w:color="auto"/>
        <w:bottom w:val="none" w:sz="0" w:space="0" w:color="auto"/>
        <w:right w:val="none" w:sz="0" w:space="0" w:color="auto"/>
      </w:divBdr>
    </w:div>
    <w:div w:id="2045985606">
      <w:bodyDiv w:val="1"/>
      <w:marLeft w:val="0"/>
      <w:marRight w:val="0"/>
      <w:marTop w:val="0"/>
      <w:marBottom w:val="0"/>
      <w:divBdr>
        <w:top w:val="none" w:sz="0" w:space="0" w:color="auto"/>
        <w:left w:val="none" w:sz="0" w:space="0" w:color="auto"/>
        <w:bottom w:val="none" w:sz="0" w:space="0" w:color="auto"/>
        <w:right w:val="none" w:sz="0" w:space="0" w:color="auto"/>
      </w:divBdr>
    </w:div>
    <w:div w:id="2046366012">
      <w:bodyDiv w:val="1"/>
      <w:marLeft w:val="0"/>
      <w:marRight w:val="0"/>
      <w:marTop w:val="0"/>
      <w:marBottom w:val="0"/>
      <w:divBdr>
        <w:top w:val="none" w:sz="0" w:space="0" w:color="auto"/>
        <w:left w:val="none" w:sz="0" w:space="0" w:color="auto"/>
        <w:bottom w:val="none" w:sz="0" w:space="0" w:color="auto"/>
        <w:right w:val="none" w:sz="0" w:space="0" w:color="auto"/>
      </w:divBdr>
    </w:div>
    <w:div w:id="208086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2.xml"/><Relationship Id="rId42" Type="http://schemas.openxmlformats.org/officeDocument/2006/relationships/image" Target="media/image4.png"/><Relationship Id="rId47" Type="http://schemas.openxmlformats.org/officeDocument/2006/relationships/header" Target="header18.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footer" Target="footer1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4" Type="http://schemas.openxmlformats.org/officeDocument/2006/relationships/header" Target="header17.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header" Target="header16.xml"/><Relationship Id="rId48" Type="http://schemas.openxmlformats.org/officeDocument/2006/relationships/footer" Target="footer18.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12E60-6D04-4767-91D9-A6AC60E76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4</TotalTime>
  <Pages>20</Pages>
  <Words>6623</Words>
  <Characters>28616</Characters>
  <Application>Microsoft Office Word</Application>
  <DocSecurity>0</DocSecurity>
  <Lines>2384</Lines>
  <Paragraphs>2349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32890</CharactersWithSpaces>
  <SharedDoc>false</SharedDoc>
  <HLinks>
    <vt:vector size="138" baseType="variant">
      <vt:variant>
        <vt:i4>1376313</vt:i4>
      </vt:variant>
      <vt:variant>
        <vt:i4>134</vt:i4>
      </vt:variant>
      <vt:variant>
        <vt:i4>0</vt:i4>
      </vt:variant>
      <vt:variant>
        <vt:i4>5</vt:i4>
      </vt:variant>
      <vt:variant>
        <vt:lpwstr/>
      </vt:variant>
      <vt:variant>
        <vt:lpwstr>_Toc485997148</vt:lpwstr>
      </vt:variant>
      <vt:variant>
        <vt:i4>1376313</vt:i4>
      </vt:variant>
      <vt:variant>
        <vt:i4>128</vt:i4>
      </vt:variant>
      <vt:variant>
        <vt:i4>0</vt:i4>
      </vt:variant>
      <vt:variant>
        <vt:i4>5</vt:i4>
      </vt:variant>
      <vt:variant>
        <vt:lpwstr/>
      </vt:variant>
      <vt:variant>
        <vt:lpwstr>_Toc485997147</vt:lpwstr>
      </vt:variant>
      <vt:variant>
        <vt:i4>1376313</vt:i4>
      </vt:variant>
      <vt:variant>
        <vt:i4>122</vt:i4>
      </vt:variant>
      <vt:variant>
        <vt:i4>0</vt:i4>
      </vt:variant>
      <vt:variant>
        <vt:i4>5</vt:i4>
      </vt:variant>
      <vt:variant>
        <vt:lpwstr/>
      </vt:variant>
      <vt:variant>
        <vt:lpwstr>_Toc485997146</vt:lpwstr>
      </vt:variant>
      <vt:variant>
        <vt:i4>1376313</vt:i4>
      </vt:variant>
      <vt:variant>
        <vt:i4>116</vt:i4>
      </vt:variant>
      <vt:variant>
        <vt:i4>0</vt:i4>
      </vt:variant>
      <vt:variant>
        <vt:i4>5</vt:i4>
      </vt:variant>
      <vt:variant>
        <vt:lpwstr/>
      </vt:variant>
      <vt:variant>
        <vt:lpwstr>_Toc485997145</vt:lpwstr>
      </vt:variant>
      <vt:variant>
        <vt:i4>1376313</vt:i4>
      </vt:variant>
      <vt:variant>
        <vt:i4>110</vt:i4>
      </vt:variant>
      <vt:variant>
        <vt:i4>0</vt:i4>
      </vt:variant>
      <vt:variant>
        <vt:i4>5</vt:i4>
      </vt:variant>
      <vt:variant>
        <vt:lpwstr/>
      </vt:variant>
      <vt:variant>
        <vt:lpwstr>_Toc485997144</vt:lpwstr>
      </vt:variant>
      <vt:variant>
        <vt:i4>1376313</vt:i4>
      </vt:variant>
      <vt:variant>
        <vt:i4>104</vt:i4>
      </vt:variant>
      <vt:variant>
        <vt:i4>0</vt:i4>
      </vt:variant>
      <vt:variant>
        <vt:i4>5</vt:i4>
      </vt:variant>
      <vt:variant>
        <vt:lpwstr/>
      </vt:variant>
      <vt:variant>
        <vt:lpwstr>_Toc485997143</vt:lpwstr>
      </vt:variant>
      <vt:variant>
        <vt:i4>1376313</vt:i4>
      </vt:variant>
      <vt:variant>
        <vt:i4>98</vt:i4>
      </vt:variant>
      <vt:variant>
        <vt:i4>0</vt:i4>
      </vt:variant>
      <vt:variant>
        <vt:i4>5</vt:i4>
      </vt:variant>
      <vt:variant>
        <vt:lpwstr/>
      </vt:variant>
      <vt:variant>
        <vt:lpwstr>_Toc485997142</vt:lpwstr>
      </vt:variant>
      <vt:variant>
        <vt:i4>1376313</vt:i4>
      </vt:variant>
      <vt:variant>
        <vt:i4>92</vt:i4>
      </vt:variant>
      <vt:variant>
        <vt:i4>0</vt:i4>
      </vt:variant>
      <vt:variant>
        <vt:i4>5</vt:i4>
      </vt:variant>
      <vt:variant>
        <vt:lpwstr/>
      </vt:variant>
      <vt:variant>
        <vt:lpwstr>_Toc485997141</vt:lpwstr>
      </vt:variant>
      <vt:variant>
        <vt:i4>1376313</vt:i4>
      </vt:variant>
      <vt:variant>
        <vt:i4>86</vt:i4>
      </vt:variant>
      <vt:variant>
        <vt:i4>0</vt:i4>
      </vt:variant>
      <vt:variant>
        <vt:i4>5</vt:i4>
      </vt:variant>
      <vt:variant>
        <vt:lpwstr/>
      </vt:variant>
      <vt:variant>
        <vt:lpwstr>_Toc485997140</vt:lpwstr>
      </vt:variant>
      <vt:variant>
        <vt:i4>1179705</vt:i4>
      </vt:variant>
      <vt:variant>
        <vt:i4>80</vt:i4>
      </vt:variant>
      <vt:variant>
        <vt:i4>0</vt:i4>
      </vt:variant>
      <vt:variant>
        <vt:i4>5</vt:i4>
      </vt:variant>
      <vt:variant>
        <vt:lpwstr/>
      </vt:variant>
      <vt:variant>
        <vt:lpwstr>_Toc485997139</vt:lpwstr>
      </vt:variant>
      <vt:variant>
        <vt:i4>1179705</vt:i4>
      </vt:variant>
      <vt:variant>
        <vt:i4>74</vt:i4>
      </vt:variant>
      <vt:variant>
        <vt:i4>0</vt:i4>
      </vt:variant>
      <vt:variant>
        <vt:i4>5</vt:i4>
      </vt:variant>
      <vt:variant>
        <vt:lpwstr/>
      </vt:variant>
      <vt:variant>
        <vt:lpwstr>_Toc485997138</vt:lpwstr>
      </vt:variant>
      <vt:variant>
        <vt:i4>1179705</vt:i4>
      </vt:variant>
      <vt:variant>
        <vt:i4>68</vt:i4>
      </vt:variant>
      <vt:variant>
        <vt:i4>0</vt:i4>
      </vt:variant>
      <vt:variant>
        <vt:i4>5</vt:i4>
      </vt:variant>
      <vt:variant>
        <vt:lpwstr/>
      </vt:variant>
      <vt:variant>
        <vt:lpwstr>_Toc485997137</vt:lpwstr>
      </vt:variant>
      <vt:variant>
        <vt:i4>1179705</vt:i4>
      </vt:variant>
      <vt:variant>
        <vt:i4>62</vt:i4>
      </vt:variant>
      <vt:variant>
        <vt:i4>0</vt:i4>
      </vt:variant>
      <vt:variant>
        <vt:i4>5</vt:i4>
      </vt:variant>
      <vt:variant>
        <vt:lpwstr/>
      </vt:variant>
      <vt:variant>
        <vt:lpwstr>_Toc485997136</vt:lpwstr>
      </vt:variant>
      <vt:variant>
        <vt:i4>1179705</vt:i4>
      </vt:variant>
      <vt:variant>
        <vt:i4>56</vt:i4>
      </vt:variant>
      <vt:variant>
        <vt:i4>0</vt:i4>
      </vt:variant>
      <vt:variant>
        <vt:i4>5</vt:i4>
      </vt:variant>
      <vt:variant>
        <vt:lpwstr/>
      </vt:variant>
      <vt:variant>
        <vt:lpwstr>_Toc485997135</vt:lpwstr>
      </vt:variant>
      <vt:variant>
        <vt:i4>1179705</vt:i4>
      </vt:variant>
      <vt:variant>
        <vt:i4>50</vt:i4>
      </vt:variant>
      <vt:variant>
        <vt:i4>0</vt:i4>
      </vt:variant>
      <vt:variant>
        <vt:i4>5</vt:i4>
      </vt:variant>
      <vt:variant>
        <vt:lpwstr/>
      </vt:variant>
      <vt:variant>
        <vt:lpwstr>_Toc485997134</vt:lpwstr>
      </vt:variant>
      <vt:variant>
        <vt:i4>1179705</vt:i4>
      </vt:variant>
      <vt:variant>
        <vt:i4>44</vt:i4>
      </vt:variant>
      <vt:variant>
        <vt:i4>0</vt:i4>
      </vt:variant>
      <vt:variant>
        <vt:i4>5</vt:i4>
      </vt:variant>
      <vt:variant>
        <vt:lpwstr/>
      </vt:variant>
      <vt:variant>
        <vt:lpwstr>_Toc485997133</vt:lpwstr>
      </vt:variant>
      <vt:variant>
        <vt:i4>1179705</vt:i4>
      </vt:variant>
      <vt:variant>
        <vt:i4>38</vt:i4>
      </vt:variant>
      <vt:variant>
        <vt:i4>0</vt:i4>
      </vt:variant>
      <vt:variant>
        <vt:i4>5</vt:i4>
      </vt:variant>
      <vt:variant>
        <vt:lpwstr/>
      </vt:variant>
      <vt:variant>
        <vt:lpwstr>_Toc485997132</vt:lpwstr>
      </vt:variant>
      <vt:variant>
        <vt:i4>1179705</vt:i4>
      </vt:variant>
      <vt:variant>
        <vt:i4>32</vt:i4>
      </vt:variant>
      <vt:variant>
        <vt:i4>0</vt:i4>
      </vt:variant>
      <vt:variant>
        <vt:i4>5</vt:i4>
      </vt:variant>
      <vt:variant>
        <vt:lpwstr/>
      </vt:variant>
      <vt:variant>
        <vt:lpwstr>_Toc485997131</vt:lpwstr>
      </vt:variant>
      <vt:variant>
        <vt:i4>1179705</vt:i4>
      </vt:variant>
      <vt:variant>
        <vt:i4>26</vt:i4>
      </vt:variant>
      <vt:variant>
        <vt:i4>0</vt:i4>
      </vt:variant>
      <vt:variant>
        <vt:i4>5</vt:i4>
      </vt:variant>
      <vt:variant>
        <vt:lpwstr/>
      </vt:variant>
      <vt:variant>
        <vt:lpwstr>_Toc485997130</vt:lpwstr>
      </vt:variant>
      <vt:variant>
        <vt:i4>1245241</vt:i4>
      </vt:variant>
      <vt:variant>
        <vt:i4>20</vt:i4>
      </vt:variant>
      <vt:variant>
        <vt:i4>0</vt:i4>
      </vt:variant>
      <vt:variant>
        <vt:i4>5</vt:i4>
      </vt:variant>
      <vt:variant>
        <vt:lpwstr/>
      </vt:variant>
      <vt:variant>
        <vt:lpwstr>_Toc485997129</vt:lpwstr>
      </vt:variant>
      <vt:variant>
        <vt:i4>1245241</vt:i4>
      </vt:variant>
      <vt:variant>
        <vt:i4>14</vt:i4>
      </vt:variant>
      <vt:variant>
        <vt:i4>0</vt:i4>
      </vt:variant>
      <vt:variant>
        <vt:i4>5</vt:i4>
      </vt:variant>
      <vt:variant>
        <vt:lpwstr/>
      </vt:variant>
      <vt:variant>
        <vt:lpwstr>_Toc485997128</vt:lpwstr>
      </vt:variant>
      <vt:variant>
        <vt:i4>1245241</vt:i4>
      </vt:variant>
      <vt:variant>
        <vt:i4>8</vt:i4>
      </vt:variant>
      <vt:variant>
        <vt:i4>0</vt:i4>
      </vt:variant>
      <vt:variant>
        <vt:i4>5</vt:i4>
      </vt:variant>
      <vt:variant>
        <vt:lpwstr/>
      </vt:variant>
      <vt:variant>
        <vt:lpwstr>_Toc485997127</vt:lpwstr>
      </vt:variant>
      <vt:variant>
        <vt:i4>1245241</vt:i4>
      </vt:variant>
      <vt:variant>
        <vt:i4>2</vt:i4>
      </vt:variant>
      <vt:variant>
        <vt:i4>0</vt:i4>
      </vt:variant>
      <vt:variant>
        <vt:i4>5</vt:i4>
      </vt:variant>
      <vt:variant>
        <vt:lpwstr/>
      </vt:variant>
      <vt:variant>
        <vt:lpwstr>_Toc485997126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2017-07-14T10:05:00Z</cp:lastPrinted>
  <dcterms:created xsi:type="dcterms:W3CDTF">2017-07-14T12:47:00Z</dcterms:created>
  <dcterms:modified xsi:type="dcterms:W3CDTF">2017-09-19T05:32:00Z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ELDocType">
    <vt:lpwstr>REP.DOT</vt:lpwstr>
  </property>
  <property fmtid="{D5CDD505-2E9C-101B-9397-08002B2CF9AE}" pid="6" name="Created using">
    <vt:lpwstr>3.0</vt:lpwstr>
  </property>
  <property fmtid="{D5CDD505-2E9C-101B-9397-08002B2CF9AE}" pid="7" name="Last edited using">
    <vt:lpwstr>EL </vt:lpwstr>
  </property>
  <property fmtid="{D5CDD505-2E9C-101B-9397-08002B2CF9AE}" pid="8" name="DocStatus">
    <vt:lpwstr>Green</vt:lpwstr>
  </property>
</Properties>
</file>