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768853960F94657A613497FB0ED4082" style="width:450.75pt;height:422.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rPr>
                <w:rFonts w:ascii="Tahoma" w:hAnsi="Tahoma" w:cs="Tahoma"/>
                <w:b/>
                <w:noProof/>
              </w:rPr>
            </w:pPr>
            <w:bookmarkStart w:id="1" w:name="_GoBack"/>
            <w:bookmarkEnd w:id="1"/>
            <w:r>
              <w:rPr>
                <w:rFonts w:ascii="Tahoma" w:hAnsi="Tahoma" w:cs="Tahoma"/>
                <w:b/>
                <w:noProof/>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jc w:val="both"/>
              <w:rPr>
                <w:rFonts w:ascii="Tahoma" w:hAnsi="Tahoma" w:cs="Tahoma"/>
                <w:b/>
                <w:noProof/>
              </w:rPr>
            </w:pPr>
            <w:r>
              <w:rPr>
                <w:rFonts w:ascii="Tahoma" w:hAnsi="Tahoma" w:cs="Tahoma"/>
                <w:b/>
                <w:noProof/>
              </w:rPr>
              <w:t>Impact assessment: revision of Regulation (EC) No 1371/2007 on rail passengers’ rights and obligations</w:t>
            </w:r>
          </w:p>
        </w:tc>
      </w:tr>
      <w:tr>
        <w:tc>
          <w:tcPr>
            <w:tcW w:w="10188" w:type="dxa"/>
            <w:tcBorders>
              <w:bottom w:val="single" w:sz="4" w:space="0" w:color="auto"/>
            </w:tcBorders>
            <w:shd w:val="clear" w:color="auto" w:fill="CCCCCC"/>
          </w:tcPr>
          <w:p>
            <w:pPr>
              <w:rPr>
                <w:rFonts w:ascii="Tahoma" w:hAnsi="Tahoma" w:cs="Tahoma"/>
                <w:b/>
                <w:noProof/>
              </w:rPr>
            </w:pPr>
            <w:r>
              <w:rPr>
                <w:rFonts w:ascii="Tahoma" w:hAnsi="Tahoma" w:cs="Tahoma"/>
                <w:b/>
                <w:noProof/>
              </w:rPr>
              <w:t>A. Need for action</w:t>
            </w:r>
          </w:p>
        </w:tc>
      </w:tr>
      <w:tr>
        <w:tc>
          <w:tcPr>
            <w:tcW w:w="10188" w:type="dxa"/>
            <w:tcBorders>
              <w:bottom w:val="single" w:sz="4" w:space="0" w:color="auto"/>
            </w:tcBorders>
            <w:shd w:val="clear" w:color="auto" w:fill="E0E0E0"/>
          </w:tcPr>
          <w:p>
            <w:pPr>
              <w:pStyle w:val="Default"/>
              <w:jc w:val="both"/>
              <w:rPr>
                <w:rFonts w:ascii="Tahoma" w:hAnsi="Tahoma" w:cs="Tahoma"/>
                <w:noProof/>
                <w:sz w:val="20"/>
                <w:szCs w:val="20"/>
              </w:rPr>
            </w:pPr>
            <w:r>
              <w:rPr>
                <w:rFonts w:ascii="Tahoma" w:hAnsi="Tahoma" w:cs="Tahoma"/>
                <w:b/>
                <w:bCs/>
                <w:noProof/>
                <w:sz w:val="20"/>
                <w:szCs w:val="20"/>
              </w:rPr>
              <w:t>What is the problem and why is it a problem at EU level</w:t>
            </w:r>
            <w:r>
              <w:rPr>
                <w:rFonts w:ascii="Tahoma" w:hAnsi="Tahoma" w:cs="Tahoma"/>
                <w:b/>
                <w:noProof/>
                <w:sz w:val="20"/>
                <w:szCs w:val="20"/>
              </w:rPr>
              <w:t xml:space="preserve">? </w:t>
            </w:r>
          </w:p>
        </w:tc>
      </w:tr>
      <w:tr>
        <w:trPr>
          <w:trHeight w:val="1293"/>
        </w:trPr>
        <w:tc>
          <w:tcPr>
            <w:tcW w:w="10188" w:type="dxa"/>
            <w:tcBorders>
              <w:bottom w:val="single" w:sz="4" w:space="0" w:color="auto"/>
            </w:tcBorders>
            <w:shd w:val="clear" w:color="auto" w:fill="auto"/>
          </w:tcPr>
          <w:p>
            <w:pPr>
              <w:jc w:val="both"/>
              <w:rPr>
                <w:rFonts w:ascii="Tahoma" w:hAnsi="Tahoma" w:cs="Tahoma"/>
                <w:noProof/>
              </w:rPr>
            </w:pPr>
            <w:r>
              <w:rPr>
                <w:rFonts w:ascii="Tahoma" w:hAnsi="Tahoma" w:cs="Tahoma"/>
                <w:noProof/>
              </w:rPr>
              <w:t xml:space="preserve">The main problems with the Regulation are linked to excessive national exemptions, the rights of passengers with disabilities or reduced mobility (PRMs), inadequate information, through-ticketing, complaint-handling, enforcement, discrimination based on nationality and compensation following </w:t>
            </w:r>
            <w:r>
              <w:rPr>
                <w:rFonts w:ascii="Tahoma" w:hAnsi="Tahoma" w:cs="Tahoma"/>
                <w:i/>
                <w:noProof/>
              </w:rPr>
              <w:t>force majeure</w:t>
            </w:r>
            <w:r>
              <w:rPr>
                <w:rFonts w:ascii="Tahoma" w:hAnsi="Tahoma" w:cs="Tahoma"/>
                <w:noProof/>
              </w:rPr>
              <w:t xml:space="preserve"> events. These problems negatively affect the single market and prevent consistent enforcement. They may be exacerbated in a liberalised EU rail market.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should be achieved? </w:t>
            </w:r>
          </w:p>
        </w:tc>
      </w:tr>
      <w:tr>
        <w:tc>
          <w:tcPr>
            <w:tcW w:w="10188" w:type="dxa"/>
            <w:tcBorders>
              <w:bottom w:val="single" w:sz="4" w:space="0" w:color="auto"/>
            </w:tcBorders>
            <w:shd w:val="clear" w:color="auto" w:fill="auto"/>
          </w:tcPr>
          <w:p>
            <w:pPr>
              <w:numPr>
                <w:ilvl w:val="0"/>
                <w:numId w:val="1"/>
              </w:numPr>
              <w:ind w:left="709" w:hanging="425"/>
              <w:jc w:val="both"/>
              <w:rPr>
                <w:rFonts w:ascii="Tahoma" w:hAnsi="Tahoma" w:cs="Tahoma"/>
                <w:noProof/>
              </w:rPr>
            </w:pPr>
            <w:r>
              <w:rPr>
                <w:rFonts w:ascii="Tahoma" w:hAnsi="Tahoma" w:cs="Tahoma"/>
                <w:noProof/>
              </w:rPr>
              <w:t>to promote equal and strengthened rights for rail users in the EU; and</w:t>
            </w:r>
          </w:p>
          <w:p>
            <w:pPr>
              <w:numPr>
                <w:ilvl w:val="0"/>
                <w:numId w:val="1"/>
              </w:numPr>
              <w:ind w:left="709" w:hanging="425"/>
              <w:jc w:val="both"/>
              <w:rPr>
                <w:rFonts w:ascii="Tahoma" w:hAnsi="Tahoma" w:cs="Tahoma"/>
                <w:noProof/>
              </w:rPr>
            </w:pPr>
            <w:r>
              <w:rPr>
                <w:rFonts w:ascii="Tahoma" w:hAnsi="Tahoma" w:cs="Tahoma"/>
                <w:noProof/>
              </w:rPr>
              <w:t>to enhance the rail sector's competitiveness without negatively impacting the rights of passengers.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is the added value of action at EU level (subsidiarity)? </w:t>
            </w:r>
          </w:p>
        </w:tc>
      </w:tr>
      <w:tr>
        <w:tc>
          <w:tcPr>
            <w:tcW w:w="10188" w:type="dxa"/>
            <w:tcBorders>
              <w:bottom w:val="single" w:sz="4" w:space="0" w:color="auto"/>
            </w:tcBorders>
            <w:shd w:val="clear" w:color="auto" w:fill="auto"/>
          </w:tcPr>
          <w:p>
            <w:pPr>
              <w:jc w:val="both"/>
              <w:rPr>
                <w:rFonts w:ascii="Tahoma" w:hAnsi="Tahoma" w:cs="Tahoma"/>
                <w:noProof/>
              </w:rPr>
            </w:pPr>
            <w:r>
              <w:rPr>
                <w:rFonts w:ascii="Tahoma" w:hAnsi="Tahoma" w:cs="Tahoma"/>
                <w:noProof/>
              </w:rPr>
              <w:t>The current Regulation leaves room for interpretation, preventing consistent levels of passenger protection across the EU. The Member States cannot address these problems by acting alone. It therefore seems appropriate for the EU to act.</w:t>
            </w:r>
          </w:p>
        </w:tc>
      </w:tr>
      <w:tr>
        <w:tc>
          <w:tcPr>
            <w:tcW w:w="10188" w:type="dxa"/>
            <w:tcBorders>
              <w:bottom w:val="single" w:sz="4" w:space="0" w:color="auto"/>
            </w:tcBorders>
            <w:shd w:val="clear" w:color="auto" w:fill="CCCCCC"/>
          </w:tcPr>
          <w:p>
            <w:pPr>
              <w:rPr>
                <w:rFonts w:ascii="Tahoma" w:hAnsi="Tahoma" w:cs="Tahoma"/>
                <w:b/>
                <w:noProof/>
              </w:rPr>
            </w:pPr>
            <w:r>
              <w:rPr>
                <w:rFonts w:ascii="Tahoma" w:hAnsi="Tahoma" w:cs="Tahoma"/>
                <w:b/>
                <w:noProof/>
              </w:rPr>
              <w:t>B. Solutions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options for achieving the objectives? Is there a preferred option? If not, why? </w:t>
            </w:r>
          </w:p>
        </w:tc>
      </w:tr>
      <w:tr>
        <w:trPr>
          <w:trHeight w:val="1125"/>
        </w:trPr>
        <w:tc>
          <w:tcPr>
            <w:tcW w:w="10188" w:type="dxa"/>
            <w:tcBorders>
              <w:bottom w:val="single" w:sz="4" w:space="0" w:color="auto"/>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7258"/>
            </w:tblGrid>
            <w:tr>
              <w:trPr>
                <w:trHeight w:val="854"/>
              </w:trPr>
              <w:tc>
                <w:tcPr>
                  <w:tcW w:w="1350" w:type="pct"/>
                  <w:tcBorders>
                    <w:top w:val="double" w:sz="4" w:space="0" w:color="auto"/>
                    <w:left w:val="double" w:sz="4" w:space="0" w:color="auto"/>
                    <w:bottom w:val="double" w:sz="4" w:space="0" w:color="auto"/>
                    <w:right w:val="double" w:sz="4" w:space="0" w:color="auto"/>
                  </w:tcBorders>
                  <w:shd w:val="clear" w:color="auto" w:fill="auto"/>
                  <w:vAlign w:val="center"/>
                </w:tcPr>
                <w:p>
                  <w:pPr>
                    <w:rPr>
                      <w:rFonts w:ascii="Tahoma" w:hAnsi="Tahoma" w:cs="Tahoma"/>
                      <w:noProof/>
                      <w:sz w:val="20"/>
                      <w:szCs w:val="20"/>
                    </w:rPr>
                  </w:pPr>
                  <w:r>
                    <w:rPr>
                      <w:rFonts w:ascii="Tahoma" w:hAnsi="Tahoma" w:cs="Tahoma"/>
                      <w:noProof/>
                      <w:sz w:val="20"/>
                      <w:szCs w:val="20"/>
                    </w:rPr>
                    <w:t>Exemptions</w:t>
                  </w:r>
                </w:p>
              </w:tc>
              <w:tc>
                <w:tcPr>
                  <w:tcW w:w="3650" w:type="pct"/>
                  <w:tcBorders>
                    <w:top w:val="double" w:sz="4" w:space="0" w:color="auto"/>
                    <w:left w:val="double" w:sz="4" w:space="0" w:color="auto"/>
                    <w:bottom w:val="double" w:sz="4" w:space="0" w:color="auto"/>
                    <w:right w:val="double" w:sz="4" w:space="0" w:color="auto"/>
                  </w:tcBorders>
                  <w:shd w:val="clear" w:color="auto" w:fill="auto"/>
                  <w:vAlign w:val="center"/>
                </w:tcPr>
                <w:p>
                  <w:pPr>
                    <w:ind w:left="28"/>
                    <w:rPr>
                      <w:rFonts w:ascii="Tahoma" w:hAnsi="Tahoma" w:cs="Tahoma"/>
                      <w:noProof/>
                      <w:sz w:val="20"/>
                      <w:szCs w:val="20"/>
                    </w:rPr>
                  </w:pPr>
                  <w:r>
                    <w:rPr>
                      <w:rFonts w:ascii="Tahoma" w:eastAsia="Calibri" w:hAnsi="Tahoma" w:cs="Tahoma"/>
                      <w:noProof/>
                      <w:sz w:val="20"/>
                      <w:szCs w:val="20"/>
                    </w:rPr>
                    <w:t>- Remove exemptions for long-distance domestic services by 2020</w:t>
                  </w:r>
                  <w:r>
                    <w:rPr>
                      <w:rFonts w:ascii="Tahoma" w:eastAsia="Calibri" w:hAnsi="Tahoma" w:cs="Tahoma"/>
                      <w:noProof/>
                      <w:sz w:val="20"/>
                      <w:szCs w:val="20"/>
                    </w:rPr>
                    <w:br/>
                    <w:t>- Limit exemptions for services with non-EU countries</w:t>
                  </w:r>
                  <w:r>
                    <w:rPr>
                      <w:rFonts w:ascii="Tahoma" w:eastAsia="Calibri" w:hAnsi="Tahoma" w:cs="Tahoma"/>
                      <w:noProof/>
                      <w:sz w:val="20"/>
                      <w:szCs w:val="20"/>
                    </w:rPr>
                    <w:br/>
                    <w:t>- Remove exemptions for cross-border urban, suburban and regional services</w:t>
                  </w:r>
                </w:p>
              </w:tc>
            </w:tr>
            <w:tr>
              <w:trPr>
                <w:trHeight w:val="20"/>
              </w:trPr>
              <w:tc>
                <w:tcPr>
                  <w:tcW w:w="1350" w:type="pct"/>
                  <w:tcBorders>
                    <w:top w:val="double" w:sz="4" w:space="0" w:color="auto"/>
                    <w:left w:val="double" w:sz="4" w:space="0" w:color="auto"/>
                  </w:tcBorders>
                  <w:shd w:val="clear" w:color="auto" w:fill="auto"/>
                  <w:vAlign w:val="center"/>
                </w:tcPr>
                <w:p>
                  <w:pPr>
                    <w:rPr>
                      <w:rFonts w:ascii="Tahoma" w:hAnsi="Tahoma" w:cs="Tahoma"/>
                      <w:noProof/>
                      <w:sz w:val="20"/>
                      <w:szCs w:val="20"/>
                    </w:rPr>
                  </w:pPr>
                  <w:r>
                    <w:rPr>
                      <w:rFonts w:ascii="Tahoma" w:hAnsi="Tahoma" w:cs="Tahoma"/>
                      <w:noProof/>
                      <w:sz w:val="20"/>
                      <w:szCs w:val="20"/>
                    </w:rPr>
                    <w:t>PRM rights</w:t>
                  </w:r>
                </w:p>
              </w:tc>
              <w:tc>
                <w:tcPr>
                  <w:tcW w:w="3650" w:type="pct"/>
                  <w:tcBorders>
                    <w:top w:val="double" w:sz="4" w:space="0" w:color="auto"/>
                    <w:right w:val="double" w:sz="4" w:space="0" w:color="auto"/>
                  </w:tcBorders>
                  <w:shd w:val="clear" w:color="auto" w:fill="auto"/>
                  <w:vAlign w:val="center"/>
                </w:tcPr>
                <w:p>
                  <w:pPr>
                    <w:jc w:val="both"/>
                    <w:rPr>
                      <w:rFonts w:ascii="Tahoma" w:eastAsia="Calibri" w:hAnsi="Tahoma" w:cs="Tahoma"/>
                      <w:noProof/>
                      <w:sz w:val="20"/>
                      <w:szCs w:val="20"/>
                    </w:rPr>
                  </w:pPr>
                  <w:r>
                    <w:rPr>
                      <w:rFonts w:ascii="Tahoma" w:hAnsi="Tahoma" w:cs="Tahoma"/>
                      <w:noProof/>
                      <w:sz w:val="20"/>
                      <w:szCs w:val="20"/>
                    </w:rPr>
                    <w:t>New rules to improve PRMs’ access to rail services and information</w:t>
                  </w:r>
                </w:p>
              </w:tc>
            </w:tr>
            <w:tr>
              <w:trPr>
                <w:trHeight w:val="20"/>
              </w:trPr>
              <w:tc>
                <w:tcPr>
                  <w:tcW w:w="1350" w:type="pct"/>
                  <w:tcBorders>
                    <w:left w:val="double" w:sz="4" w:space="0" w:color="auto"/>
                  </w:tcBorders>
                  <w:shd w:val="clear" w:color="auto" w:fill="auto"/>
                  <w:vAlign w:val="center"/>
                </w:tcPr>
                <w:p>
                  <w:pPr>
                    <w:pStyle w:val="ListParagraph"/>
                    <w:ind w:left="29"/>
                    <w:jc w:val="left"/>
                    <w:rPr>
                      <w:rFonts w:ascii="Tahoma" w:hAnsi="Tahoma" w:cs="Tahoma"/>
                      <w:noProof/>
                      <w:sz w:val="20"/>
                      <w:szCs w:val="20"/>
                    </w:rPr>
                  </w:pPr>
                  <w:r>
                    <w:rPr>
                      <w:rFonts w:ascii="Tahoma" w:hAnsi="Tahoma" w:cs="Tahoma"/>
                      <w:noProof/>
                      <w:sz w:val="20"/>
                      <w:szCs w:val="20"/>
                    </w:rPr>
                    <w:t>Information</w:t>
                  </w:r>
                </w:p>
              </w:tc>
              <w:tc>
                <w:tcPr>
                  <w:tcW w:w="3650" w:type="pct"/>
                  <w:tcBorders>
                    <w:right w:val="double" w:sz="4" w:space="0" w:color="auto"/>
                  </w:tcBorders>
                  <w:shd w:val="clear" w:color="auto" w:fill="auto"/>
                  <w:vAlign w:val="center"/>
                </w:tcPr>
                <w:p>
                  <w:pPr>
                    <w:pStyle w:val="ListParagraph"/>
                    <w:ind w:left="0"/>
                    <w:rPr>
                      <w:rFonts w:ascii="Tahoma" w:hAnsi="Tahoma" w:cs="Tahoma"/>
                      <w:noProof/>
                      <w:sz w:val="20"/>
                      <w:szCs w:val="20"/>
                    </w:rPr>
                  </w:pPr>
                  <w:r>
                    <w:rPr>
                      <w:rFonts w:ascii="Tahoma" w:hAnsi="Tahoma" w:cs="Tahoma"/>
                      <w:noProof/>
                      <w:sz w:val="20"/>
                      <w:szCs w:val="20"/>
                    </w:rPr>
                    <w:t>New rules to improve information for passengers</w:t>
                  </w:r>
                </w:p>
              </w:tc>
            </w:tr>
            <w:tr>
              <w:trPr>
                <w:trHeight w:val="20"/>
              </w:trPr>
              <w:tc>
                <w:tcPr>
                  <w:tcW w:w="1350" w:type="pct"/>
                  <w:tcBorders>
                    <w:left w:val="double" w:sz="4" w:space="0" w:color="auto"/>
                  </w:tcBorders>
                  <w:shd w:val="clear" w:color="auto" w:fill="auto"/>
                  <w:vAlign w:val="center"/>
                </w:tcPr>
                <w:p>
                  <w:pPr>
                    <w:pStyle w:val="ListParagraph"/>
                    <w:ind w:left="29"/>
                    <w:jc w:val="left"/>
                    <w:rPr>
                      <w:rFonts w:ascii="Tahoma" w:hAnsi="Tahoma" w:cs="Tahoma"/>
                      <w:noProof/>
                      <w:sz w:val="20"/>
                      <w:szCs w:val="20"/>
                    </w:rPr>
                  </w:pPr>
                  <w:r>
                    <w:rPr>
                      <w:rFonts w:ascii="Tahoma" w:hAnsi="Tahoma" w:cs="Tahoma"/>
                      <w:noProof/>
                      <w:sz w:val="20"/>
                      <w:szCs w:val="20"/>
                    </w:rPr>
                    <w:t>Through-ticketing</w:t>
                  </w:r>
                </w:p>
              </w:tc>
              <w:tc>
                <w:tcPr>
                  <w:tcW w:w="3650" w:type="pct"/>
                  <w:tcBorders>
                    <w:right w:val="double" w:sz="4" w:space="0" w:color="auto"/>
                  </w:tcBorders>
                  <w:shd w:val="clear" w:color="auto" w:fill="auto"/>
                  <w:vAlign w:val="center"/>
                </w:tcPr>
                <w:p>
                  <w:pPr>
                    <w:pStyle w:val="ListParagraph"/>
                    <w:ind w:left="0"/>
                    <w:rPr>
                      <w:rFonts w:ascii="Tahoma" w:hAnsi="Tahoma" w:cs="Tahoma"/>
                      <w:noProof/>
                      <w:sz w:val="20"/>
                      <w:szCs w:val="20"/>
                    </w:rPr>
                  </w:pPr>
                  <w:r>
                    <w:rPr>
                      <w:rFonts w:ascii="Tahoma" w:hAnsi="Tahoma" w:cs="Tahoma"/>
                      <w:noProof/>
                      <w:sz w:val="20"/>
                      <w:szCs w:val="20"/>
                    </w:rPr>
                    <w:t xml:space="preserve">Clearer rules on through-tickets </w:t>
                  </w:r>
                </w:p>
              </w:tc>
            </w:tr>
            <w:tr>
              <w:trPr>
                <w:trHeight w:val="20"/>
              </w:trPr>
              <w:tc>
                <w:tcPr>
                  <w:tcW w:w="1350" w:type="pct"/>
                  <w:tcBorders>
                    <w:left w:val="double" w:sz="4" w:space="0" w:color="auto"/>
                  </w:tcBorders>
                  <w:shd w:val="clear" w:color="auto" w:fill="auto"/>
                  <w:vAlign w:val="center"/>
                </w:tcPr>
                <w:p>
                  <w:pPr>
                    <w:pStyle w:val="ListParagraph"/>
                    <w:ind w:left="29"/>
                    <w:jc w:val="left"/>
                    <w:rPr>
                      <w:rFonts w:ascii="Tahoma" w:hAnsi="Tahoma" w:cs="Tahoma"/>
                      <w:noProof/>
                      <w:sz w:val="20"/>
                      <w:szCs w:val="20"/>
                    </w:rPr>
                  </w:pPr>
                  <w:r>
                    <w:rPr>
                      <w:rFonts w:ascii="Tahoma" w:hAnsi="Tahoma" w:cs="Tahoma"/>
                      <w:noProof/>
                      <w:sz w:val="20"/>
                      <w:szCs w:val="20"/>
                    </w:rPr>
                    <w:t>Complaint-handling and enforcement</w:t>
                  </w:r>
                </w:p>
              </w:tc>
              <w:tc>
                <w:tcPr>
                  <w:tcW w:w="3650" w:type="pct"/>
                  <w:tcBorders>
                    <w:right w:val="double" w:sz="4" w:space="0" w:color="auto"/>
                  </w:tcBorders>
                  <w:shd w:val="clear" w:color="auto" w:fill="auto"/>
                  <w:vAlign w:val="center"/>
                </w:tcPr>
                <w:p>
                  <w:pPr>
                    <w:pStyle w:val="ListParagraph"/>
                    <w:ind w:left="0"/>
                    <w:rPr>
                      <w:rFonts w:ascii="Tahoma" w:hAnsi="Tahoma" w:cs="Tahoma"/>
                      <w:noProof/>
                      <w:sz w:val="20"/>
                      <w:szCs w:val="20"/>
                    </w:rPr>
                  </w:pPr>
                  <w:r>
                    <w:rPr>
                      <w:rFonts w:ascii="Tahoma" w:hAnsi="Tahoma" w:cs="Tahoma"/>
                      <w:noProof/>
                      <w:sz w:val="20"/>
                      <w:szCs w:val="20"/>
                    </w:rPr>
                    <w:t>Clearer rules for NEB complaint-handling and cooperation</w:t>
                  </w:r>
                </w:p>
              </w:tc>
            </w:tr>
            <w:tr>
              <w:trPr>
                <w:trHeight w:val="20"/>
              </w:trPr>
              <w:tc>
                <w:tcPr>
                  <w:tcW w:w="1350" w:type="pct"/>
                  <w:tcBorders>
                    <w:left w:val="double" w:sz="4" w:space="0" w:color="auto"/>
                  </w:tcBorders>
                  <w:shd w:val="clear" w:color="auto" w:fill="auto"/>
                  <w:vAlign w:val="center"/>
                </w:tcPr>
                <w:p>
                  <w:pPr>
                    <w:pStyle w:val="ListParagraph"/>
                    <w:ind w:left="29"/>
                    <w:jc w:val="left"/>
                    <w:rPr>
                      <w:rFonts w:ascii="Tahoma" w:hAnsi="Tahoma" w:cs="Tahoma"/>
                      <w:noProof/>
                      <w:sz w:val="20"/>
                      <w:szCs w:val="20"/>
                    </w:rPr>
                  </w:pPr>
                  <w:r>
                    <w:rPr>
                      <w:rFonts w:ascii="Tahoma" w:hAnsi="Tahoma" w:cs="Tahoma"/>
                      <w:noProof/>
                      <w:sz w:val="20"/>
                      <w:szCs w:val="20"/>
                    </w:rPr>
                    <w:t>Discrimination</w:t>
                  </w:r>
                </w:p>
              </w:tc>
              <w:tc>
                <w:tcPr>
                  <w:tcW w:w="3650" w:type="pct"/>
                  <w:tcBorders>
                    <w:right w:val="double" w:sz="4" w:space="0" w:color="auto"/>
                  </w:tcBorders>
                  <w:shd w:val="clear" w:color="auto" w:fill="auto"/>
                  <w:vAlign w:val="center"/>
                </w:tcPr>
                <w:p>
                  <w:pPr>
                    <w:pStyle w:val="ListParagraph"/>
                    <w:ind w:left="0"/>
                    <w:rPr>
                      <w:rFonts w:ascii="Tahoma" w:hAnsi="Tahoma" w:cs="Tahoma"/>
                      <w:noProof/>
                      <w:sz w:val="20"/>
                      <w:szCs w:val="20"/>
                    </w:rPr>
                  </w:pPr>
                  <w:r>
                    <w:rPr>
                      <w:rFonts w:ascii="Tahoma" w:hAnsi="Tahoma" w:cs="Tahoma"/>
                      <w:noProof/>
                      <w:sz w:val="20"/>
                      <w:szCs w:val="20"/>
                    </w:rPr>
                    <w:t>New non-discrimination clause</w:t>
                  </w:r>
                </w:p>
              </w:tc>
            </w:tr>
            <w:tr>
              <w:trPr>
                <w:trHeight w:val="20"/>
              </w:trPr>
              <w:tc>
                <w:tcPr>
                  <w:tcW w:w="1350" w:type="pct"/>
                  <w:tcBorders>
                    <w:left w:val="double" w:sz="4" w:space="0" w:color="auto"/>
                    <w:bottom w:val="double" w:sz="4" w:space="0" w:color="auto"/>
                  </w:tcBorders>
                  <w:shd w:val="clear" w:color="auto" w:fill="auto"/>
                  <w:vAlign w:val="center"/>
                </w:tcPr>
                <w:p>
                  <w:pPr>
                    <w:pStyle w:val="ListParagraph"/>
                    <w:ind w:left="29"/>
                    <w:jc w:val="left"/>
                    <w:rPr>
                      <w:rFonts w:ascii="Tahoma" w:hAnsi="Tahoma" w:cs="Tahoma"/>
                      <w:noProof/>
                      <w:sz w:val="20"/>
                      <w:szCs w:val="20"/>
                    </w:rPr>
                  </w:pPr>
                  <w:r>
                    <w:rPr>
                      <w:rFonts w:ascii="Tahoma" w:hAnsi="Tahoma" w:cs="Tahoma"/>
                      <w:i/>
                      <w:noProof/>
                      <w:sz w:val="20"/>
                      <w:szCs w:val="20"/>
                    </w:rPr>
                    <w:t xml:space="preserve">Force majeure </w:t>
                  </w:r>
                </w:p>
              </w:tc>
              <w:tc>
                <w:tcPr>
                  <w:tcW w:w="3650" w:type="pct"/>
                  <w:tcBorders>
                    <w:bottom w:val="double" w:sz="4" w:space="0" w:color="auto"/>
                    <w:right w:val="double" w:sz="4" w:space="0" w:color="auto"/>
                  </w:tcBorders>
                  <w:shd w:val="clear" w:color="auto" w:fill="auto"/>
                  <w:vAlign w:val="center"/>
                </w:tcPr>
                <w:p>
                  <w:pPr>
                    <w:pStyle w:val="ListParagraph"/>
                    <w:ind w:left="0"/>
                    <w:rPr>
                      <w:rFonts w:ascii="Tahoma" w:hAnsi="Tahoma" w:cs="Tahoma"/>
                      <w:noProof/>
                      <w:sz w:val="20"/>
                      <w:szCs w:val="20"/>
                    </w:rPr>
                  </w:pPr>
                  <w:r>
                    <w:rPr>
                      <w:rFonts w:ascii="Tahoma" w:hAnsi="Tahoma" w:cs="Tahoma"/>
                      <w:noProof/>
                      <w:sz w:val="20"/>
                      <w:szCs w:val="20"/>
                    </w:rPr>
                    <w:t>Clause to exempt rail companies from having to pay compensation for delays caused by severe weather conditions or natural disasters and which could not be foreseen or prevented</w:t>
                  </w:r>
                </w:p>
              </w:tc>
            </w:tr>
          </w:tbl>
          <w:p>
            <w:pPr>
              <w:jc w:val="both"/>
              <w:rPr>
                <w:rFonts w:ascii="Tahoma" w:hAnsi="Tahoma" w:cs="Tahoma"/>
                <w:noProof/>
              </w:rPr>
            </w:pPr>
          </w:p>
        </w:tc>
      </w:tr>
      <w:tr>
        <w:tc>
          <w:tcPr>
            <w:tcW w:w="10188" w:type="dxa"/>
            <w:shd w:val="clear" w:color="auto" w:fill="E6E6E6"/>
          </w:tcPr>
          <w:p>
            <w:pPr>
              <w:pStyle w:val="Default"/>
              <w:jc w:val="both"/>
              <w:rPr>
                <w:rFonts w:ascii="Tahoma" w:hAnsi="Tahoma" w:cs="Tahoma"/>
                <w:b/>
                <w:bCs/>
                <w:noProof/>
                <w:sz w:val="20"/>
                <w:szCs w:val="20"/>
              </w:rPr>
            </w:pPr>
            <w:r>
              <w:rPr>
                <w:rFonts w:ascii="Tahoma" w:hAnsi="Tahoma" w:cs="Tahoma"/>
                <w:b/>
                <w:bCs/>
                <w:noProof/>
                <w:sz w:val="20"/>
                <w:szCs w:val="20"/>
              </w:rPr>
              <w:t xml:space="preserve">What are the various stakeholders’ views? Who supports which option? </w:t>
            </w:r>
          </w:p>
        </w:tc>
      </w:tr>
      <w:tr>
        <w:tc>
          <w:tcPr>
            <w:tcW w:w="10188" w:type="dxa"/>
            <w:shd w:val="clear" w:color="auto" w:fill="auto"/>
          </w:tcPr>
          <w:p>
            <w:pPr>
              <w:jc w:val="both"/>
              <w:rPr>
                <w:rFonts w:ascii="Tahoma" w:hAnsi="Tahoma" w:cs="Tahoma"/>
                <w:noProof/>
              </w:rPr>
            </w:pPr>
            <w:r>
              <w:rPr>
                <w:rFonts w:ascii="Tahoma" w:hAnsi="Tahoma" w:cs="Tahoma"/>
                <w:noProof/>
              </w:rPr>
              <w:t xml:space="preserve">Most Member States and rail companies are reluctant to remove exemptions. Citizens are in favour of reducing exemptions and support measures to strengthen passengers’ rights. Most stakeholders are in favour of clearer rules, e.g. on assistance, complaint-handling and enforcement. Most rail companies and Member States are in favour of, and citizens are against, a </w:t>
            </w:r>
            <w:r>
              <w:rPr>
                <w:rFonts w:ascii="Tahoma" w:hAnsi="Tahoma" w:cs="Tahoma"/>
                <w:i/>
                <w:noProof/>
              </w:rPr>
              <w:t>force majeure</w:t>
            </w:r>
            <w:r>
              <w:rPr>
                <w:rFonts w:ascii="Tahoma" w:hAnsi="Tahoma" w:cs="Tahoma"/>
                <w:noProof/>
              </w:rPr>
              <w:t xml:space="preserve"> clause.</w:t>
            </w:r>
          </w:p>
        </w:tc>
      </w:tr>
      <w:tr>
        <w:tc>
          <w:tcPr>
            <w:tcW w:w="10188" w:type="dxa"/>
            <w:tcBorders>
              <w:bottom w:val="single" w:sz="4" w:space="0" w:color="auto"/>
            </w:tcBorders>
            <w:shd w:val="clear" w:color="auto" w:fill="CCCCCC"/>
          </w:tcPr>
          <w:p>
            <w:pPr>
              <w:rPr>
                <w:rFonts w:ascii="Tahoma" w:hAnsi="Tahoma" w:cs="Tahoma"/>
                <w:b/>
                <w:noProof/>
              </w:rPr>
            </w:pPr>
            <w:r>
              <w:rPr>
                <w:rFonts w:ascii="Tahoma" w:hAnsi="Tahoma" w:cs="Tahoma"/>
                <w:b/>
                <w:noProof/>
              </w:rPr>
              <w:t>C. Impacts of the preferred option</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benefits of the preferred option (if any, otherwise of main ones)? </w:t>
            </w:r>
          </w:p>
        </w:tc>
      </w:tr>
      <w:tr>
        <w:trPr>
          <w:trHeight w:val="1339"/>
        </w:trPr>
        <w:tc>
          <w:tcPr>
            <w:tcW w:w="10188" w:type="dxa"/>
            <w:tcBorders>
              <w:bottom w:val="single" w:sz="4" w:space="0" w:color="auto"/>
            </w:tcBorders>
            <w:shd w:val="clear" w:color="auto" w:fill="auto"/>
          </w:tcPr>
          <w:p>
            <w:pPr>
              <w:jc w:val="both"/>
              <w:rPr>
                <w:rFonts w:ascii="Tahoma" w:hAnsi="Tahoma" w:cs="Tahoma"/>
                <w:noProof/>
              </w:rPr>
            </w:pPr>
            <w:r>
              <w:rPr>
                <w:rFonts w:ascii="Tahoma" w:hAnsi="Tahoma" w:cs="Tahoma"/>
                <w:noProof/>
              </w:rPr>
              <w:t xml:space="preserve">The combination of preferred options provides a balanced approach to the potentially conflicting policy objectives. Reducing exemptions will increase passenger protection and legal certainty. Improvements for </w:t>
            </w:r>
            <w:r>
              <w:rPr>
                <w:rFonts w:ascii="Tahoma" w:eastAsia="Calibri" w:hAnsi="Tahoma" w:cs="Tahoma"/>
                <w:noProof/>
              </w:rPr>
              <w:t xml:space="preserve">PRMs </w:t>
            </w:r>
            <w:r>
              <w:rPr>
                <w:rFonts w:ascii="Tahoma" w:hAnsi="Tahoma" w:cs="Tahoma"/>
                <w:noProof/>
              </w:rPr>
              <w:t xml:space="preserve">will encourage them to travel by rail and promote their social inclusion. Clear rules on through-ticketing will improve passengers’ rights on connecting services. A </w:t>
            </w:r>
            <w:r>
              <w:rPr>
                <w:rFonts w:ascii="Tahoma" w:hAnsi="Tahoma" w:cs="Tahoma"/>
                <w:i/>
                <w:noProof/>
              </w:rPr>
              <w:t>force majeure</w:t>
            </w:r>
            <w:r>
              <w:rPr>
                <w:rFonts w:ascii="Tahoma" w:hAnsi="Tahoma" w:cs="Tahoma"/>
                <w:noProof/>
              </w:rPr>
              <w:t xml:space="preserve"> clause will ensure legal fairness and proportionality.</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costs of the preferred option (if any, otherwise of main ones)? </w:t>
            </w:r>
          </w:p>
        </w:tc>
      </w:tr>
      <w:tr>
        <w:tc>
          <w:tcPr>
            <w:tcW w:w="10188" w:type="dxa"/>
            <w:tcBorders>
              <w:bottom w:val="single" w:sz="4" w:space="0" w:color="auto"/>
            </w:tcBorders>
            <w:shd w:val="clear" w:color="auto" w:fill="auto"/>
          </w:tcPr>
          <w:p>
            <w:pPr>
              <w:jc w:val="both"/>
              <w:rPr>
                <w:rFonts w:ascii="Tahoma" w:hAnsi="Tahoma" w:cs="Tahoma"/>
                <w:i/>
                <w:noProof/>
              </w:rPr>
            </w:pPr>
            <w:r>
              <w:rPr>
                <w:rFonts w:ascii="Tahoma" w:hAnsi="Tahoma" w:cs="Tahoma"/>
                <w:noProof/>
              </w:rPr>
              <w:t xml:space="preserve">Rail companies’ costs are expected to increase by 4.98 % from the baseline scenario over a 15-year period.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impacts on SMEs and competitiveness? </w:t>
            </w:r>
          </w:p>
        </w:tc>
      </w:tr>
      <w:tr>
        <w:tc>
          <w:tcPr>
            <w:tcW w:w="10188" w:type="dxa"/>
            <w:tcBorders>
              <w:bottom w:val="single" w:sz="4" w:space="0" w:color="auto"/>
            </w:tcBorders>
            <w:shd w:val="clear" w:color="auto" w:fill="auto"/>
          </w:tcPr>
          <w:p>
            <w:pPr>
              <w:jc w:val="both"/>
              <w:rPr>
                <w:rFonts w:ascii="Tahoma" w:hAnsi="Tahoma" w:cs="Tahoma"/>
                <w:i/>
                <w:noProof/>
              </w:rPr>
            </w:pPr>
            <w:r>
              <w:rPr>
                <w:rFonts w:ascii="Tahoma" w:hAnsi="Tahoma" w:cs="Tahoma"/>
                <w:noProof/>
              </w:rPr>
              <w:t>Only limited indirect effects on SMEs are expected.</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Will there be significant impacts on national budgets and administrations? </w:t>
            </w:r>
          </w:p>
        </w:tc>
      </w:tr>
      <w:tr>
        <w:tc>
          <w:tcPr>
            <w:tcW w:w="10188" w:type="dxa"/>
            <w:shd w:val="clear" w:color="auto" w:fill="auto"/>
          </w:tcPr>
          <w:p>
            <w:pPr>
              <w:jc w:val="both"/>
              <w:rPr>
                <w:rFonts w:ascii="Tahoma" w:hAnsi="Tahoma" w:cs="Tahoma"/>
                <w:noProof/>
              </w:rPr>
            </w:pPr>
            <w:r>
              <w:rPr>
                <w:rFonts w:ascii="Tahoma" w:hAnsi="Tahoma" w:cs="Tahoma"/>
                <w:noProof/>
              </w:rPr>
              <w:t xml:space="preserve">Minor impacts are expected in view of enhanced NEB enforcement and complaint-handling.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Will there be other significant impacts? </w:t>
            </w:r>
          </w:p>
        </w:tc>
      </w:tr>
      <w:tr>
        <w:tc>
          <w:tcPr>
            <w:tcW w:w="10188" w:type="dxa"/>
            <w:tcBorders>
              <w:bottom w:val="single" w:sz="4" w:space="0" w:color="auto"/>
            </w:tcBorders>
            <w:shd w:val="clear" w:color="auto" w:fill="auto"/>
          </w:tcPr>
          <w:p>
            <w:pPr>
              <w:jc w:val="both"/>
              <w:rPr>
                <w:rFonts w:ascii="Tahoma" w:hAnsi="Tahoma" w:cs="Tahoma"/>
                <w:noProof/>
              </w:rPr>
            </w:pPr>
            <w:r>
              <w:rPr>
                <w:rFonts w:ascii="Tahoma" w:hAnsi="Tahoma" w:cs="Tahoma"/>
                <w:noProof/>
              </w:rPr>
              <w:t xml:space="preserve">No major additional impacts are expected.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Proportionality? </w:t>
            </w:r>
          </w:p>
        </w:tc>
      </w:tr>
      <w:tr>
        <w:tc>
          <w:tcPr>
            <w:tcW w:w="10188" w:type="dxa"/>
            <w:shd w:val="clear" w:color="auto" w:fill="auto"/>
          </w:tcPr>
          <w:p>
            <w:pPr>
              <w:jc w:val="both"/>
              <w:rPr>
                <w:rFonts w:ascii="Tahoma" w:hAnsi="Tahoma" w:cs="Tahoma"/>
                <w:i/>
                <w:noProof/>
              </w:rPr>
            </w:pPr>
            <w:r>
              <w:rPr>
                <w:rFonts w:ascii="Tahoma" w:hAnsi="Tahoma" w:cs="Tahoma"/>
                <w:noProof/>
              </w:rPr>
              <w:t xml:space="preserve">The current divergent application of the rules hinders the single market and prevents harmonised levels of passenger rights across the EU. Guidelines have not yielded sufficient results. </w:t>
            </w:r>
          </w:p>
        </w:tc>
      </w:tr>
      <w:tr>
        <w:tc>
          <w:tcPr>
            <w:tcW w:w="10188" w:type="dxa"/>
            <w:tcBorders>
              <w:bottom w:val="single" w:sz="4" w:space="0" w:color="auto"/>
            </w:tcBorders>
            <w:shd w:val="clear" w:color="auto" w:fill="C0C0C0"/>
          </w:tcPr>
          <w:p>
            <w:pPr>
              <w:rPr>
                <w:rFonts w:ascii="Tahoma" w:hAnsi="Tahoma" w:cs="Tahoma"/>
                <w:b/>
                <w:noProof/>
              </w:rPr>
            </w:pPr>
            <w:r>
              <w:rPr>
                <w:rFonts w:ascii="Tahoma" w:hAnsi="Tahoma" w:cs="Tahoma"/>
                <w:b/>
                <w:noProof/>
              </w:rPr>
              <w:t>D. Follow</w:t>
            </w:r>
            <w:r>
              <w:rPr>
                <w:rFonts w:ascii="Tahoma" w:hAnsi="Tahoma" w:cs="Tahoma"/>
                <w:b/>
                <w:noProof/>
              </w:rPr>
              <w:noBreakHyphen/>
              <w:t>up</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Tahoma" w:hAnsi="Tahoma" w:cs="Tahoma"/>
                <w:b/>
                <w:noProof/>
              </w:rPr>
            </w:pPr>
            <w:r>
              <w:rPr>
                <w:rFonts w:ascii="Tahoma" w:hAnsi="Tahoma" w:cs="Tahoma"/>
                <w:noProof/>
              </w:rPr>
              <w:t>The Commission will evaluate the application of the new Regulation five years after its entry into force.</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982"/>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44E"/>
    <w:multiLevelType w:val="hybridMultilevel"/>
    <w:tmpl w:val="81C4D7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B6B47F7"/>
    <w:multiLevelType w:val="hybridMultilevel"/>
    <w:tmpl w:val="A8D69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F1C6062"/>
    <w:multiLevelType w:val="hybridMultilevel"/>
    <w:tmpl w:val="A8D69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C768853960F94657A613497FB0ED4082"/>
    <w:docVar w:name="LW_CROSSREFERENCE" w:val="{COM(2017) 548 final}_x000b_{SWD(2017) 318 final}"/>
    <w:docVar w:name="LW_DocType" w:val="NORMAL"/>
    <w:docVar w:name="LW_EMISSION" w:val="27.9.2017"/>
    <w:docVar w:name="LW_EMISSION_ISODATE" w:val="2017-09-27"/>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on rail passengers' rights and obligations _x000b__x000b_(recast)"/>
    <w:docVar w:name="LW_PART_NBR" w:val="1"/>
    <w:docVar w:name="LW_PART_NBR_TOTAL" w:val="1"/>
    <w:docVar w:name="LW_REF.INST.NEW" w:val="SWD"/>
    <w:docVar w:name="LW_REF.INST.NEW_ADOPTED" w:val="final"/>
    <w:docVar w:name="LW_REF.INST.NEW_TEXT" w:val="(2017) 317"/>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 w:name="Stamp" w:val="\\dossiers.dgt.cec.eu.int\dossiers\MOVE\MOVE-2017-00669\MOVE-2017-00669-00-02-EN-REV-00.20170626091559689799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cs="Times New Roman"/>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before="120" w:after="120" w:line="240" w:lineRule="auto"/>
      <w:ind w:left="720"/>
      <w:contextualSpacing/>
      <w:jc w:val="both"/>
    </w:pPr>
    <w:rPr>
      <w:rFonts w:ascii="Times New Roman" w:eastAsia="Times New Roman" w:hAnsi="Times New Roman" w:cs="Times New Roman"/>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3377</Characters>
  <Application>Microsoft Office Word</Application>
  <DocSecurity>0</DocSecurity>
  <Lines>68</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2017-09-18T11:13:00Z</dcterms:created>
  <dcterms:modified xsi:type="dcterms:W3CDTF">2017-09-26T14:11:00Z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