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65D950E77C546219040BC18E1D058A6" style="width:450.75pt;height:395.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rPr>
                <w:rFonts w:ascii="Tahoma" w:hAnsi="Tahoma" w:cs="Tahoma"/>
                <w:b/>
                <w:noProof/>
              </w:rPr>
            </w:pPr>
            <w:bookmarkStart w:id="1" w:name="_GoBack"/>
            <w:bookmarkEnd w:id="1"/>
            <w:r>
              <w:rPr>
                <w:rFonts w:ascii="Tahoma" w:hAnsi="Tahoma" w:cs="Tahoma"/>
                <w:b/>
                <w:noProof/>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jc w:val="both"/>
              <w:rPr>
                <w:rFonts w:ascii="Tahoma" w:hAnsi="Tahoma" w:cs="Tahoma"/>
                <w:b/>
                <w:noProof/>
                <w:lang w:val="fr-BE"/>
              </w:rPr>
            </w:pPr>
            <w:r>
              <w:rPr>
                <w:rFonts w:ascii="Tahoma" w:hAnsi="Tahoma" w:cs="Tahoma"/>
                <w:b/>
                <w:noProof/>
                <w:lang w:val="fr-BE"/>
              </w:rPr>
              <w:t>Analyse d'impact: révision du règlement (CE) nº 1371/2007 sur les droits et obligations des voyageurs ferroviaires</w:t>
            </w:r>
          </w:p>
        </w:tc>
      </w:tr>
      <w:tr>
        <w:tc>
          <w:tcPr>
            <w:tcW w:w="10188" w:type="dxa"/>
            <w:tcBorders>
              <w:bottom w:val="single" w:sz="4" w:space="0" w:color="auto"/>
            </w:tcBorders>
            <w:shd w:val="clear" w:color="auto" w:fill="CCCCCC"/>
          </w:tcPr>
          <w:p>
            <w:pPr>
              <w:rPr>
                <w:rFonts w:ascii="Tahoma" w:hAnsi="Tahoma" w:cs="Tahoma"/>
                <w:b/>
                <w:noProof/>
              </w:rPr>
            </w:pPr>
            <w:r>
              <w:rPr>
                <w:rFonts w:ascii="Tahoma" w:hAnsi="Tahoma" w:cs="Tahoma"/>
                <w:b/>
                <w:noProof/>
              </w:rPr>
              <w:t>A. Nécessité d’une action</w:t>
            </w:r>
          </w:p>
        </w:tc>
      </w:tr>
      <w:tr>
        <w:tc>
          <w:tcPr>
            <w:tcW w:w="10188" w:type="dxa"/>
            <w:tcBorders>
              <w:bottom w:val="single" w:sz="4" w:space="0" w:color="auto"/>
            </w:tcBorders>
            <w:shd w:val="clear" w:color="auto" w:fill="E0E0E0"/>
          </w:tcPr>
          <w:p>
            <w:pPr>
              <w:pStyle w:val="Default"/>
              <w:jc w:val="both"/>
              <w:rPr>
                <w:rFonts w:ascii="Tahoma" w:hAnsi="Tahoma" w:cs="Tahoma"/>
                <w:noProof/>
                <w:sz w:val="20"/>
                <w:szCs w:val="20"/>
                <w:lang w:val="fr-BE"/>
              </w:rPr>
            </w:pPr>
            <w:r>
              <w:rPr>
                <w:rFonts w:ascii="Tahoma" w:hAnsi="Tahoma" w:cs="Tahoma"/>
                <w:b/>
                <w:bCs/>
                <w:noProof/>
                <w:sz w:val="20"/>
                <w:szCs w:val="20"/>
                <w:lang w:val="fr-BE"/>
              </w:rPr>
              <w:t>Quel est le problème et pourquoi en est-ce un au niveau de l'UE?</w:t>
            </w:r>
          </w:p>
        </w:tc>
      </w:tr>
      <w:tr>
        <w:trPr>
          <w:trHeight w:val="1293"/>
        </w:trPr>
        <w:tc>
          <w:tcPr>
            <w:tcW w:w="10188" w:type="dxa"/>
            <w:tcBorders>
              <w:bottom w:val="single" w:sz="4" w:space="0" w:color="auto"/>
            </w:tcBorders>
            <w:shd w:val="clear" w:color="auto" w:fill="auto"/>
          </w:tcPr>
          <w:p>
            <w:pPr>
              <w:jc w:val="both"/>
              <w:rPr>
                <w:rFonts w:ascii="Tahoma" w:hAnsi="Tahoma" w:cs="Tahoma"/>
                <w:noProof/>
                <w:lang w:val="fr-BE"/>
              </w:rPr>
            </w:pPr>
            <w:r>
              <w:rPr>
                <w:rFonts w:ascii="Tahoma" w:hAnsi="Tahoma" w:cs="Tahoma"/>
                <w:noProof/>
                <w:lang w:val="fr-BE"/>
              </w:rPr>
              <w:t>Les principaux problèmes liés au règlement concernent les dérogations nationales excessives, les droits des voyageurs handicapés ou à mobilité réduite (PMR), le manque d’informations adéquates, la vente de billets directs, le traitement des plaintes, le contrôle de l'application, la discrimination fondée sur la nationalité et l’indemnisation en cas d’événements de force majeure. Ces problèmes ont une incidence négative sur le marché unique et empêchent de contrôler de manière cohérente l'application des règles. Ils peuvent être exacerbés par la libéralisation du marché ferroviaire de l’UE</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lang w:val="fr-BE"/>
              </w:rPr>
            </w:pPr>
            <w:r>
              <w:rPr>
                <w:rFonts w:ascii="Tahoma" w:hAnsi="Tahoma" w:cs="Tahoma"/>
                <w:b/>
                <w:bCs/>
                <w:noProof/>
                <w:sz w:val="20"/>
                <w:szCs w:val="20"/>
                <w:lang w:val="fr-BE"/>
              </w:rPr>
              <w:t>Quels sont les objectifs à atteindre?</w:t>
            </w:r>
          </w:p>
        </w:tc>
      </w:tr>
      <w:tr>
        <w:tc>
          <w:tcPr>
            <w:tcW w:w="10188" w:type="dxa"/>
            <w:tcBorders>
              <w:bottom w:val="single" w:sz="4" w:space="0" w:color="auto"/>
            </w:tcBorders>
            <w:shd w:val="clear" w:color="auto" w:fill="auto"/>
          </w:tcPr>
          <w:p>
            <w:pPr>
              <w:numPr>
                <w:ilvl w:val="0"/>
                <w:numId w:val="1"/>
              </w:numPr>
              <w:jc w:val="both"/>
              <w:rPr>
                <w:rFonts w:ascii="Tahoma" w:hAnsi="Tahoma" w:cs="Tahoma"/>
                <w:noProof/>
                <w:lang w:val="fr-BE"/>
              </w:rPr>
            </w:pPr>
            <w:r>
              <w:rPr>
                <w:rFonts w:ascii="Tahoma" w:hAnsi="Tahoma" w:cs="Tahoma"/>
                <w:noProof/>
                <w:lang w:val="fr-BE"/>
              </w:rPr>
              <w:t>Promouvoir l’égalité et le renforcement des droits des usagers des chemins de fer dans l’UE; et</w:t>
            </w:r>
          </w:p>
          <w:p>
            <w:pPr>
              <w:numPr>
                <w:ilvl w:val="0"/>
                <w:numId w:val="1"/>
              </w:numPr>
              <w:jc w:val="both"/>
              <w:rPr>
                <w:rFonts w:ascii="Tahoma" w:hAnsi="Tahoma" w:cs="Tahoma"/>
                <w:noProof/>
                <w:lang w:val="fr-BE"/>
              </w:rPr>
            </w:pPr>
            <w:r>
              <w:rPr>
                <w:rFonts w:ascii="Tahoma" w:hAnsi="Tahoma" w:cs="Tahoma"/>
                <w:noProof/>
                <w:lang w:val="fr-BE"/>
              </w:rPr>
              <w:t>renforcer la compétitivité du secteur ferroviaire sans créer d'incidence négative sur les droits des voyageurs.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lang w:val="fr-BE"/>
              </w:rPr>
            </w:pPr>
            <w:r>
              <w:rPr>
                <w:rFonts w:ascii="Tahoma" w:hAnsi="Tahoma" w:cs="Tahoma"/>
                <w:b/>
                <w:bCs/>
                <w:noProof/>
                <w:sz w:val="20"/>
                <w:szCs w:val="20"/>
                <w:lang w:val="fr-BE"/>
              </w:rPr>
              <w:t xml:space="preserve">Quelle est la valeur ajoutée de l'action au niveau de l'UE (subsidiarité)? </w:t>
            </w:r>
          </w:p>
        </w:tc>
      </w:tr>
      <w:tr>
        <w:tc>
          <w:tcPr>
            <w:tcW w:w="10188" w:type="dxa"/>
            <w:tcBorders>
              <w:bottom w:val="single" w:sz="4" w:space="0" w:color="auto"/>
            </w:tcBorders>
            <w:shd w:val="clear" w:color="auto" w:fill="auto"/>
          </w:tcPr>
          <w:p>
            <w:pPr>
              <w:jc w:val="both"/>
              <w:rPr>
                <w:rFonts w:ascii="Tahoma" w:hAnsi="Tahoma" w:cs="Tahoma"/>
                <w:noProof/>
              </w:rPr>
            </w:pPr>
            <w:r>
              <w:rPr>
                <w:rFonts w:ascii="Tahoma" w:hAnsi="Tahoma" w:cs="Tahoma"/>
                <w:noProof/>
                <w:lang w:val="fr-BE"/>
              </w:rPr>
              <w:t xml:space="preserve">Le règlement actuel laisse place à l’interprétation, empêchant un niveau harmonisé de protection des voyageurs dans l’ensemble de l’UE. Les États membres ne peuvent remédier à ces problèmes en agissant seuls. </w:t>
            </w:r>
            <w:r>
              <w:rPr>
                <w:rFonts w:ascii="Tahoma" w:hAnsi="Tahoma" w:cs="Tahoma"/>
                <w:noProof/>
              </w:rPr>
              <w:t>Une action de l'UE semble donc appropriée</w:t>
            </w:r>
          </w:p>
        </w:tc>
      </w:tr>
      <w:tr>
        <w:tc>
          <w:tcPr>
            <w:tcW w:w="10188" w:type="dxa"/>
            <w:tcBorders>
              <w:bottom w:val="single" w:sz="4" w:space="0" w:color="auto"/>
            </w:tcBorders>
            <w:shd w:val="clear" w:color="auto" w:fill="CCCCCC"/>
          </w:tcPr>
          <w:p>
            <w:pPr>
              <w:rPr>
                <w:rFonts w:ascii="Tahoma" w:hAnsi="Tahoma" w:cs="Tahoma"/>
                <w:b/>
                <w:noProof/>
              </w:rPr>
            </w:pPr>
            <w:r>
              <w:rPr>
                <w:rFonts w:ascii="Tahoma" w:hAnsi="Tahoma" w:cs="Tahoma"/>
                <w:b/>
                <w:noProof/>
              </w:rPr>
              <w:t>B. Les solutions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lang w:val="fr-BE"/>
              </w:rPr>
              <w:t xml:space="preserve">Quelles sont les options pour atteindre les objectifs? Y a-t-il une option privilégiée? </w:t>
            </w:r>
            <w:r>
              <w:rPr>
                <w:rFonts w:ascii="Tahoma" w:hAnsi="Tahoma" w:cs="Tahoma"/>
                <w:b/>
                <w:bCs/>
                <w:noProof/>
                <w:sz w:val="20"/>
                <w:szCs w:val="20"/>
              </w:rPr>
              <w:t xml:space="preserve">Si tel n'est pas le cas, pourquoi? </w:t>
            </w:r>
          </w:p>
        </w:tc>
      </w:tr>
      <w:tr>
        <w:trPr>
          <w:trHeight w:val="1125"/>
        </w:trPr>
        <w:tc>
          <w:tcPr>
            <w:tcW w:w="10188" w:type="dxa"/>
            <w:tcBorders>
              <w:bottom w:val="single" w:sz="4" w:space="0" w:color="auto"/>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7258"/>
            </w:tblGrid>
            <w:tr>
              <w:trPr>
                <w:trHeight w:val="854"/>
              </w:trPr>
              <w:tc>
                <w:tcPr>
                  <w:tcW w:w="1350" w:type="pct"/>
                  <w:tcBorders>
                    <w:top w:val="double" w:sz="4" w:space="0" w:color="auto"/>
                    <w:left w:val="double" w:sz="4" w:space="0" w:color="auto"/>
                    <w:bottom w:val="double" w:sz="4" w:space="0" w:color="auto"/>
                    <w:right w:val="double" w:sz="4" w:space="0" w:color="auto"/>
                  </w:tcBorders>
                  <w:shd w:val="clear" w:color="auto" w:fill="auto"/>
                  <w:vAlign w:val="center"/>
                </w:tcPr>
                <w:p>
                  <w:pPr>
                    <w:rPr>
                      <w:rFonts w:ascii="Tahoma" w:hAnsi="Tahoma" w:cs="Tahoma"/>
                      <w:noProof/>
                      <w:sz w:val="20"/>
                      <w:szCs w:val="20"/>
                    </w:rPr>
                  </w:pPr>
                  <w:r>
                    <w:rPr>
                      <w:rFonts w:ascii="Tahoma" w:hAnsi="Tahoma" w:cs="Tahoma"/>
                      <w:noProof/>
                      <w:sz w:val="20"/>
                      <w:szCs w:val="20"/>
                    </w:rPr>
                    <w:t>Dérogations</w:t>
                  </w:r>
                </w:p>
              </w:tc>
              <w:tc>
                <w:tcPr>
                  <w:tcW w:w="3650" w:type="pct"/>
                  <w:tcBorders>
                    <w:top w:val="double" w:sz="4" w:space="0" w:color="auto"/>
                    <w:left w:val="double" w:sz="4" w:space="0" w:color="auto"/>
                    <w:bottom w:val="double" w:sz="4" w:space="0" w:color="auto"/>
                    <w:right w:val="double" w:sz="4" w:space="0" w:color="auto"/>
                  </w:tcBorders>
                  <w:shd w:val="clear" w:color="auto" w:fill="auto"/>
                  <w:vAlign w:val="center"/>
                </w:tcPr>
                <w:p>
                  <w:pPr>
                    <w:ind w:left="28"/>
                    <w:rPr>
                      <w:rFonts w:ascii="Tahoma" w:hAnsi="Tahoma" w:cs="Tahoma"/>
                      <w:noProof/>
                      <w:sz w:val="20"/>
                      <w:szCs w:val="20"/>
                      <w:lang w:val="fr-BE"/>
                    </w:rPr>
                  </w:pPr>
                  <w:r>
                    <w:rPr>
                      <w:rFonts w:ascii="Tahoma" w:eastAsia="Calibri" w:hAnsi="Tahoma" w:cs="Tahoma"/>
                      <w:noProof/>
                      <w:sz w:val="20"/>
                      <w:szCs w:val="20"/>
                      <w:lang w:val="fr-BE"/>
                    </w:rPr>
                    <w:t>- Suppression des dérogations pour les services intérieurs à longue distance d’ici 2020</w:t>
                  </w:r>
                  <w:r>
                    <w:rPr>
                      <w:rFonts w:ascii="Tahoma" w:eastAsia="Calibri" w:hAnsi="Tahoma" w:cs="Tahoma"/>
                      <w:noProof/>
                      <w:sz w:val="20"/>
                      <w:szCs w:val="20"/>
                      <w:lang w:val="fr-BE"/>
                    </w:rPr>
                    <w:br/>
                    <w:t>- Limitation des dérogations pour des services exploités avec des pays non membres de l’UE</w:t>
                  </w:r>
                  <w:r>
                    <w:rPr>
                      <w:rFonts w:ascii="Tahoma" w:eastAsia="Calibri" w:hAnsi="Tahoma" w:cs="Tahoma"/>
                      <w:noProof/>
                      <w:sz w:val="20"/>
                      <w:szCs w:val="20"/>
                      <w:lang w:val="fr-BE"/>
                    </w:rPr>
                    <w:br/>
                    <w:t>- Suppression des dérogations pour les services urbains, suburbains et régionaux</w:t>
                  </w:r>
                </w:p>
              </w:tc>
            </w:tr>
            <w:tr>
              <w:trPr>
                <w:trHeight w:val="20"/>
              </w:trPr>
              <w:tc>
                <w:tcPr>
                  <w:tcW w:w="1350" w:type="pct"/>
                  <w:tcBorders>
                    <w:top w:val="double" w:sz="4" w:space="0" w:color="auto"/>
                    <w:left w:val="double" w:sz="4" w:space="0" w:color="auto"/>
                  </w:tcBorders>
                  <w:shd w:val="clear" w:color="auto" w:fill="auto"/>
                  <w:vAlign w:val="center"/>
                </w:tcPr>
                <w:p>
                  <w:pPr>
                    <w:rPr>
                      <w:rFonts w:ascii="Tahoma" w:hAnsi="Tahoma" w:cs="Tahoma"/>
                      <w:noProof/>
                      <w:sz w:val="20"/>
                      <w:szCs w:val="20"/>
                    </w:rPr>
                  </w:pPr>
                  <w:r>
                    <w:rPr>
                      <w:rFonts w:ascii="Tahoma" w:hAnsi="Tahoma" w:cs="Tahoma"/>
                      <w:noProof/>
                      <w:sz w:val="20"/>
                      <w:szCs w:val="20"/>
                    </w:rPr>
                    <w:t>Droits des PMR</w:t>
                  </w:r>
                </w:p>
              </w:tc>
              <w:tc>
                <w:tcPr>
                  <w:tcW w:w="3650" w:type="pct"/>
                  <w:tcBorders>
                    <w:top w:val="double" w:sz="4" w:space="0" w:color="auto"/>
                    <w:right w:val="double" w:sz="4" w:space="0" w:color="auto"/>
                  </w:tcBorders>
                  <w:shd w:val="clear" w:color="auto" w:fill="auto"/>
                  <w:vAlign w:val="center"/>
                </w:tcPr>
                <w:p>
                  <w:pPr>
                    <w:jc w:val="both"/>
                    <w:rPr>
                      <w:rFonts w:ascii="Tahoma" w:eastAsia="Calibri" w:hAnsi="Tahoma" w:cs="Tahoma"/>
                      <w:noProof/>
                      <w:sz w:val="20"/>
                      <w:szCs w:val="20"/>
                      <w:lang w:val="fr-BE"/>
                    </w:rPr>
                  </w:pPr>
                  <w:r>
                    <w:rPr>
                      <w:rFonts w:ascii="Tahoma" w:hAnsi="Tahoma" w:cs="Tahoma"/>
                      <w:noProof/>
                      <w:sz w:val="20"/>
                      <w:szCs w:val="20"/>
                      <w:lang w:val="fr-BE"/>
                    </w:rPr>
                    <w:t>Nouvelles règles visant à améliorer l’accès des PMR aux services ferroviaires et à l'information</w:t>
                  </w:r>
                </w:p>
              </w:tc>
            </w:tr>
            <w:tr>
              <w:trPr>
                <w:trHeight w:val="20"/>
              </w:trPr>
              <w:tc>
                <w:tcPr>
                  <w:tcW w:w="1350" w:type="pct"/>
                  <w:tcBorders>
                    <w:left w:val="double" w:sz="4" w:space="0" w:color="auto"/>
                  </w:tcBorders>
                  <w:shd w:val="clear" w:color="auto" w:fill="auto"/>
                  <w:vAlign w:val="center"/>
                </w:tcPr>
                <w:p>
                  <w:pPr>
                    <w:pStyle w:val="ListParagraph"/>
                    <w:ind w:left="29"/>
                    <w:jc w:val="left"/>
                    <w:rPr>
                      <w:rFonts w:ascii="Tahoma" w:hAnsi="Tahoma" w:cs="Tahoma"/>
                      <w:noProof/>
                      <w:sz w:val="20"/>
                      <w:szCs w:val="20"/>
                    </w:rPr>
                  </w:pPr>
                  <w:r>
                    <w:rPr>
                      <w:rFonts w:ascii="Tahoma" w:hAnsi="Tahoma" w:cs="Tahoma"/>
                      <w:noProof/>
                      <w:sz w:val="20"/>
                      <w:szCs w:val="20"/>
                    </w:rPr>
                    <w:t>Information</w:t>
                  </w:r>
                </w:p>
              </w:tc>
              <w:tc>
                <w:tcPr>
                  <w:tcW w:w="3650" w:type="pct"/>
                  <w:tcBorders>
                    <w:right w:val="double" w:sz="4" w:space="0" w:color="auto"/>
                  </w:tcBorders>
                  <w:shd w:val="clear" w:color="auto" w:fill="auto"/>
                  <w:vAlign w:val="center"/>
                </w:tcPr>
                <w:p>
                  <w:pPr>
                    <w:pStyle w:val="ListParagraph"/>
                    <w:ind w:left="0"/>
                    <w:rPr>
                      <w:rFonts w:ascii="Tahoma" w:hAnsi="Tahoma" w:cs="Tahoma"/>
                      <w:noProof/>
                      <w:sz w:val="20"/>
                      <w:szCs w:val="20"/>
                      <w:lang w:val="fr-BE"/>
                    </w:rPr>
                  </w:pPr>
                  <w:r>
                    <w:rPr>
                      <w:rFonts w:ascii="Tahoma" w:hAnsi="Tahoma" w:cs="Tahoma"/>
                      <w:noProof/>
                      <w:sz w:val="20"/>
                      <w:szCs w:val="20"/>
                      <w:lang w:val="fr-BE"/>
                    </w:rPr>
                    <w:t>Nouvelles règles visant à améliorer l’information des voyageurs</w:t>
                  </w:r>
                </w:p>
              </w:tc>
            </w:tr>
            <w:tr>
              <w:trPr>
                <w:trHeight w:val="20"/>
              </w:trPr>
              <w:tc>
                <w:tcPr>
                  <w:tcW w:w="1350" w:type="pct"/>
                  <w:tcBorders>
                    <w:left w:val="double" w:sz="4" w:space="0" w:color="auto"/>
                  </w:tcBorders>
                  <w:shd w:val="clear" w:color="auto" w:fill="auto"/>
                  <w:vAlign w:val="center"/>
                </w:tcPr>
                <w:p>
                  <w:pPr>
                    <w:pStyle w:val="ListParagraph"/>
                    <w:ind w:left="29"/>
                    <w:jc w:val="left"/>
                    <w:rPr>
                      <w:rFonts w:ascii="Tahoma" w:hAnsi="Tahoma" w:cs="Tahoma"/>
                      <w:noProof/>
                      <w:sz w:val="20"/>
                      <w:szCs w:val="20"/>
                    </w:rPr>
                  </w:pPr>
                  <w:r>
                    <w:rPr>
                      <w:rFonts w:ascii="Tahoma" w:hAnsi="Tahoma" w:cs="Tahoma"/>
                      <w:noProof/>
                      <w:sz w:val="20"/>
                      <w:szCs w:val="20"/>
                    </w:rPr>
                    <w:t>Billets directs</w:t>
                  </w:r>
                </w:p>
              </w:tc>
              <w:tc>
                <w:tcPr>
                  <w:tcW w:w="3650" w:type="pct"/>
                  <w:tcBorders>
                    <w:right w:val="double" w:sz="4" w:space="0" w:color="auto"/>
                  </w:tcBorders>
                  <w:shd w:val="clear" w:color="auto" w:fill="auto"/>
                  <w:vAlign w:val="center"/>
                </w:tcPr>
                <w:p>
                  <w:pPr>
                    <w:pStyle w:val="ListParagraph"/>
                    <w:ind w:left="0"/>
                    <w:rPr>
                      <w:rFonts w:ascii="Tahoma" w:hAnsi="Tahoma" w:cs="Tahoma"/>
                      <w:noProof/>
                      <w:sz w:val="20"/>
                      <w:szCs w:val="20"/>
                      <w:lang w:val="fr-BE"/>
                    </w:rPr>
                  </w:pPr>
                  <w:r>
                    <w:rPr>
                      <w:rFonts w:ascii="Tahoma" w:hAnsi="Tahoma" w:cs="Tahoma"/>
                      <w:noProof/>
                      <w:sz w:val="20"/>
                      <w:szCs w:val="20"/>
                      <w:lang w:val="fr-BE"/>
                    </w:rPr>
                    <w:t>Règles plus claires en matière de billets directs</w:t>
                  </w:r>
                </w:p>
              </w:tc>
            </w:tr>
            <w:tr>
              <w:trPr>
                <w:trHeight w:val="20"/>
              </w:trPr>
              <w:tc>
                <w:tcPr>
                  <w:tcW w:w="1350" w:type="pct"/>
                  <w:tcBorders>
                    <w:left w:val="double" w:sz="4" w:space="0" w:color="auto"/>
                  </w:tcBorders>
                  <w:shd w:val="clear" w:color="auto" w:fill="auto"/>
                  <w:vAlign w:val="center"/>
                </w:tcPr>
                <w:p>
                  <w:pPr>
                    <w:pStyle w:val="ListParagraph"/>
                    <w:ind w:left="29"/>
                    <w:jc w:val="left"/>
                    <w:rPr>
                      <w:rFonts w:ascii="Tahoma" w:hAnsi="Tahoma" w:cs="Tahoma"/>
                      <w:noProof/>
                      <w:sz w:val="20"/>
                      <w:szCs w:val="20"/>
                      <w:lang w:val="fr-BE"/>
                    </w:rPr>
                  </w:pPr>
                  <w:r>
                    <w:rPr>
                      <w:rFonts w:ascii="Tahoma" w:hAnsi="Tahoma" w:cs="Tahoma"/>
                      <w:noProof/>
                      <w:sz w:val="20"/>
                      <w:szCs w:val="20"/>
                      <w:lang w:val="fr-BE"/>
                    </w:rPr>
                    <w:t>Traitement des plaintes et contrôle de l'application</w:t>
                  </w:r>
                </w:p>
              </w:tc>
              <w:tc>
                <w:tcPr>
                  <w:tcW w:w="3650" w:type="pct"/>
                  <w:tcBorders>
                    <w:right w:val="double" w:sz="4" w:space="0" w:color="auto"/>
                  </w:tcBorders>
                  <w:shd w:val="clear" w:color="auto" w:fill="auto"/>
                  <w:vAlign w:val="center"/>
                </w:tcPr>
                <w:p>
                  <w:pPr>
                    <w:pStyle w:val="ListParagraph"/>
                    <w:ind w:left="0"/>
                    <w:rPr>
                      <w:rFonts w:ascii="Tahoma" w:hAnsi="Tahoma" w:cs="Tahoma"/>
                      <w:noProof/>
                      <w:sz w:val="20"/>
                      <w:szCs w:val="20"/>
                      <w:lang w:val="fr-BE"/>
                    </w:rPr>
                  </w:pPr>
                  <w:r>
                    <w:rPr>
                      <w:rFonts w:ascii="Tahoma" w:hAnsi="Tahoma" w:cs="Tahoma"/>
                      <w:noProof/>
                      <w:sz w:val="20"/>
                      <w:szCs w:val="20"/>
                      <w:lang w:val="fr-BE"/>
                    </w:rPr>
                    <w:t>Règles plus claires pour le traitement des plaintes et la coopération des organismes nationaux chargés de l’application</w:t>
                  </w:r>
                </w:p>
              </w:tc>
            </w:tr>
            <w:tr>
              <w:trPr>
                <w:trHeight w:val="20"/>
              </w:trPr>
              <w:tc>
                <w:tcPr>
                  <w:tcW w:w="1350" w:type="pct"/>
                  <w:tcBorders>
                    <w:left w:val="double" w:sz="4" w:space="0" w:color="auto"/>
                  </w:tcBorders>
                  <w:shd w:val="clear" w:color="auto" w:fill="auto"/>
                  <w:vAlign w:val="center"/>
                </w:tcPr>
                <w:p>
                  <w:pPr>
                    <w:pStyle w:val="ListParagraph"/>
                    <w:ind w:left="29"/>
                    <w:jc w:val="left"/>
                    <w:rPr>
                      <w:rFonts w:ascii="Tahoma" w:hAnsi="Tahoma" w:cs="Tahoma"/>
                      <w:noProof/>
                      <w:sz w:val="20"/>
                      <w:szCs w:val="20"/>
                    </w:rPr>
                  </w:pPr>
                  <w:r>
                    <w:rPr>
                      <w:rFonts w:ascii="Tahoma" w:hAnsi="Tahoma" w:cs="Tahoma"/>
                      <w:noProof/>
                      <w:sz w:val="20"/>
                      <w:szCs w:val="20"/>
                    </w:rPr>
                    <w:t>Discrimination</w:t>
                  </w:r>
                </w:p>
              </w:tc>
              <w:tc>
                <w:tcPr>
                  <w:tcW w:w="3650" w:type="pct"/>
                  <w:tcBorders>
                    <w:right w:val="double" w:sz="4" w:space="0" w:color="auto"/>
                  </w:tcBorders>
                  <w:shd w:val="clear" w:color="auto" w:fill="auto"/>
                  <w:vAlign w:val="center"/>
                </w:tcPr>
                <w:p>
                  <w:pPr>
                    <w:pStyle w:val="ListParagraph"/>
                    <w:ind w:left="0"/>
                    <w:rPr>
                      <w:rFonts w:ascii="Tahoma" w:hAnsi="Tahoma" w:cs="Tahoma"/>
                      <w:noProof/>
                      <w:sz w:val="20"/>
                      <w:szCs w:val="20"/>
                      <w:lang w:val="fr-BE"/>
                    </w:rPr>
                  </w:pPr>
                  <w:r>
                    <w:rPr>
                      <w:rFonts w:ascii="Tahoma" w:hAnsi="Tahoma" w:cs="Tahoma"/>
                      <w:noProof/>
                      <w:sz w:val="20"/>
                      <w:szCs w:val="20"/>
                      <w:lang w:val="fr-BE"/>
                    </w:rPr>
                    <w:t>Nouvelle clause de non-discrimination</w:t>
                  </w:r>
                </w:p>
              </w:tc>
            </w:tr>
            <w:tr>
              <w:trPr>
                <w:trHeight w:val="20"/>
              </w:trPr>
              <w:tc>
                <w:tcPr>
                  <w:tcW w:w="1350" w:type="pct"/>
                  <w:tcBorders>
                    <w:left w:val="double" w:sz="4" w:space="0" w:color="auto"/>
                    <w:bottom w:val="double" w:sz="4" w:space="0" w:color="auto"/>
                  </w:tcBorders>
                  <w:shd w:val="clear" w:color="auto" w:fill="auto"/>
                  <w:vAlign w:val="center"/>
                </w:tcPr>
                <w:p>
                  <w:pPr>
                    <w:pStyle w:val="ListParagraph"/>
                    <w:ind w:left="29"/>
                    <w:jc w:val="left"/>
                    <w:rPr>
                      <w:rFonts w:ascii="Tahoma" w:hAnsi="Tahoma" w:cs="Tahoma"/>
                      <w:noProof/>
                      <w:sz w:val="20"/>
                      <w:szCs w:val="20"/>
                    </w:rPr>
                  </w:pPr>
                  <w:r>
                    <w:rPr>
                      <w:rFonts w:ascii="Tahoma" w:hAnsi="Tahoma" w:cs="Tahoma"/>
                      <w:noProof/>
                      <w:sz w:val="20"/>
                      <w:szCs w:val="20"/>
                    </w:rPr>
                    <w:t>Cas de force majeure</w:t>
                  </w:r>
                </w:p>
              </w:tc>
              <w:tc>
                <w:tcPr>
                  <w:tcW w:w="3650" w:type="pct"/>
                  <w:tcBorders>
                    <w:bottom w:val="double" w:sz="4" w:space="0" w:color="auto"/>
                    <w:right w:val="double" w:sz="4" w:space="0" w:color="auto"/>
                  </w:tcBorders>
                  <w:shd w:val="clear" w:color="auto" w:fill="auto"/>
                  <w:vAlign w:val="center"/>
                </w:tcPr>
                <w:p>
                  <w:pPr>
                    <w:pStyle w:val="ListParagraph"/>
                    <w:ind w:left="0"/>
                    <w:rPr>
                      <w:rFonts w:ascii="Tahoma" w:hAnsi="Tahoma" w:cs="Tahoma"/>
                      <w:noProof/>
                      <w:sz w:val="20"/>
                      <w:szCs w:val="20"/>
                      <w:lang w:val="fr-BE"/>
                    </w:rPr>
                  </w:pPr>
                  <w:r>
                    <w:rPr>
                      <w:rFonts w:ascii="Tahoma" w:hAnsi="Tahoma" w:cs="Tahoma"/>
                      <w:noProof/>
                      <w:sz w:val="20"/>
                      <w:szCs w:val="20"/>
                      <w:lang w:val="fr-BE"/>
                    </w:rPr>
                    <w:t>Clause visant à dispenser les entreprises ferroviaires de l’obligation de payer un dédommagement pour les retards qui résultent de conditions météorologiques difficiles ou de catastrophes naturelles et n’auraient pas pu être prévus ni empêchés</w:t>
                  </w:r>
                </w:p>
              </w:tc>
            </w:tr>
          </w:tbl>
          <w:p>
            <w:pPr>
              <w:jc w:val="both"/>
              <w:rPr>
                <w:rFonts w:ascii="Tahoma" w:hAnsi="Tahoma" w:cs="Tahoma"/>
                <w:noProof/>
                <w:lang w:val="fr-BE"/>
              </w:rPr>
            </w:pPr>
          </w:p>
        </w:tc>
      </w:tr>
      <w:tr>
        <w:tc>
          <w:tcPr>
            <w:tcW w:w="10188" w:type="dxa"/>
            <w:shd w:val="clear" w:color="auto" w:fill="E6E6E6"/>
          </w:tcPr>
          <w:p>
            <w:pPr>
              <w:pStyle w:val="Default"/>
              <w:jc w:val="both"/>
              <w:rPr>
                <w:rFonts w:ascii="Tahoma" w:hAnsi="Tahoma" w:cs="Tahoma"/>
                <w:b/>
                <w:bCs/>
                <w:noProof/>
                <w:sz w:val="20"/>
                <w:szCs w:val="20"/>
              </w:rPr>
            </w:pPr>
            <w:r>
              <w:rPr>
                <w:rFonts w:ascii="Tahoma" w:hAnsi="Tahoma" w:cs="Tahoma"/>
                <w:b/>
                <w:bCs/>
                <w:noProof/>
                <w:sz w:val="20"/>
                <w:szCs w:val="20"/>
                <w:lang w:val="fr-BE"/>
              </w:rPr>
              <w:t xml:space="preserve">Quelle est la position des différentes parties prenantes? </w:t>
            </w:r>
            <w:r>
              <w:rPr>
                <w:rFonts w:ascii="Tahoma" w:hAnsi="Tahoma" w:cs="Tahoma"/>
                <w:b/>
                <w:bCs/>
                <w:noProof/>
                <w:sz w:val="20"/>
                <w:szCs w:val="20"/>
              </w:rPr>
              <w:t xml:space="preserve">Qui soutient quelle option? </w:t>
            </w:r>
          </w:p>
        </w:tc>
      </w:tr>
      <w:tr>
        <w:tc>
          <w:tcPr>
            <w:tcW w:w="10188" w:type="dxa"/>
            <w:shd w:val="clear" w:color="auto" w:fill="auto"/>
          </w:tcPr>
          <w:p>
            <w:pPr>
              <w:jc w:val="both"/>
              <w:rPr>
                <w:rFonts w:ascii="Tahoma" w:hAnsi="Tahoma" w:cs="Tahoma"/>
                <w:noProof/>
                <w:lang w:val="fr-BE"/>
              </w:rPr>
            </w:pPr>
            <w:r>
              <w:rPr>
                <w:rFonts w:ascii="Tahoma" w:hAnsi="Tahoma" w:cs="Tahoma"/>
                <w:noProof/>
                <w:lang w:val="fr-BE"/>
              </w:rPr>
              <w:t>La plupart des États membres et des entreprises ferroviaires sont réticents à l’idée de supprimer les dérogations. Les citoyens sont favorables à une réduction des dérogations et soutiennent les mesures visant à renforcer les droits des voyageurs. La plupart des parties prenantes sont en faveur de règles plus claires, par exemple en ce qui concerne l’assistance, le traitement des plaintes et le contrôle de l’application. Pour ce qui est de la clause de force majeure, la plupart des entreprises ferroviaires et des États membres y sont favorables et les citoyens défavorables.</w:t>
            </w:r>
          </w:p>
        </w:tc>
      </w:tr>
      <w:tr>
        <w:tc>
          <w:tcPr>
            <w:tcW w:w="10188" w:type="dxa"/>
            <w:tcBorders>
              <w:bottom w:val="single" w:sz="4" w:space="0" w:color="auto"/>
            </w:tcBorders>
            <w:shd w:val="clear" w:color="auto" w:fill="CCCCCC"/>
          </w:tcPr>
          <w:p>
            <w:pPr>
              <w:rPr>
                <w:rFonts w:ascii="Tahoma" w:hAnsi="Tahoma" w:cs="Tahoma"/>
                <w:b/>
                <w:noProof/>
                <w:lang w:val="fr-BE"/>
              </w:rPr>
            </w:pPr>
            <w:r>
              <w:rPr>
                <w:rFonts w:ascii="Tahoma" w:hAnsi="Tahoma" w:cs="Tahoma"/>
                <w:b/>
                <w:noProof/>
                <w:lang w:val="fr-BE"/>
              </w:rPr>
              <w:t>C. Incidences de l'option privilégiée</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lang w:val="fr-BE"/>
              </w:rPr>
            </w:pPr>
            <w:r>
              <w:rPr>
                <w:rFonts w:ascii="Tahoma" w:hAnsi="Tahoma" w:cs="Tahoma"/>
                <w:b/>
                <w:bCs/>
                <w:noProof/>
                <w:sz w:val="20"/>
                <w:szCs w:val="20"/>
                <w:lang w:val="fr-BE"/>
              </w:rPr>
              <w:t>Quels sont les avantages de l'option privilégiée (ou, à défaut, des options principales)?</w:t>
            </w:r>
          </w:p>
        </w:tc>
      </w:tr>
      <w:tr>
        <w:trPr>
          <w:trHeight w:val="1339"/>
        </w:trPr>
        <w:tc>
          <w:tcPr>
            <w:tcW w:w="10188" w:type="dxa"/>
            <w:tcBorders>
              <w:bottom w:val="single" w:sz="4" w:space="0" w:color="auto"/>
            </w:tcBorders>
            <w:shd w:val="clear" w:color="auto" w:fill="auto"/>
          </w:tcPr>
          <w:p>
            <w:pPr>
              <w:jc w:val="both"/>
              <w:rPr>
                <w:rFonts w:ascii="Tahoma" w:hAnsi="Tahoma" w:cs="Tahoma"/>
                <w:noProof/>
                <w:lang w:val="fr-BE"/>
              </w:rPr>
            </w:pPr>
            <w:r>
              <w:rPr>
                <w:rFonts w:ascii="Tahoma" w:hAnsi="Tahoma" w:cs="Tahoma"/>
                <w:noProof/>
                <w:lang w:val="fr-BE"/>
              </w:rPr>
              <w:t>La combinaison des options privilégiées offre une approche équilibrée par rapport aux objectifs potentiellement contradictoires. Une réduction des dérogations améliorera la protection des voyageurs et la sécurité juridique. Des améliorations en faveur des PMR encourageront ces dernières à voyager en train et favoriseront leur intégration sociale. Des règles claires en matière de billets directs renforceront les droits des voyageurs sur les services de correspondance. Une clause de force majeure garantira la loyauté et la proportionnalité.</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lang w:val="fr-BE"/>
              </w:rPr>
            </w:pPr>
            <w:r>
              <w:rPr>
                <w:rFonts w:ascii="Tahoma" w:hAnsi="Tahoma" w:cs="Tahoma"/>
                <w:b/>
                <w:bCs/>
                <w:noProof/>
                <w:sz w:val="20"/>
                <w:szCs w:val="20"/>
                <w:lang w:val="fr-BE"/>
              </w:rPr>
              <w:t xml:space="preserve">Quels sont les coûts de l'option privilégiée (le cas échéant, sinon des options principales)? </w:t>
            </w:r>
          </w:p>
        </w:tc>
      </w:tr>
      <w:tr>
        <w:tc>
          <w:tcPr>
            <w:tcW w:w="10188" w:type="dxa"/>
            <w:tcBorders>
              <w:bottom w:val="single" w:sz="4" w:space="0" w:color="auto"/>
            </w:tcBorders>
            <w:shd w:val="clear" w:color="auto" w:fill="auto"/>
          </w:tcPr>
          <w:p>
            <w:pPr>
              <w:jc w:val="both"/>
              <w:rPr>
                <w:rFonts w:ascii="Tahoma" w:hAnsi="Tahoma" w:cs="Tahoma"/>
                <w:i/>
                <w:noProof/>
                <w:lang w:val="fr-BE"/>
              </w:rPr>
            </w:pPr>
            <w:r>
              <w:rPr>
                <w:rFonts w:ascii="Tahoma" w:hAnsi="Tahoma" w:cs="Tahoma"/>
                <w:noProof/>
                <w:lang w:val="fr-BE"/>
              </w:rPr>
              <w:t>Les coûts des entreprises ferroviaires devraient augmenter de 4,98 % par rapport au scénario de référence sur une période de 15 ans.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lang w:val="fr-BE"/>
              </w:rPr>
            </w:pPr>
            <w:r>
              <w:rPr>
                <w:rFonts w:ascii="Tahoma" w:hAnsi="Tahoma" w:cs="Tahoma"/>
                <w:b/>
                <w:bCs/>
                <w:noProof/>
                <w:sz w:val="20"/>
                <w:szCs w:val="20"/>
                <w:lang w:val="fr-BE"/>
              </w:rPr>
              <w:t>Quelles sont les incidences sur les PME et la compétitivité?</w:t>
            </w:r>
          </w:p>
        </w:tc>
      </w:tr>
      <w:tr>
        <w:tc>
          <w:tcPr>
            <w:tcW w:w="10188" w:type="dxa"/>
            <w:tcBorders>
              <w:bottom w:val="single" w:sz="4" w:space="0" w:color="auto"/>
            </w:tcBorders>
            <w:shd w:val="clear" w:color="auto" w:fill="auto"/>
          </w:tcPr>
          <w:p>
            <w:pPr>
              <w:jc w:val="both"/>
              <w:rPr>
                <w:rFonts w:ascii="Tahoma" w:hAnsi="Tahoma" w:cs="Tahoma"/>
                <w:i/>
                <w:noProof/>
                <w:lang w:val="fr-BE"/>
              </w:rPr>
            </w:pPr>
            <w:r>
              <w:rPr>
                <w:rFonts w:ascii="Tahoma" w:hAnsi="Tahoma" w:cs="Tahoma"/>
                <w:noProof/>
                <w:lang w:val="fr-BE"/>
              </w:rPr>
              <w:t>Seuls des effets indirects limités sur les PME sont attendus.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lang w:val="fr-BE"/>
              </w:rPr>
            </w:pPr>
            <w:r>
              <w:rPr>
                <w:rFonts w:ascii="Tahoma" w:hAnsi="Tahoma" w:cs="Tahoma"/>
                <w:b/>
                <w:bCs/>
                <w:noProof/>
                <w:sz w:val="20"/>
                <w:szCs w:val="20"/>
                <w:lang w:val="fr-BE"/>
              </w:rPr>
              <w:t>Y aura-t-il une incidence notable sur les budgets nationaux et les administrations nationales?</w:t>
            </w:r>
          </w:p>
        </w:tc>
      </w:tr>
      <w:tr>
        <w:tc>
          <w:tcPr>
            <w:tcW w:w="10188" w:type="dxa"/>
            <w:shd w:val="clear" w:color="auto" w:fill="auto"/>
          </w:tcPr>
          <w:p>
            <w:pPr>
              <w:jc w:val="both"/>
              <w:rPr>
                <w:rFonts w:ascii="Tahoma" w:hAnsi="Tahoma" w:cs="Tahoma"/>
                <w:noProof/>
                <w:lang w:val="fr-BE"/>
              </w:rPr>
            </w:pPr>
            <w:r>
              <w:rPr>
                <w:rFonts w:ascii="Tahoma" w:hAnsi="Tahoma" w:cs="Tahoma"/>
                <w:noProof/>
                <w:lang w:val="fr-BE"/>
              </w:rPr>
              <w:t>Des incidences mineures sont à prévoir en ce qui concerne le traitement des plaintes et le contrôle de l'application par les organismes nationaux chargés de l’application.</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lang w:val="fr-BE"/>
              </w:rPr>
            </w:pPr>
            <w:r>
              <w:rPr>
                <w:rFonts w:ascii="Tahoma" w:hAnsi="Tahoma" w:cs="Tahoma"/>
                <w:b/>
                <w:bCs/>
                <w:noProof/>
                <w:sz w:val="20"/>
                <w:szCs w:val="20"/>
                <w:lang w:val="fr-BE"/>
              </w:rPr>
              <w:t>Y aura-t-il d’autres incidences notables?</w:t>
            </w:r>
          </w:p>
        </w:tc>
      </w:tr>
      <w:tr>
        <w:tc>
          <w:tcPr>
            <w:tcW w:w="10188" w:type="dxa"/>
            <w:tcBorders>
              <w:bottom w:val="single" w:sz="4" w:space="0" w:color="auto"/>
            </w:tcBorders>
            <w:shd w:val="clear" w:color="auto" w:fill="auto"/>
          </w:tcPr>
          <w:p>
            <w:pPr>
              <w:jc w:val="both"/>
              <w:rPr>
                <w:rFonts w:ascii="Tahoma" w:hAnsi="Tahoma" w:cs="Tahoma"/>
                <w:noProof/>
                <w:lang w:val="fr-BE"/>
              </w:rPr>
            </w:pPr>
            <w:r>
              <w:rPr>
                <w:rFonts w:ascii="Tahoma" w:hAnsi="Tahoma" w:cs="Tahoma"/>
                <w:noProof/>
                <w:lang w:val="fr-BE"/>
              </w:rPr>
              <w:t>Aucune incidence notable supplémentaire n’est prévue.</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Proportionnalité? </w:t>
            </w:r>
          </w:p>
        </w:tc>
      </w:tr>
      <w:tr>
        <w:tc>
          <w:tcPr>
            <w:tcW w:w="10188" w:type="dxa"/>
            <w:shd w:val="clear" w:color="auto" w:fill="auto"/>
          </w:tcPr>
          <w:p>
            <w:pPr>
              <w:jc w:val="both"/>
              <w:rPr>
                <w:rFonts w:ascii="Tahoma" w:hAnsi="Tahoma" w:cs="Tahoma"/>
                <w:i/>
                <w:noProof/>
              </w:rPr>
            </w:pPr>
            <w:r>
              <w:rPr>
                <w:rFonts w:ascii="Tahoma" w:hAnsi="Tahoma" w:cs="Tahoma"/>
                <w:noProof/>
                <w:lang w:val="fr-BE"/>
              </w:rPr>
              <w:t xml:space="preserve">Les divergences actuelles dans l’application de la réglementation entravent le marché unique et empêchent des niveaux harmonisés de protection des droits des voyageurs dans toute l’UE. </w:t>
            </w:r>
            <w:r>
              <w:rPr>
                <w:rFonts w:ascii="Tahoma" w:hAnsi="Tahoma" w:cs="Tahoma"/>
                <w:noProof/>
              </w:rPr>
              <w:t>Les lignes directrices n’ont pas donné de résultats suffisants.</w:t>
            </w:r>
          </w:p>
        </w:tc>
      </w:tr>
      <w:tr>
        <w:tc>
          <w:tcPr>
            <w:tcW w:w="10188" w:type="dxa"/>
            <w:tcBorders>
              <w:bottom w:val="single" w:sz="4" w:space="0" w:color="auto"/>
            </w:tcBorders>
            <w:shd w:val="clear" w:color="auto" w:fill="C0C0C0"/>
          </w:tcPr>
          <w:p>
            <w:pPr>
              <w:rPr>
                <w:rFonts w:ascii="Tahoma" w:hAnsi="Tahoma" w:cs="Tahoma"/>
                <w:b/>
                <w:noProof/>
              </w:rPr>
            </w:pPr>
            <w:r>
              <w:rPr>
                <w:rFonts w:ascii="Tahoma" w:hAnsi="Tahoma" w:cs="Tahoma"/>
                <w:b/>
                <w:noProof/>
              </w:rPr>
              <w:t>D. Suivi</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lang w:val="fr-BE"/>
              </w:rPr>
            </w:pPr>
            <w:r>
              <w:rPr>
                <w:rFonts w:ascii="Tahoma" w:hAnsi="Tahoma" w:cs="Tahoma"/>
                <w:b/>
                <w:bCs/>
                <w:noProof/>
                <w:sz w:val="20"/>
                <w:szCs w:val="20"/>
                <w:lang w:val="fr-BE"/>
              </w:rPr>
              <w:t>Quand la législation sera-t-elle réexaminée?</w:t>
            </w:r>
          </w:p>
        </w:tc>
      </w:tr>
      <w:tr>
        <w:tc>
          <w:tcPr>
            <w:tcW w:w="10188" w:type="dxa"/>
            <w:tcBorders>
              <w:bottom w:val="single" w:sz="4" w:space="0" w:color="auto"/>
            </w:tcBorders>
            <w:shd w:val="clear" w:color="auto" w:fill="auto"/>
          </w:tcPr>
          <w:p>
            <w:pPr>
              <w:jc w:val="both"/>
              <w:rPr>
                <w:rFonts w:ascii="Tahoma" w:hAnsi="Tahoma" w:cs="Tahoma"/>
                <w:b/>
                <w:noProof/>
                <w:lang w:val="fr-BE"/>
              </w:rPr>
            </w:pPr>
            <w:r>
              <w:rPr>
                <w:rFonts w:ascii="Tahoma" w:hAnsi="Tahoma" w:cs="Tahoma"/>
                <w:noProof/>
                <w:lang w:val="fr-BE"/>
              </w:rPr>
              <w:t>La Commission évaluera l'application du nouveau règlement cinq ans après son entrée en vigueur.</w:t>
            </w:r>
          </w:p>
        </w:tc>
      </w:tr>
    </w:tbl>
    <w:p>
      <w:pPr>
        <w:rPr>
          <w:noProof/>
          <w:lang w:val="fr-BE"/>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982"/>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344E"/>
    <w:multiLevelType w:val="hybridMultilevel"/>
    <w:tmpl w:val="81C4D7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B6B47F7"/>
    <w:multiLevelType w:val="hybridMultilevel"/>
    <w:tmpl w:val="A8D69D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F1C6062"/>
    <w:multiLevelType w:val="hybridMultilevel"/>
    <w:tmpl w:val="A8D69D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265D950E77C546219040BC18E1D058A6"/>
    <w:docVar w:name="LW_CROSSREFERENCE" w:val="{COM(2017) 548 final}_x000b_{SWD(2017) 318 final}"/>
    <w:docVar w:name="LW_DocType" w:val="NORMAL"/>
    <w:docVar w:name="LW_EMISSION" w:val="27.9.2017"/>
    <w:docVar w:name="LW_EMISSION_ISODATE" w:val="2017-09-27"/>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sur les droits et obligations des voyageurs ferroviaires (Refonte)"/>
    <w:docVar w:name="LW_PART_NBR" w:val="1"/>
    <w:docVar w:name="LW_PART_NBR_TOTAL" w:val="1"/>
    <w:docVar w:name="LW_REF.INST.NEW" w:val="SWD"/>
    <w:docVar w:name="LW_REF.INST.NEW_ADOPTED" w:val="final"/>
    <w:docVar w:name="LW_REF.INST.NEW_TEXT" w:val="(2017) 317"/>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 w:name="Stamp" w:val="\\dossiers.dgt.cec.eu.int\dossiers\MOVE\MOVE-2017-00669\MOVE-2017-00669-00-02-EN-REV-00.20170626091559689799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before="120" w:after="120" w:line="240" w:lineRule="auto"/>
      <w:ind w:left="720"/>
      <w:contextualSpacing/>
      <w:jc w:val="both"/>
    </w:pPr>
    <w:rPr>
      <w:rFonts w:ascii="Times New Roman" w:eastAsia="Times New Roman" w:hAnsi="Times New Roman" w:cs="Times New Roman"/>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before="120" w:after="120" w:line="240" w:lineRule="auto"/>
      <w:ind w:left="720"/>
      <w:contextualSpacing/>
      <w:jc w:val="both"/>
    </w:pPr>
    <w:rPr>
      <w:rFonts w:ascii="Times New Roman" w:eastAsia="Times New Roman" w:hAnsi="Times New Roman" w:cs="Times New Roman"/>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741</Words>
  <Characters>4336</Characters>
  <Application>Microsoft Office Word</Application>
  <DocSecurity>0</DocSecurity>
  <Lines>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2017-07-17T15:29:00Z</dcterms:created>
  <dcterms:modified xsi:type="dcterms:W3CDTF">2017-09-26T14:13:00Z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