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66353244BB754CF3B72BA011EA835ECC" style="width:450.8pt;height:450.1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rPr>
                <w:rFonts w:ascii="Tahoma" w:hAnsi="Tahoma" w:cs="Tahoma"/>
                <w:b/>
                <w:noProof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</w:rPr>
              <w:lastRenderedPageBreak/>
              <w:t>Обобщение</w:t>
            </w:r>
          </w:p>
        </w:tc>
      </w:tr>
      <w:t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jc w:val="both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Оценка на въздействието: преразглеждане на Регламент (ЕО) № 1371/2007 относно правата и задълженията на пътниците, използващи железопътен транспорт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A. Необходимост от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В какво се изразява проблемът и защо той е проблем на равнището на ЕС? </w:t>
            </w:r>
          </w:p>
        </w:tc>
      </w:tr>
      <w:tr>
        <w:trPr>
          <w:trHeight w:val="1293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 xml:space="preserve">Основните проблеми с регламента са свързани с прекомерните изключения на национално равнище, правата на пътниците с увреждания или с намалена подвижност (ПНП), неподходящата информация, издаването на директни билети, разглеждането на жалби, контрола по прилагането, дискриминацията въз основа на гражданството и обезщетяването след събития, дължащи се на непреодолима сила. Тези проблеми оказват отрицателно въздействие върху единния пазар и възпрепятстват последователното правоприлагане. Те могат да се изострят в условията на либерализиран пазар на железопътни превози в ЕС.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цели се преследват?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да се спомогне за равни и засилени права на ползвателите на железопътен транспорт в ЕС; и</w:t>
            </w:r>
          </w:p>
          <w:p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да се повиши конкурентоспособността на железопътния сектор, без това да се отрази отрицателно на правата на пътниците.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Каква е добавената стойност от действия на равнището на ЕС (субсидиарност)?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Сега действащият регламент оставя място за тълкуване, което възпрепятства съгласуването на равнищата на защита на пътниците в целия ЕС. Държавите членки не могат да се справят сами с тези проблеми. Поради това изглежда целесъобразно да се действа на равнище ЕС.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Б. Решения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са различните варианти за постигане на целите? Има ли предпочитан вариант? Ако няма такъв, каква е причината за това? </w:t>
            </w:r>
          </w:p>
        </w:tc>
      </w:tr>
      <w:tr>
        <w:trPr>
          <w:trHeight w:val="1125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4"/>
              <w:gridCol w:w="7258"/>
            </w:tblGrid>
            <w:tr>
              <w:trPr>
                <w:trHeight w:val="854"/>
              </w:trPr>
              <w:tc>
                <w:tcPr>
                  <w:tcW w:w="135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Изключения, т.е. освобождавания от прилагането на регламента</w:t>
                  </w:r>
                </w:p>
              </w:tc>
              <w:tc>
                <w:tcPr>
                  <w:tcW w:w="365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ind w:left="28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- Премахване до 2020 г. на изключенията за вътрешни услуги за превоз на дълги разстояния</w:t>
                  </w:r>
                  <w:r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/>
                      <w:noProof/>
                      <w:sz w:val="20"/>
                    </w:rPr>
                    <w:t>- Ограничаване на изключенията за услуги с държави извън ЕС</w:t>
                  </w:r>
                  <w:r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/>
                      <w:noProof/>
                      <w:sz w:val="20"/>
                    </w:rPr>
                    <w:t>- Премахване на изключенията за трансгранични градски, крайградски и регионални услуги</w:t>
                  </w:r>
                </w:p>
              </w:tc>
            </w:tr>
            <w:tr>
              <w:trPr>
                <w:trHeight w:val="20"/>
              </w:trPr>
              <w:tc>
                <w:tcPr>
                  <w:tcW w:w="1350" w:type="pc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Права на ПНП</w:t>
                  </w:r>
                </w:p>
              </w:tc>
              <w:tc>
                <w:tcPr>
                  <w:tcW w:w="3650" w:type="pct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Нови правила за подобряване на достъпа на ПНП до услуги и информация за железопътни превози</w:t>
                  </w:r>
                </w:p>
              </w:tc>
            </w:tr>
            <w:tr>
              <w:trPr>
                <w:trHeight w:val="20"/>
              </w:trPr>
              <w:tc>
                <w:tcPr>
                  <w:tcW w:w="1350" w:type="pct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ListParagraph"/>
                    <w:ind w:left="29"/>
                    <w:jc w:val="left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Информация</w:t>
                  </w:r>
                </w:p>
              </w:tc>
              <w:tc>
                <w:tcPr>
                  <w:tcW w:w="3650" w:type="pct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ListParagraph"/>
                    <w:ind w:left="0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Нови правила за подобряване на информацията за пътниците</w:t>
                  </w:r>
                </w:p>
              </w:tc>
            </w:tr>
            <w:tr>
              <w:trPr>
                <w:trHeight w:val="20"/>
              </w:trPr>
              <w:tc>
                <w:tcPr>
                  <w:tcW w:w="1350" w:type="pct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ListParagraph"/>
                    <w:ind w:left="29"/>
                    <w:jc w:val="left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Издаване на директни билети</w:t>
                  </w:r>
                </w:p>
              </w:tc>
              <w:tc>
                <w:tcPr>
                  <w:tcW w:w="3650" w:type="pct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ListParagraph"/>
                    <w:ind w:left="0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 xml:space="preserve">По-ясни правила относно директните билети </w:t>
                  </w:r>
                </w:p>
              </w:tc>
            </w:tr>
            <w:tr>
              <w:trPr>
                <w:trHeight w:val="20"/>
              </w:trPr>
              <w:tc>
                <w:tcPr>
                  <w:tcW w:w="1350" w:type="pct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ListParagraph"/>
                    <w:ind w:left="29"/>
                    <w:jc w:val="left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Разглеждане на жалби и правоприлагане</w:t>
                  </w:r>
                </w:p>
              </w:tc>
              <w:tc>
                <w:tcPr>
                  <w:tcW w:w="3650" w:type="pct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ListParagraph"/>
                    <w:ind w:left="0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По-ясни правила за разглеждането на жалби от националните правоприлагащи органи и сътрудничеството</w:t>
                  </w:r>
                </w:p>
              </w:tc>
            </w:tr>
            <w:tr>
              <w:trPr>
                <w:trHeight w:val="20"/>
              </w:trPr>
              <w:tc>
                <w:tcPr>
                  <w:tcW w:w="1350" w:type="pct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ListParagraph"/>
                    <w:ind w:left="29"/>
                    <w:jc w:val="left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Дискриминация</w:t>
                  </w:r>
                </w:p>
              </w:tc>
              <w:tc>
                <w:tcPr>
                  <w:tcW w:w="3650" w:type="pct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ListParagraph"/>
                    <w:ind w:left="0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Нова клауза за недопускане на дискриминация</w:t>
                  </w:r>
                </w:p>
              </w:tc>
            </w:tr>
            <w:tr>
              <w:trPr>
                <w:trHeight w:val="20"/>
              </w:trPr>
              <w:tc>
                <w:tcPr>
                  <w:tcW w:w="1350" w:type="pct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ListParagraph"/>
                    <w:ind w:left="29"/>
                    <w:jc w:val="left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i/>
                      <w:noProof/>
                      <w:sz w:val="20"/>
                    </w:rPr>
                    <w:t xml:space="preserve">Непреодолима сила </w:t>
                  </w:r>
                </w:p>
              </w:tc>
              <w:tc>
                <w:tcPr>
                  <w:tcW w:w="3650" w:type="pct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ListParagraph"/>
                    <w:ind w:left="0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noProof/>
                      <w:sz w:val="20"/>
                    </w:rPr>
                    <w:t>Клауза за освобождаване на железопътните предприятия от задължението да плащат обезщетение за закъснения, причинени от лоши метеорологични условия или природни бедствия, чието предвиждане или предотвратяване не е било възможно.</w:t>
                  </w:r>
                </w:p>
              </w:tc>
            </w:tr>
          </w:tbl>
          <w:p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>
        <w:tc>
          <w:tcPr>
            <w:tcW w:w="10188" w:type="dxa"/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Каква позиция застъпват различните заинтересовани страни? Кой подкрепя отделните варианти?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Повечето държави членки и железопътни предприятия не са склонни да се премахнат изключенията. Гражданите подкрепят намаляването на изключенията и мерките за укрепване на правата на пътниците. Повечето заинтересовани страни подкрепят по-ясните правила — напр. относно помощта, разглеждането на жалби и правоприлагането. Повечето железопътни предприятия и държави членки подкрепят наличието на клауза за непреодолима сила, докато гражданите са против това.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В. Въздействие на предпочитания вариант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са предимствата на предпочитания вариант (ако има такъв, в противен случай — на основните варианти)? </w:t>
            </w:r>
          </w:p>
        </w:tc>
      </w:tr>
      <w:tr>
        <w:trPr>
          <w:trHeight w:val="1339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Съчетанието от предпочитани варианти осигурява балансиран подход към потенциално противоречивите цели на политиката. Намаляването на изключенията ще повиши защитата на пътниците и правната сигурност. Подобренията за ПНП ще ги насърчи да пътуват с железопътен транспорт и ще спомогне за тяхното социално приобщаване. Ясните правила за издаването на директни билети ще подобрят правата на пътниците, използващи услуги с връзка. Наличието на клауза за непреодолима сила ще осигури правна справедливост и пропорционалност.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са разходите за предпочитания вариант (ако има такъв, в противен случай — за основните варианти)?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i/>
                <w:noProof/>
              </w:rPr>
            </w:pPr>
            <w:r>
              <w:rPr>
                <w:rFonts w:ascii="Tahoma" w:hAnsi="Tahoma"/>
                <w:noProof/>
              </w:rPr>
              <w:t xml:space="preserve">Очаква се разходите на железопътните предприятия да нараснат с 4,98 % спрямо базовия сценарий за 15-годишен период.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е въздействието върху МСП и конкурентоспособността?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i/>
                <w:noProof/>
              </w:rPr>
            </w:pPr>
            <w:r>
              <w:rPr>
                <w:rFonts w:ascii="Tahoma" w:hAnsi="Tahoma"/>
                <w:noProof/>
              </w:rPr>
              <w:t>Очаква се само ограничено косвено въздействие върху МСП.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Ще има ли значително въздействие върху националните бюджети и администрации?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 xml:space="preserve">Очаква се незначително въздействие предвид засиления контрол от страна на националните правоприлагащи органи и увеличеното разглеждане на жалби.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Ще има ли друго значително въздействие?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 xml:space="preserve">Не се очаква значително допълнително въздействие.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Пропорционалност?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i/>
                <w:noProof/>
              </w:rPr>
            </w:pPr>
            <w:r>
              <w:rPr>
                <w:rFonts w:ascii="Tahoma" w:hAnsi="Tahoma"/>
                <w:noProof/>
              </w:rPr>
              <w:t xml:space="preserve">Сегашното различно прилагане на правилата пречи на единния пазар и възпрепятства хармонизирането на равнищата на правата на пътниците в целия ЕС. Насоките не доведоха до задоволителни резултати.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Г. Последващи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политиката?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noProof/>
              </w:rPr>
              <w:t>Комисията ще направи оценка на прилагането на новия регламент пет години след неговото влизане в сила.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0982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44E"/>
    <w:multiLevelType w:val="hybridMultilevel"/>
    <w:tmpl w:val="81C4D7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B47F7"/>
    <w:multiLevelType w:val="hybridMultilevel"/>
    <w:tmpl w:val="A8D69D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1C6062"/>
    <w:multiLevelType w:val="hybridMultilevel"/>
    <w:tmpl w:val="A8D69D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7?\u1088?\u1080?\u1076?\u1088?\u1091?\u1078?\u1072?\u1074?\u1072?\u1097?"/>
    <w:docVar w:name="LW_CONFIDENCE" w:val=" "/>
    <w:docVar w:name="LW_CONST_RESTREINT_UE" w:val="RESTREINT UE"/>
    <w:docVar w:name="LW_CORRIGENDUM" w:val="&lt;UNUSED&gt;"/>
    <w:docVar w:name="LW_COVERPAGE_GUID" w:val="66353244BB754CF3B72BA011EA835ECC"/>
    <w:docVar w:name="LW_CROSSREFERENCE" w:val="{COM(2017) 548 final}_x000b_{SWD(2017) 318 final}"/>
    <w:docVar w:name="LW_DocType" w:val="NORMAL"/>
    <w:docVar w:name="LW_EMISSION" w:val="27.9.2017"/>
    <w:docVar w:name="LW_EMISSION_ISODATE" w:val="2017-09-27"/>
    <w:docVar w:name="LW_EMISSION_LOCATION" w:val="BRX"/>
    <w:docVar w:name="LW_EMISSION_PREFIX" w:val="Брюксел, "/>
    <w:docVar w:name="LW_EMISSION_SUFFIX" w:val=" \u1075?."/>
    <w:docVar w:name="LW_ID_DOCTYPE_NONLW" w:val="CP-02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8?\u1072?\u1074?\u1072?\u1090?\u1072? \u1080? \u1079?\u1072?\u1076?\u1098?\u1083?\u1078?\u1077?\u1085?\u1080?\u1103?\u1090?\u1072? \u1085?\u1072? \u1087?\u1098?\u1090?\u1085?\u1080?\u1094?\u1080?\u1090?\u1077?, \u1080?\u1079?\u1087?\u1086?\u1083?\u1079?\u1074?\u1072?\u1097?\u1080? \u1078?\u1077?\u1083?\u1077?\u1079?\u1086?\u1087?\u1098?\u1090?\u1077?\u1085? \u1090?\u1088?\u1072?\u1085?\u1089?\u1087?\u1086?\u1088?\u1090? _x000b__x000b_(\u1087?\u1088?\u1077?\u1088?\u1072?\u1073?\u1086?\u1090?\u1077?\u1085? \u1090?\u1077?\u1082?\u1089?\u1090?)"/>
    <w:docVar w:name="LW_PART_NBR" w:val="1"/>
    <w:docVar w:name="LW_PART_NBR_TOTAL" w:val="1"/>
    <w:docVar w:name="LW_REF.INST.NEW" w:val="SWD"/>
    <w:docVar w:name="LW_REF.INST.NEW_ADOPTED" w:val="final"/>
    <w:docVar w:name="LW_REF.INST.NEW_TEXT" w:val="(2017) 317"/>
    <w:docVar w:name="LW_REF.INTERNE" w:val="&lt;UNUSED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_x000b_"/>
    <w:docVar w:name="Stamp" w:val="\\dossiers.dgt.cec.eu.int\dossiers\MOVE\MOVE-2017-00669\MOVE-2017-00669-00-02-EN-REV-00.201706260915596897999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665</Words>
  <Characters>4160</Characters>
  <Application>Microsoft Office Word</Application>
  <DocSecurity>0</DocSecurity>
  <Lines>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2017-07-17T15:29:00Z</dcterms:created>
  <dcterms:modified xsi:type="dcterms:W3CDTF">2017-09-26T14:14:00Z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