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3ED936085DEE45919E039F525E73F1CB" style="width:450.7pt;height:416.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lastRenderedPageBreak/>
        <w:t>2013/0304 (COD)</w:t>
      </w:r>
    </w:p>
    <w:p>
      <w:pPr>
        <w:pStyle w:val="Typedudocument"/>
        <w:rPr>
          <w:noProof/>
        </w:rPr>
      </w:pPr>
      <w:r>
        <w:rPr>
          <w:noProof/>
        </w:rPr>
        <w:t>СЪОБЩЕНИЕ НА КОМИСИЯТА ДО ЕВРОПЕЙСКИЯ ПАРЛАМЕНТ</w:t>
      </w:r>
      <w:r>
        <w:rPr>
          <w:noProof/>
        </w:rPr>
        <w:br/>
      </w:r>
      <w:r>
        <w:rPr>
          <w:noProof/>
        </w:rPr>
        <w:br/>
        <w:t>съгласно член 294, параграф 6 от Договора за функционирането на Европейския съюз</w:t>
      </w:r>
      <w:r>
        <w:rPr>
          <w:noProof/>
        </w:rPr>
        <w:br/>
      </w:r>
      <w:r>
        <w:rPr>
          <w:noProof/>
        </w:rPr>
        <w:br/>
        <w:t>относно</w:t>
      </w:r>
    </w:p>
    <w:p>
      <w:pPr>
        <w:pStyle w:val="Titreobjet"/>
        <w:rPr>
          <w:noProof/>
        </w:rPr>
      </w:pPr>
      <w:r>
        <w:rPr>
          <w:noProof/>
        </w:rPr>
        <w:t>позицията на Съвета във връзка с приемането на директива на Европейския парламент и на Съвета за изменение на Рамково решение 2004/757/ПВР на Съвета с цел включване на нови психоактивни вещества в определението за „наркотици“ и за отмяна на Решение 2005/387/ПВР на Съвета</w:t>
      </w:r>
    </w:p>
    <w:p>
      <w:pPr>
        <w:pStyle w:val="ManualHeading1"/>
        <w:rPr>
          <w:noProof/>
          <w:sz w:val="22"/>
        </w:rPr>
      </w:pPr>
      <w:r>
        <w:rPr>
          <w:noProof/>
        </w:rPr>
        <w:t>1.</w:t>
      </w:r>
      <w:r>
        <w:rPr>
          <w:noProof/>
        </w:rPr>
        <w:tab/>
        <w:t>Хронология на преписката</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Дата на предаване на предложението на Европейския парламент и на Съвета</w:t>
            </w:r>
            <w:r>
              <w:rPr>
                <w:noProof/>
              </w:rPr>
              <w:br/>
              <w:t>(документ COM(2013) 618 final – 2013/0304 COD):</w:t>
            </w:r>
          </w:p>
        </w:tc>
        <w:tc>
          <w:tcPr>
            <w:tcW w:w="2483" w:type="dxa"/>
          </w:tcPr>
          <w:p>
            <w:pPr>
              <w:jc w:val="left"/>
              <w:rPr>
                <w:noProof/>
              </w:rPr>
            </w:pPr>
            <w:r>
              <w:rPr>
                <w:noProof/>
              </w:rPr>
              <w:t>17.9.2013 г.</w:t>
            </w:r>
          </w:p>
        </w:tc>
      </w:tr>
      <w:tr>
        <w:tc>
          <w:tcPr>
            <w:tcW w:w="6804" w:type="dxa"/>
          </w:tcPr>
          <w:p>
            <w:pPr>
              <w:rPr>
                <w:noProof/>
              </w:rPr>
            </w:pPr>
            <w:r>
              <w:rPr>
                <w:noProof/>
              </w:rPr>
              <w:t>Дата на становището на Европейския икономически и социален комитет (ОВ C 177, 11.6.2014 г., стр. 52):</w:t>
            </w:r>
          </w:p>
        </w:tc>
        <w:tc>
          <w:tcPr>
            <w:tcW w:w="2483" w:type="dxa"/>
          </w:tcPr>
          <w:p>
            <w:pPr>
              <w:jc w:val="left"/>
              <w:rPr>
                <w:noProof/>
              </w:rPr>
            </w:pPr>
            <w:r>
              <w:rPr>
                <w:noProof/>
              </w:rPr>
              <w:t>21.1.2014 г.</w:t>
            </w:r>
          </w:p>
        </w:tc>
      </w:tr>
      <w:tr>
        <w:tc>
          <w:tcPr>
            <w:tcW w:w="6804" w:type="dxa"/>
          </w:tcPr>
          <w:p>
            <w:pPr>
              <w:rPr>
                <w:noProof/>
              </w:rPr>
            </w:pPr>
            <w:r>
              <w:rPr>
                <w:noProof/>
              </w:rPr>
              <w:t>Дата на позицията на Европейския парламент на първо четене:</w:t>
            </w:r>
          </w:p>
        </w:tc>
        <w:tc>
          <w:tcPr>
            <w:tcW w:w="2483" w:type="dxa"/>
          </w:tcPr>
          <w:p>
            <w:pPr>
              <w:jc w:val="left"/>
              <w:rPr>
                <w:noProof/>
              </w:rPr>
            </w:pPr>
            <w:r>
              <w:rPr>
                <w:noProof/>
              </w:rPr>
              <w:t>17.4.2014 г.</w:t>
            </w:r>
          </w:p>
        </w:tc>
      </w:tr>
      <w:tr>
        <w:tc>
          <w:tcPr>
            <w:tcW w:w="6804" w:type="dxa"/>
          </w:tcPr>
          <w:p>
            <w:pPr>
              <w:rPr>
                <w:noProof/>
              </w:rPr>
            </w:pPr>
            <w:r>
              <w:rPr>
                <w:noProof/>
              </w:rPr>
              <w:t>Дата на предаване на измененото предложение:</w:t>
            </w:r>
          </w:p>
        </w:tc>
        <w:tc>
          <w:tcPr>
            <w:tcW w:w="2483" w:type="dxa"/>
          </w:tcPr>
          <w:p>
            <w:pPr>
              <w:jc w:val="left"/>
              <w:rPr>
                <w:noProof/>
              </w:rPr>
            </w:pPr>
            <w:r>
              <w:rPr>
                <w:noProof/>
              </w:rPr>
              <w:t>не е приложимо</w:t>
            </w:r>
            <w:r>
              <w:rPr>
                <w:noProof/>
                <w:color w:val="000000" w:themeColor="text1"/>
              </w:rPr>
              <w:t>.</w:t>
            </w:r>
          </w:p>
        </w:tc>
      </w:tr>
      <w:tr>
        <w:tc>
          <w:tcPr>
            <w:tcW w:w="6804" w:type="dxa"/>
          </w:tcPr>
          <w:p>
            <w:pPr>
              <w:rPr>
                <w:noProof/>
              </w:rPr>
            </w:pPr>
            <w:r>
              <w:rPr>
                <w:noProof/>
              </w:rPr>
              <w:t>Дата на приемане на позицията на Съвета:</w:t>
            </w:r>
          </w:p>
        </w:tc>
        <w:tc>
          <w:tcPr>
            <w:tcW w:w="2483" w:type="dxa"/>
          </w:tcPr>
          <w:p>
            <w:pPr>
              <w:jc w:val="left"/>
              <w:rPr>
                <w:noProof/>
              </w:rPr>
            </w:pPr>
            <w:r>
              <w:rPr>
                <w:noProof/>
              </w:rPr>
              <w:t>25.9.2017 г.</w:t>
            </w:r>
          </w:p>
        </w:tc>
      </w:tr>
    </w:tbl>
    <w:p>
      <w:pPr>
        <w:pStyle w:val="ManualHeading1"/>
        <w:rPr>
          <w:noProof/>
        </w:rPr>
      </w:pPr>
      <w:r>
        <w:rPr>
          <w:noProof/>
        </w:rPr>
        <w:t>2.</w:t>
      </w:r>
      <w:r>
        <w:rPr>
          <w:noProof/>
        </w:rPr>
        <w:tab/>
        <w:t>Цел на предложението на Комисията</w:t>
      </w:r>
    </w:p>
    <w:p>
      <w:pPr>
        <w:pBdr>
          <w:top w:val="nil"/>
          <w:left w:val="nil"/>
          <w:bottom w:val="nil"/>
          <w:right w:val="nil"/>
          <w:between w:val="nil"/>
          <w:bar w:val="nil"/>
        </w:pBdr>
        <w:spacing w:before="0" w:after="240"/>
        <w:rPr>
          <w:rFonts w:eastAsia="Arial Unicode MS"/>
          <w:noProof/>
        </w:rPr>
      </w:pPr>
      <w:r>
        <w:rPr>
          <w:noProof/>
        </w:rPr>
        <w:t>Директивата е част от пакет от две законодателни предложения относно новите психоактивни вещества, представен от Комисията на 17 септември 2013 г.: предложение за регламент относно новите психоактивни вещества</w:t>
      </w:r>
      <w:r>
        <w:rPr>
          <w:rStyle w:val="FootnoteReference"/>
          <w:noProof/>
        </w:rPr>
        <w:footnoteReference w:id="1"/>
      </w:r>
      <w:r>
        <w:rPr>
          <w:noProof/>
        </w:rPr>
        <w:t xml:space="preserve"> и предложение за директива за изменение на Рамково решение 2004/757/ПВР на Съвета от 25 октомври 2004 г. за установяване на минималните разпоредби относно съставните елементи на наказуемите деяния и прилаганите наказания в областта на трафика на наркотици, във връзка с определението за „наркотици“</w:t>
      </w:r>
      <w:r>
        <w:rPr>
          <w:rStyle w:val="FootnoteReference"/>
          <w:noProof/>
        </w:rPr>
        <w:footnoteReference w:id="2"/>
      </w:r>
      <w:r>
        <w:rPr>
          <w:noProof/>
        </w:rPr>
        <w:t xml:space="preserve">. </w:t>
      </w:r>
    </w:p>
    <w:p>
      <w:pPr>
        <w:pBdr>
          <w:top w:val="nil"/>
          <w:left w:val="nil"/>
          <w:bottom w:val="nil"/>
          <w:right w:val="nil"/>
          <w:between w:val="nil"/>
          <w:bar w:val="nil"/>
        </w:pBdr>
        <w:spacing w:before="0" w:after="240"/>
        <w:rPr>
          <w:rFonts w:eastAsia="Arial Unicode MS"/>
          <w:noProof/>
        </w:rPr>
      </w:pPr>
      <w:r>
        <w:rPr>
          <w:noProof/>
        </w:rPr>
        <w:t xml:space="preserve">Пакетът имаше за цел да се ограничи наличността на нови психоактивни вещества, които пораждат рискове, чрез действия на равнището на Съюза, които са по-бързи и по-ефективни от прилаганата понастоящем система, основаваща се на Решение </w:t>
      </w:r>
      <w:r>
        <w:rPr>
          <w:noProof/>
        </w:rPr>
        <w:lastRenderedPageBreak/>
        <w:t>2005/387/ПВР на Съвета от 10 май 2005 г. относно обмена на информация, оценката на риска и контрола върху новите психоактивни вещества</w:t>
      </w:r>
      <w:r>
        <w:rPr>
          <w:rStyle w:val="FootnoteReference"/>
          <w:noProof/>
        </w:rPr>
        <w:footnoteReference w:id="3"/>
      </w:r>
      <w:r>
        <w:rPr>
          <w:noProof/>
        </w:rPr>
        <w:t>.</w:t>
      </w:r>
    </w:p>
    <w:p>
      <w:pPr>
        <w:pStyle w:val="ManualHeading1"/>
        <w:rPr>
          <w:noProof/>
        </w:rPr>
      </w:pPr>
      <w:r>
        <w:rPr>
          <w:noProof/>
        </w:rPr>
        <w:t>3.</w:t>
      </w:r>
      <w:r>
        <w:rPr>
          <w:noProof/>
        </w:rPr>
        <w:tab/>
        <w:t>Коментари относно позицията на Съвета</w:t>
      </w:r>
    </w:p>
    <w:p>
      <w:pPr>
        <w:pBdr>
          <w:top w:val="nil"/>
          <w:left w:val="nil"/>
          <w:bottom w:val="nil"/>
          <w:right w:val="nil"/>
          <w:between w:val="nil"/>
          <w:bar w:val="nil"/>
        </w:pBdr>
        <w:spacing w:before="0" w:after="240"/>
        <w:rPr>
          <w:rFonts w:eastAsia="Arial Unicode MS"/>
          <w:noProof/>
        </w:rPr>
      </w:pPr>
      <w:r>
        <w:rPr>
          <w:noProof/>
        </w:rPr>
        <w:t>Преговорите по този законодателен пакет се водят от повече от четири години. По време на разглеждането на предложенията в Съвета държавите членки изразиха съмнения относно избора на член 114 от Договора за функционирането на Европейския съюз (ДФЕС) като правно основание на предложението за регламент. По тази причина, за да се постигне същата цел за по-бързи и по-ефективни действия на ЕС по отношение на новите психоактивни вещества, Комитетът на постоянните представители (Корепер) постигна съгласие на 6 април 2016 г.</w:t>
      </w:r>
      <w:r>
        <w:rPr>
          <w:rStyle w:val="FootnoteReference"/>
          <w:noProof/>
        </w:rPr>
        <w:footnoteReference w:id="4"/>
      </w:r>
      <w:r>
        <w:rPr>
          <w:noProof/>
        </w:rPr>
        <w:t xml:space="preserve"> за нов подход, предложен от председателството. </w:t>
      </w:r>
    </w:p>
    <w:p>
      <w:pPr>
        <w:pBdr>
          <w:top w:val="nil"/>
          <w:left w:val="nil"/>
          <w:bottom w:val="nil"/>
          <w:right w:val="nil"/>
          <w:between w:val="nil"/>
          <w:bar w:val="nil"/>
        </w:pBdr>
        <w:spacing w:before="0" w:after="240"/>
        <w:rPr>
          <w:rFonts w:eastAsia="Arial Unicode MS"/>
          <w:noProof/>
          <w:spacing w:val="-4"/>
        </w:rPr>
      </w:pPr>
      <w:r>
        <w:rPr>
          <w:noProof/>
          <w:spacing w:val="-4"/>
        </w:rPr>
        <w:t>В контекста на този нов подход бе изоставена концепцията на основаното на член 114 от ДФЕС предложение на Комисията от 2013 г. за регламент относно новите психоактивни вещества. Разпоредбите на предложението на Комисията от 2013 г. за регламент относно новите психоактивни вещества бяха включени, от една страна, в текста на директивата за изменение на Рамково решение 2004/757/ПВР на Съвета и, от друга страна, в текста на ново предложение за изменение на Регламент (ЕО) № 1920/2006 — Регламента за създаване на Европейския център за мониторинг на наркотици и наркомании (ЕЦМНН), което Комисията беше приканена да представи. Комисията прие предложението за изменение на Регламент (ЕО) № 1920/2006 по отношение на обмена на информация, системата за ранно предупреждение и процедурата за оценка на риска относно новите психоактивни вещества на 29 август 2016 г.</w:t>
      </w:r>
      <w:r>
        <w:rPr>
          <w:rStyle w:val="FootnoteReference"/>
          <w:noProof/>
          <w:spacing w:val="-4"/>
        </w:rPr>
        <w:footnoteReference w:id="5"/>
      </w:r>
      <w:r>
        <w:rPr>
          <w:noProof/>
          <w:spacing w:val="-4"/>
        </w:rPr>
        <w:t xml:space="preserve"> Предложението от 2013 г. за регламент относно новите психоактивни вещества беше изтеглено в контекста на работната програма на Комисията за 2017 г.</w:t>
      </w:r>
    </w:p>
    <w:p>
      <w:pPr>
        <w:widowControl w:val="0"/>
        <w:rPr>
          <w:noProof/>
        </w:rPr>
      </w:pPr>
      <w:r>
        <w:rPr>
          <w:noProof/>
        </w:rPr>
        <w:t>По време на тристранната среща, проведена на 29 май 2017 г., съзаконодателите постигнаха политическо споразумение по пакета, което бе одобрено от Корепер на 31 май 2017 г. и от Комисията по граждански свободи, правосъдие и вътрешни работи (LIBE) на Европейския парламент на 8 юни 2017 г.</w:t>
      </w:r>
    </w:p>
    <w:p>
      <w:pPr>
        <w:widowControl w:val="0"/>
        <w:rPr>
          <w:noProof/>
          <w:spacing w:val="-2"/>
        </w:rPr>
      </w:pPr>
      <w:r>
        <w:rPr>
          <w:noProof/>
          <w:spacing w:val="-2"/>
        </w:rPr>
        <w:t xml:space="preserve">В съответствие с посочения по-горе нов подход, текстът на директивата включва съществени изменения на предложението на Комисията от 2013 г. за директива за изменение на Рамково решение 2004/757/ПВР на Съвета от 25 октомври 2004 г. По-специално, сега директивата съдържа и разпоредби относно определението за нови психоактивни вещества, както и относно бързото вземане на решения на равнище ЕС по отношение на новите психоактивни вещества. Веществата, отговарящи на изискванията за квалифицирането им като нови психоактивни вещества, са изброени в ново приложение към Рамково решение 2004/757/ПВР, като Комисията се оправомощава да изменя това приложение чрез делегирани актове с цел включване на нови психоактивни вещества в определението за „наркотици“. Всички вещества, изброени в приложението, са обхванати от наказателноправните разпоредби, предвидени в Рамковото решение, в съответствие с правното му основание — член 83, параграф 1 от ДФЕС. Пакетът обаче продължава да отговаря на първоначалната цел на Комисията да се намали наличието на </w:t>
      </w:r>
      <w:r>
        <w:rPr>
          <w:noProof/>
          <w:spacing w:val="-2"/>
        </w:rPr>
        <w:lastRenderedPageBreak/>
        <w:t>нови психоактивни вещества, които представляват риск, чрез действия на равнището на Съюза, които са по-бързи и по-ефективни от прилаганата понастоящем система.</w:t>
      </w:r>
    </w:p>
    <w:p>
      <w:pPr>
        <w:pStyle w:val="ManualHeading1"/>
        <w:rPr>
          <w:noProof/>
        </w:rPr>
      </w:pPr>
      <w:r>
        <w:rPr>
          <w:noProof/>
        </w:rPr>
        <w:t>4.</w:t>
      </w:r>
      <w:r>
        <w:rPr>
          <w:noProof/>
        </w:rPr>
        <w:tab/>
        <w:t>Заключение</w:t>
      </w:r>
    </w:p>
    <w:p>
      <w:pPr>
        <w:rPr>
          <w:noProof/>
        </w:rPr>
      </w:pPr>
      <w:r>
        <w:rPr>
          <w:noProof/>
        </w:rPr>
        <w:t>Комисията напълно подкрепя позицията на Съвета, тъй като тя продължава да отговаря на първоначалната цел на Комисията.</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COM(2013) 619 final.</w:t>
      </w:r>
    </w:p>
  </w:footnote>
  <w:footnote w:id="2">
    <w:p>
      <w:pPr>
        <w:pStyle w:val="FootnoteText"/>
        <w:rPr>
          <w:lang w:val="pt-PT"/>
        </w:rPr>
      </w:pPr>
      <w:r>
        <w:rPr>
          <w:rStyle w:val="FootnoteReference"/>
        </w:rPr>
        <w:footnoteRef/>
      </w:r>
      <w:r>
        <w:rPr>
          <w:lang w:val="pt-PT"/>
        </w:rPr>
        <w:tab/>
        <w:t>COM(2013) 618 final.</w:t>
      </w:r>
    </w:p>
  </w:footnote>
  <w:footnote w:id="3">
    <w:p>
      <w:pPr>
        <w:pStyle w:val="FootnoteText"/>
        <w:rPr>
          <w:lang w:val="pt-PT"/>
        </w:rPr>
      </w:pPr>
      <w:r>
        <w:rPr>
          <w:rStyle w:val="FootnoteReference"/>
        </w:rPr>
        <w:footnoteRef/>
      </w:r>
      <w:r>
        <w:rPr>
          <w:lang w:val="pt-PT"/>
        </w:rPr>
        <w:tab/>
      </w:r>
      <w:r>
        <w:t>ОВ</w:t>
      </w:r>
      <w:r>
        <w:rPr>
          <w:lang w:val="pt-PT"/>
        </w:rPr>
        <w:t xml:space="preserve"> L 127, 10.5.2005 </w:t>
      </w:r>
      <w:r>
        <w:t>г</w:t>
      </w:r>
      <w:r>
        <w:rPr>
          <w:lang w:val="pt-PT"/>
        </w:rPr>
        <w:t xml:space="preserve">., </w:t>
      </w:r>
      <w:r>
        <w:t>стр</w:t>
      </w:r>
      <w:r>
        <w:rPr>
          <w:lang w:val="pt-PT"/>
        </w:rPr>
        <w:t xml:space="preserve">. 32. </w:t>
      </w:r>
      <w:r>
        <w:t>Различните</w:t>
      </w:r>
      <w:r>
        <w:rPr>
          <w:lang w:val="pt-PT"/>
        </w:rPr>
        <w:t xml:space="preserve"> </w:t>
      </w:r>
      <w:r>
        <w:t>варианти</w:t>
      </w:r>
      <w:r>
        <w:rPr>
          <w:lang w:val="pt-PT"/>
        </w:rPr>
        <w:t xml:space="preserve"> </w:t>
      </w:r>
      <w:r>
        <w:t>на</w:t>
      </w:r>
      <w:r>
        <w:rPr>
          <w:lang w:val="pt-PT"/>
        </w:rPr>
        <w:t xml:space="preserve"> </w:t>
      </w:r>
      <w:r>
        <w:t>политиката</w:t>
      </w:r>
      <w:r>
        <w:rPr>
          <w:lang w:val="pt-PT"/>
        </w:rPr>
        <w:t xml:space="preserve"> </w:t>
      </w:r>
      <w:r>
        <w:t>бяха</w:t>
      </w:r>
      <w:r>
        <w:rPr>
          <w:lang w:val="pt-PT"/>
        </w:rPr>
        <w:t xml:space="preserve"> </w:t>
      </w:r>
      <w:r>
        <w:t>анализирани</w:t>
      </w:r>
      <w:r>
        <w:rPr>
          <w:lang w:val="pt-PT"/>
        </w:rPr>
        <w:t xml:space="preserve"> </w:t>
      </w:r>
      <w:r>
        <w:t>в</w:t>
      </w:r>
      <w:r>
        <w:rPr>
          <w:lang w:val="pt-PT"/>
        </w:rPr>
        <w:t xml:space="preserve"> </w:t>
      </w:r>
      <w:r>
        <w:t>оценката</w:t>
      </w:r>
      <w:r>
        <w:rPr>
          <w:lang w:val="pt-PT"/>
        </w:rPr>
        <w:t xml:space="preserve"> </w:t>
      </w:r>
      <w:r>
        <w:t>на</w:t>
      </w:r>
      <w:r>
        <w:rPr>
          <w:lang w:val="pt-PT"/>
        </w:rPr>
        <w:t xml:space="preserve"> </w:t>
      </w:r>
      <w:r>
        <w:t>въздействието</w:t>
      </w:r>
      <w:r>
        <w:rPr>
          <w:lang w:val="pt-PT"/>
        </w:rPr>
        <w:t xml:space="preserve">, </w:t>
      </w:r>
      <w:r>
        <w:t>придружаваща</w:t>
      </w:r>
      <w:r>
        <w:rPr>
          <w:lang w:val="pt-PT"/>
        </w:rPr>
        <w:t xml:space="preserve"> </w:t>
      </w:r>
      <w:r>
        <w:t>двете</w:t>
      </w:r>
      <w:r>
        <w:rPr>
          <w:lang w:val="pt-PT"/>
        </w:rPr>
        <w:t xml:space="preserve"> </w:t>
      </w:r>
      <w:r>
        <w:t>предложения</w:t>
      </w:r>
      <w:r>
        <w:rPr>
          <w:lang w:val="pt-PT"/>
        </w:rPr>
        <w:t>, SWD(2013) 319 final.</w:t>
      </w:r>
    </w:p>
  </w:footnote>
  <w:footnote w:id="4">
    <w:p>
      <w:pPr>
        <w:pStyle w:val="FootnoteText"/>
        <w:rPr>
          <w:lang w:val="pt-PT"/>
        </w:rPr>
      </w:pPr>
      <w:r>
        <w:rPr>
          <w:rStyle w:val="FootnoteReference"/>
        </w:rPr>
        <w:footnoteRef/>
      </w:r>
      <w:r>
        <w:rPr>
          <w:lang w:val="pt-PT"/>
        </w:rPr>
        <w:tab/>
      </w:r>
      <w:r>
        <w:t>Обобщен</w:t>
      </w:r>
      <w:r>
        <w:rPr>
          <w:lang w:val="pt-PT"/>
        </w:rPr>
        <w:t xml:space="preserve"> </w:t>
      </w:r>
      <w:r>
        <w:t>протокол</w:t>
      </w:r>
      <w:r>
        <w:rPr>
          <w:lang w:val="pt-PT"/>
        </w:rPr>
        <w:t xml:space="preserve">, </w:t>
      </w:r>
      <w:r>
        <w:t>Документ</w:t>
      </w:r>
      <w:r>
        <w:rPr>
          <w:lang w:val="pt-PT"/>
        </w:rPr>
        <w:t xml:space="preserve"> 7908/1/16 REV 1 </w:t>
      </w:r>
      <w:r>
        <w:t>на</w:t>
      </w:r>
      <w:r>
        <w:rPr>
          <w:lang w:val="pt-PT"/>
        </w:rPr>
        <w:t xml:space="preserve"> </w:t>
      </w:r>
      <w:r>
        <w:t>Съвета</w:t>
      </w:r>
      <w:r>
        <w:rPr>
          <w:lang w:val="pt-PT"/>
        </w:rPr>
        <w:t xml:space="preserve"> </w:t>
      </w:r>
      <w:r>
        <w:t>от</w:t>
      </w:r>
      <w:r>
        <w:rPr>
          <w:lang w:val="pt-PT"/>
        </w:rPr>
        <w:t xml:space="preserve"> 27 </w:t>
      </w:r>
      <w:r>
        <w:t>май</w:t>
      </w:r>
      <w:r>
        <w:rPr>
          <w:lang w:val="pt-PT"/>
        </w:rPr>
        <w:t xml:space="preserve"> 2016 </w:t>
      </w:r>
      <w:r>
        <w:t>г</w:t>
      </w:r>
      <w:r>
        <w:rPr>
          <w:lang w:val="pt-PT"/>
        </w:rPr>
        <w:t>.</w:t>
      </w:r>
    </w:p>
  </w:footnote>
  <w:footnote w:id="5">
    <w:p>
      <w:pPr>
        <w:pStyle w:val="FootnoteText"/>
        <w:rPr>
          <w:lang w:val="de-DE"/>
        </w:rPr>
      </w:pPr>
      <w:r>
        <w:rPr>
          <w:rStyle w:val="FootnoteReference"/>
        </w:rPr>
        <w:footnoteRef/>
      </w:r>
      <w:r>
        <w:tab/>
        <w:t>COM(2016) 547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95AAD8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F72CD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4830AB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EBC3D8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CBC154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1D0A38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DB6E1FA"/>
    <w:lvl w:ilvl="0">
      <w:start w:val="1"/>
      <w:numFmt w:val="decimal"/>
      <w:pStyle w:val="ListNumber"/>
      <w:lvlText w:val="%1."/>
      <w:lvlJc w:val="left"/>
      <w:pPr>
        <w:tabs>
          <w:tab w:val="num" w:pos="360"/>
        </w:tabs>
        <w:ind w:left="360" w:hanging="360"/>
      </w:pPr>
    </w:lvl>
  </w:abstractNum>
  <w:abstractNum w:abstractNumId="7">
    <w:nsid w:val="FFFFFF89"/>
    <w:multiLevelType w:val="singleLevel"/>
    <w:tmpl w:val="372879C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25 14:03:1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3ED936085DEE45919E039F525E73F1CB"/>
    <w:docVar w:name="LW_CROSSREFERENCE" w:val="&lt;UNUSED&gt;"/>
    <w:docVar w:name="LW_DocType" w:val="COM"/>
    <w:docVar w:name="LW_EMISSION" w:val="27.9.2017"/>
    <w:docVar w:name="LW_EMISSION_ISODATE" w:val="2017-09-27"/>
    <w:docVar w:name="LW_EMISSION_LOCATION" w:val="BRX"/>
    <w:docVar w:name="LW_EMISSION_PREFIX" w:val="\u1041?\u1088?\u1102?\u1082?\u1089?\u1077?\u1083?, "/>
    <w:docVar w:name="LW_EMISSION_SUFFIX" w:val=" \u1075?."/>
    <w:docVar w:name="LW_ID_DOCMODEL" w:val="SJ-028"/>
    <w:docVar w:name="LW_ID_DOCSTRUCTURE" w:val="COM/PL/CODEC"/>
    <w:docVar w:name="LW_ID_DOCTYPE" w:val="SJ-028"/>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304"/>
    <w:docVar w:name="LW_REF.II.NEW.CP_YEAR" w:val="2013"/>
    <w:docVar w:name="LW_REF.INST.NEW" w:val="COM"/>
    <w:docVar w:name="LW_REF.INST.NEW_ADOPTED" w:val="final"/>
    <w:docVar w:name="LW_REF.INST.NEW_TEXT" w:val="(2017) 560"/>
    <w:docVar w:name="LW_REF.INTERNE" w:val="&lt;UNUSED&gt;"/>
    <w:docVar w:name="LW_SOUS.TITRE.OBJ.CP" w:val="&lt;UNUSED&gt;"/>
    <w:docVar w:name="LW_SUPERTITRE" w:val="&lt;UNUSED&gt;"/>
    <w:docVar w:name="LW_TITRE.OBJ.CP" w:val="\u1087?\u1086?\u1079?\u1080?\u1094?\u1080?\u1103?\u1090?\u1072? \u1085?\u1072? \u1057?\u1098?\u1074?\u1077?\u1090?\u1072? \u1074?\u1098?\u1074? \u1074?\u1088?\u1098?\u1079?\u1082?\u1072? \u1089? \u1087?\u1088?\u1080?\u1077?\u1084?\u1072?\u1085?\u1077?\u1090?\u1086? \u1085?\u1072? \u1076?\u1080?\u1088?\u1077?\u1082?\u1090?\u1080?\u1074?\u1072? \u1085?\u1072? \u1045?\u1074?\u1088?\u1086?\u1087?\u1077?\u1081?\u1089?\u1082?\u1080?\u1103? \u1087?\u1072?\u1088?\u1083?\u1072?\u1084?\u1077?\u1085?\u1090? \u1080? \u1085?\u1072? \u1057?\u1098?\u1074?\u1077?\u1090?\u1072? \u1079?\u1072? \u1080?\u1079?\u1084?\u1077?\u1085?\u1077?\u1085?\u1080?\u1077? \u1085?\u1072? \u1056?\u1072?\u1084?\u1082?\u1086?\u1074?\u1086? \u1088?\u1077?\u1096?\u1077?\u1085?\u1080?\u1077? 2004/757/\u1055?\u1042?\u1056? \u1085?\u1072? \u1057?\u1098?\u1074?\u1077?\u1090?\u1072? \u1089? \u1094?\u1077?\u1083? \u1074?\u1082?\u1083?\u1102?\u1095?\u1074?\u1072?\u1085?\u1077? \u1085?\u1072? \u1085?\u1086?\u1074?\u1080? \u1087?\u1089?\u1080?\u1093?\u1086?\u1072?\u1082?\u1090?\u1080?\u1074?\u1085?\u1080? \u1074?\u1077?\u1097?\u1077?\u1089?\u1090?\u1074?\u1072? \u1074? \u1086?\u1087?\u1088?\u1077?\u1076?\u1077?\u1083?\u1077?\u1085?\u1080?\u1077?\u1090?\u1086? \u1079?\u1072? \u8222?\u1085?\u1072?\u1088?\u1082?\u1086?\u1090?\u1080?\u1094?\u1080?\u8220? \u1080? \u1079?\u1072? \u1086?\u1090?\u1084?\u1103?\u1085?\u1072? \u1085?\u1072? \u1056?\u1077?\u1096?\u1077?\u1085?\u1080?\u1077? 2005/387/\u1055?\u1042?\u1056? \u1085?\u1072? \u1057?\u1098?\u1074?\u1077?\u1090?\u1072?"/>
    <w:docVar w:name="LW_TYPE.DOC.CP" w:val="\u1057?\u1066?\u1054?\u1041?\u1065?\u1045?\u1053?\u1048?\u1045? \u1053?\u1040? \u1050?\u1054?\u1052?\u1048?\u1057?\u1048?\u1071?\u1058?\u1040? \u1044?\u1054? \u1045?\u1042?\u1056?\u1054?\u1055?\u1045?\u1049?\u1057?\u1050?\u1048?\u1071? \u1055?\u1040?\u1056?\u1051?\u1040?\u1052?\u1045?\u1053?\u1058?_x000b__x000b_\u1089?\u1098?\u1075?\u1083?\u1072?\u1089?\u1085?\u1086? \u1095?\u1083?\u1077?\u1085? 294, \u1087?\u1072?\u1088?\u1072?\u1075?\u1088?\u1072?\u1092? 6 \u1086?\u1090? \u1044?\u1086?\u1075?\u1086?\u1074?\u1086?\u1088?\u1072? \u1079?\u1072? \u1092?\u1091?\u1085?\u1082?\u1094?\u1080?\u1086?\u1085?\u1080?\u1088?\u1072?\u1085?\u1077?\u1090?\u1086? \u1085?\u1072? \u1045?\u1074?\u1088?\u1086?\u1087?\u1077?\u1081?\u1089?\u1082?\u1080?\u1103? \u1089?\u1098?\u1102?\u1079?_x000b__x000b_\u1086?\u1090?\u1085?\u1086?\u1089?\u1085?\u1086?"/>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9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1816-EC69-4FD4-A2D2-B92A8BD4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Pages>
  <Words>742</Words>
  <Characters>4326</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2017-09-11T09:24:00Z</cp:lastPrinted>
  <dcterms:created xsi:type="dcterms:W3CDTF">2017-09-20T12:14:00Z</dcterms:created>
  <dcterms:modified xsi:type="dcterms:W3CDTF">2017-09-25T12:03:00Z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SJ-028</vt:lpwstr>
  </property>
  <property fmtid="{D5CDD505-2E9C-101B-9397-08002B2CF9AE}" pid="10" name="DQCStatus">
    <vt:lpwstr>Green (DQC version 03)</vt:lpwstr>
  </property>
</Properties>
</file>