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7C6" w:rsidRDefault="009F089A" w:rsidP="009F089A">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D0A28E518E97400CA939F4A927105D84" style="width:450.75pt;height:351.75pt">
            <v:imagedata r:id="rId9" o:title=""/>
          </v:shape>
        </w:pict>
      </w:r>
    </w:p>
    <w:p w:rsidR="00E217C6" w:rsidRDefault="00E217C6" w:rsidP="00E217C6">
      <w:pPr>
        <w:sectPr w:rsidR="00E217C6" w:rsidSect="009F089A">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E217C6" w:rsidRDefault="00E217C6" w:rsidP="0064141D">
      <w:pPr>
        <w:pStyle w:val="Exposdesmotifstitre"/>
      </w:pPr>
      <w:bookmarkStart w:id="0" w:name="_GoBack"/>
      <w:bookmarkEnd w:id="0"/>
      <w:r w:rsidRPr="006F770D">
        <w:lastRenderedPageBreak/>
        <w:t>EXPLANATORY MEMORANDUM</w:t>
      </w:r>
    </w:p>
    <w:p w:rsidR="0064141D" w:rsidRPr="0064141D" w:rsidRDefault="0064141D" w:rsidP="0064141D">
      <w:pPr>
        <w:pBdr>
          <w:top w:val="nil"/>
          <w:left w:val="nil"/>
          <w:bottom w:val="nil"/>
          <w:right w:val="nil"/>
          <w:between w:val="nil"/>
          <w:bar w:val="nil"/>
        </w:pBdr>
        <w:spacing w:before="0" w:after="240"/>
        <w:rPr>
          <w:rFonts w:eastAsia="Arial Unicode MS"/>
        </w:rPr>
      </w:pPr>
      <w:r w:rsidRPr="00D24F82">
        <w:t>The CARIFORUM – EU Economic Partnership Agreement (EPA)</w:t>
      </w:r>
      <w:r w:rsidR="0044628B" w:rsidRPr="00D24F82">
        <w:t xml:space="preserve">, under Chapter 2, Section 2 ‘intellectual property’, </w:t>
      </w:r>
      <w:r w:rsidR="005F795C" w:rsidRPr="00D24F82">
        <w:t>Article 145</w:t>
      </w:r>
      <w:r w:rsidR="006D127D">
        <w:rPr>
          <w:rStyle w:val="FootnoteReference"/>
          <w:rFonts w:eastAsia="Arial Unicode MS"/>
        </w:rPr>
        <w:footnoteReference w:id="1"/>
      </w:r>
      <w:r w:rsidR="0044628B" w:rsidRPr="00D24F82">
        <w:t>,</w:t>
      </w:r>
      <w:r w:rsidR="005F795C" w:rsidRPr="00D24F82">
        <w:t xml:space="preserve"> establishes </w:t>
      </w:r>
      <w:r w:rsidRPr="00D24F82">
        <w:t>the level of protection of geographical indications, term</w:t>
      </w:r>
      <w:r w:rsidR="005F795C" w:rsidRPr="00D24F82">
        <w:t>s</w:t>
      </w:r>
      <w:r w:rsidRPr="00D24F82">
        <w:t xml:space="preserve"> of protection and other pa</w:t>
      </w:r>
      <w:r w:rsidR="005F795C" w:rsidRPr="00D24F82">
        <w:t>rameters</w:t>
      </w:r>
      <w:r w:rsidRPr="00D24F82">
        <w:t xml:space="preserve">. However, no </w:t>
      </w:r>
      <w:r w:rsidR="005F795C" w:rsidRPr="00D24F82">
        <w:t>list of protected geographic</w:t>
      </w:r>
      <w:r w:rsidR="003F4116" w:rsidRPr="00D24F82">
        <w:t>al</w:t>
      </w:r>
      <w:r w:rsidR="005F795C" w:rsidRPr="00D24F82">
        <w:t xml:space="preserve"> indications has been established under this A</w:t>
      </w:r>
      <w:r w:rsidRPr="00D24F82">
        <w:t xml:space="preserve">greement. </w:t>
      </w:r>
      <w:r w:rsidR="005F795C" w:rsidRPr="00D24F82">
        <w:t xml:space="preserve">For this reason, the EPA </w:t>
      </w:r>
      <w:r w:rsidRPr="00D24F82">
        <w:t xml:space="preserve">also contains </w:t>
      </w:r>
      <w:r w:rsidR="005F795C" w:rsidRPr="00D24F82">
        <w:t xml:space="preserve">in its Article 145 </w:t>
      </w:r>
      <w:r w:rsidRPr="00D24F82">
        <w:t>a rendezvous clause requirin</w:t>
      </w:r>
      <w:r w:rsidR="00B64F91" w:rsidRPr="00D24F82">
        <w:t>g the parties to complete the</w:t>
      </w:r>
      <w:r w:rsidRPr="00D24F82">
        <w:t xml:space="preserve"> provisions</w:t>
      </w:r>
      <w:r w:rsidR="00B64F91" w:rsidRPr="00D24F82">
        <w:t xml:space="preserve"> on geographic</w:t>
      </w:r>
      <w:r w:rsidR="003F4116" w:rsidRPr="00D24F82">
        <w:t>al</w:t>
      </w:r>
      <w:r w:rsidR="00B64F91" w:rsidRPr="00D24F82">
        <w:t xml:space="preserve"> indications</w:t>
      </w:r>
      <w:r w:rsidR="005F795C" w:rsidRPr="00D24F82">
        <w:t xml:space="preserve"> and to establish the list of protected geographical indications</w:t>
      </w:r>
      <w:r w:rsidRPr="00D24F82">
        <w:t>.</w:t>
      </w:r>
    </w:p>
    <w:p w:rsidR="00E217C6" w:rsidRPr="006F770D" w:rsidRDefault="00E217C6" w:rsidP="0064141D">
      <w:pPr>
        <w:pStyle w:val="ManualHeading1"/>
      </w:pPr>
      <w:r w:rsidRPr="00C567EE">
        <w:t>1.</w:t>
      </w:r>
      <w:r w:rsidRPr="00C567EE">
        <w:tab/>
      </w:r>
      <w:r w:rsidRPr="006F770D">
        <w:t>CONTEXT OF THE PROPOSAL</w:t>
      </w:r>
    </w:p>
    <w:p w:rsidR="00E217C6" w:rsidRPr="00044058" w:rsidRDefault="00E217C6" w:rsidP="0064141D">
      <w:pPr>
        <w:pStyle w:val="ManualHeading2"/>
        <w:rPr>
          <w:rFonts w:eastAsia="Arial Unicode MS"/>
        </w:rPr>
      </w:pPr>
      <w:r w:rsidRPr="0029266A">
        <w:rPr>
          <w:rFonts w:eastAsia="Arial Unicode MS"/>
          <w:color w:val="000000"/>
          <w:u w:color="000000"/>
          <w:bdr w:val="nil"/>
          <w:lang w:val="en-US" w:eastAsia="en-GB"/>
        </w:rPr>
        <w:t>•</w:t>
      </w:r>
      <w:r w:rsidRPr="0029266A">
        <w:rPr>
          <w:rFonts w:eastAsia="Arial Unicode MS"/>
          <w:color w:val="000000"/>
          <w:u w:color="000000"/>
          <w:bdr w:val="nil"/>
          <w:lang w:val="en-US" w:eastAsia="en-GB"/>
        </w:rPr>
        <w:tab/>
      </w:r>
      <w:r w:rsidRPr="00044058">
        <w:rPr>
          <w:rFonts w:eastAsia="Arial Unicode MS"/>
        </w:rPr>
        <w:t>Reasons for and objectives of the proposal</w:t>
      </w:r>
    </w:p>
    <w:p w:rsidR="0064141D" w:rsidRPr="00D24F82" w:rsidRDefault="0064141D" w:rsidP="0064141D">
      <w:pPr>
        <w:pBdr>
          <w:top w:val="nil"/>
          <w:left w:val="nil"/>
          <w:bottom w:val="nil"/>
          <w:right w:val="nil"/>
          <w:between w:val="nil"/>
          <w:bar w:val="nil"/>
        </w:pBdr>
        <w:spacing w:before="0" w:after="240"/>
      </w:pPr>
      <w:r w:rsidRPr="00D24F82">
        <w:t>The CARIFORUM – EU EPA requires</w:t>
      </w:r>
      <w:r w:rsidR="003F4116" w:rsidRPr="00D24F82">
        <w:t xml:space="preserve"> the parties to complete the regime of protection of geographical indications, including a list of protected names. Economic Partnership A</w:t>
      </w:r>
      <w:r w:rsidRPr="00D24F82">
        <w:t xml:space="preserve">greements are in </w:t>
      </w:r>
      <w:r w:rsidR="003F4116" w:rsidRPr="00D24F82">
        <w:t xml:space="preserve">line </w:t>
      </w:r>
      <w:r w:rsidRPr="00D24F82">
        <w:t xml:space="preserve">with existing policy </w:t>
      </w:r>
      <w:r w:rsidR="003F4116" w:rsidRPr="00D24F82">
        <w:t xml:space="preserve">common commercial policy provisions of the </w:t>
      </w:r>
      <w:r w:rsidRPr="00D24F82">
        <w:t>U</w:t>
      </w:r>
      <w:r w:rsidR="003F4116" w:rsidRPr="00D24F82">
        <w:t>nion</w:t>
      </w:r>
      <w:r w:rsidRPr="00D24F82">
        <w:t>.</w:t>
      </w:r>
    </w:p>
    <w:p w:rsidR="00E217C6" w:rsidRPr="002D5EE2" w:rsidRDefault="00E217C6" w:rsidP="0064141D">
      <w:pPr>
        <w:pStyle w:val="ManualHeading2"/>
        <w:rPr>
          <w:rFonts w:eastAsia="Arial Unicode MS"/>
          <w:color w:val="000000"/>
          <w:u w:color="000000"/>
          <w:bdr w:val="nil"/>
          <w:lang w:val="en-US" w:eastAsia="en-GB"/>
        </w:rPr>
      </w:pPr>
      <w:r w:rsidRPr="0029266A">
        <w:rPr>
          <w:rFonts w:eastAsia="Arial Unicode MS"/>
          <w:color w:val="000000"/>
          <w:u w:color="000000"/>
          <w:bdr w:val="nil"/>
          <w:lang w:val="en-US" w:eastAsia="en-GB"/>
        </w:rPr>
        <w:t>•</w:t>
      </w:r>
      <w:r w:rsidRPr="0029266A">
        <w:rPr>
          <w:rFonts w:eastAsia="Arial Unicode MS"/>
          <w:color w:val="000000"/>
          <w:u w:color="000000"/>
          <w:bdr w:val="nil"/>
          <w:lang w:val="en-US" w:eastAsia="en-GB"/>
        </w:rPr>
        <w:tab/>
      </w:r>
      <w:r w:rsidRPr="00044058">
        <w:rPr>
          <w:rFonts w:eastAsia="Arial Unicode MS"/>
        </w:rPr>
        <w:t>Consistency with existing policy provisions in the</w:t>
      </w:r>
      <w:r>
        <w:rPr>
          <w:rFonts w:eastAsia="Arial Unicode MS"/>
        </w:rPr>
        <w:t xml:space="preserve"> </w:t>
      </w:r>
      <w:r w:rsidRPr="002D5EE2">
        <w:rPr>
          <w:rFonts w:eastAsia="Arial Unicode MS"/>
        </w:rPr>
        <w:t>policy area</w:t>
      </w:r>
    </w:p>
    <w:p w:rsidR="0064141D" w:rsidRPr="0064141D" w:rsidRDefault="0064141D" w:rsidP="0064141D">
      <w:pPr>
        <w:pBdr>
          <w:top w:val="nil"/>
          <w:left w:val="nil"/>
          <w:bottom w:val="nil"/>
          <w:right w:val="nil"/>
          <w:between w:val="nil"/>
          <w:bar w:val="nil"/>
        </w:pBdr>
        <w:spacing w:before="0" w:after="240"/>
        <w:rPr>
          <w:rFonts w:eastAsia="Arial Unicode MS"/>
        </w:rPr>
      </w:pPr>
      <w:r w:rsidRPr="00D24F82">
        <w:t>Not applicable.</w:t>
      </w:r>
    </w:p>
    <w:p w:rsidR="00E217C6" w:rsidRDefault="00E217C6" w:rsidP="0064141D">
      <w:pPr>
        <w:pStyle w:val="ManualHeading2"/>
        <w:rPr>
          <w:rFonts w:eastAsia="Arial Unicode MS"/>
        </w:rPr>
      </w:pPr>
      <w:r w:rsidRPr="002D5EE2">
        <w:rPr>
          <w:rFonts w:eastAsia="Arial Unicode MS"/>
          <w:color w:val="000000"/>
          <w:u w:color="000000"/>
          <w:bdr w:val="nil"/>
          <w:lang w:val="en-US" w:eastAsia="en-GB"/>
        </w:rPr>
        <w:t>•</w:t>
      </w:r>
      <w:r w:rsidRPr="002D5EE2">
        <w:rPr>
          <w:rFonts w:eastAsia="Arial Unicode MS"/>
          <w:color w:val="000000"/>
          <w:u w:color="000000"/>
          <w:bdr w:val="nil"/>
          <w:lang w:val="en-US" w:eastAsia="en-GB"/>
        </w:rPr>
        <w:tab/>
      </w:r>
      <w:r w:rsidRPr="002D5EE2">
        <w:rPr>
          <w:rFonts w:eastAsia="Arial Unicode MS"/>
        </w:rPr>
        <w:t>Consistency with other Union policies</w:t>
      </w:r>
    </w:p>
    <w:p w:rsidR="0064141D" w:rsidRPr="0064141D" w:rsidRDefault="0064141D" w:rsidP="0064141D">
      <w:pPr>
        <w:pBdr>
          <w:top w:val="nil"/>
          <w:left w:val="nil"/>
          <w:bottom w:val="nil"/>
          <w:right w:val="nil"/>
          <w:between w:val="nil"/>
          <w:bar w:val="nil"/>
        </w:pBdr>
        <w:spacing w:before="0" w:after="240"/>
        <w:rPr>
          <w:rFonts w:eastAsia="Arial Unicode MS"/>
        </w:rPr>
      </w:pPr>
      <w:r w:rsidRPr="00D24F82">
        <w:t>Not applicable.</w:t>
      </w:r>
    </w:p>
    <w:p w:rsidR="00E217C6" w:rsidRPr="002D5EE2" w:rsidRDefault="00E217C6" w:rsidP="0064141D">
      <w:pPr>
        <w:pStyle w:val="ManualHeading1"/>
      </w:pPr>
      <w:r w:rsidRPr="002D5EE2">
        <w:t>2.</w:t>
      </w:r>
      <w:r w:rsidRPr="002D5EE2">
        <w:tab/>
        <w:t>LEGAL BASIS, SUBSIDIARITY AND PROPORTIONALITY</w:t>
      </w:r>
    </w:p>
    <w:p w:rsidR="00E217C6" w:rsidRPr="002D5EE2" w:rsidRDefault="00E217C6" w:rsidP="0064141D">
      <w:pPr>
        <w:pStyle w:val="ManualHeading2"/>
        <w:rPr>
          <w:rFonts w:eastAsia="Arial Unicode MS"/>
          <w:u w:color="000000"/>
          <w:bdr w:val="nil"/>
          <w:lang w:val="en-US" w:eastAsia="en-GB"/>
        </w:rPr>
      </w:pPr>
      <w:r w:rsidRPr="002D5EE2">
        <w:rPr>
          <w:rFonts w:eastAsia="Arial Unicode MS"/>
          <w:u w:color="000000"/>
          <w:bdr w:val="nil"/>
          <w:lang w:val="en-US" w:eastAsia="en-GB"/>
        </w:rPr>
        <w:t>•</w:t>
      </w:r>
      <w:r w:rsidRPr="002D5EE2">
        <w:rPr>
          <w:rFonts w:eastAsia="Arial Unicode MS"/>
          <w:u w:color="000000"/>
          <w:bdr w:val="nil"/>
          <w:lang w:val="en-US" w:eastAsia="en-GB"/>
        </w:rPr>
        <w:tab/>
        <w:t>Legal basis</w:t>
      </w:r>
    </w:p>
    <w:p w:rsidR="0064141D" w:rsidRPr="0064141D" w:rsidRDefault="00B64F91" w:rsidP="0064141D">
      <w:pPr>
        <w:pBdr>
          <w:top w:val="nil"/>
          <w:left w:val="nil"/>
          <w:bottom w:val="nil"/>
          <w:right w:val="nil"/>
          <w:between w:val="nil"/>
          <w:bar w:val="nil"/>
        </w:pBdr>
        <w:spacing w:before="0" w:after="240"/>
        <w:rPr>
          <w:rFonts w:eastAsia="Arial Unicode MS"/>
        </w:rPr>
      </w:pPr>
      <w:r w:rsidRPr="00D24F82">
        <w:t xml:space="preserve">The legal basis for the measure is </w:t>
      </w:r>
      <w:r w:rsidR="0064141D" w:rsidRPr="00D24F82">
        <w:t>Article 218 of the Treaty on the Functioning of the European Union (TFEU).</w:t>
      </w:r>
      <w:r w:rsidRPr="00D24F82">
        <w:t xml:space="preserve"> </w:t>
      </w:r>
    </w:p>
    <w:p w:rsidR="00E217C6" w:rsidRPr="003F4116" w:rsidRDefault="00E217C6" w:rsidP="0064141D">
      <w:pPr>
        <w:pStyle w:val="ManualHeading2"/>
        <w:rPr>
          <w:rFonts w:eastAsia="Arial Unicode MS"/>
          <w:b w:val="0"/>
          <w:u w:color="000000"/>
          <w:bdr w:val="nil"/>
          <w:lang w:val="en-US" w:eastAsia="en-GB"/>
        </w:rPr>
      </w:pPr>
      <w:r w:rsidRPr="003F4116">
        <w:rPr>
          <w:rFonts w:eastAsia="Arial Unicode MS"/>
          <w:b w:val="0"/>
          <w:u w:color="000000"/>
          <w:bdr w:val="nil"/>
          <w:lang w:val="en-US" w:eastAsia="en-GB"/>
        </w:rPr>
        <w:t>•</w:t>
      </w:r>
      <w:r w:rsidRPr="003F4116">
        <w:rPr>
          <w:rFonts w:eastAsia="Arial Unicode MS"/>
          <w:b w:val="0"/>
          <w:u w:color="000000"/>
          <w:bdr w:val="nil"/>
          <w:lang w:val="en-US" w:eastAsia="en-GB"/>
        </w:rPr>
        <w:tab/>
      </w:r>
      <w:r w:rsidRPr="003F4116">
        <w:rPr>
          <w:rFonts w:eastAsia="Arial Unicode MS"/>
          <w:u w:color="000000"/>
          <w:bdr w:val="nil"/>
          <w:lang w:val="en-US" w:eastAsia="en-GB"/>
        </w:rPr>
        <w:t>Subsidiarity (for non-exclusive competence)</w:t>
      </w:r>
      <w:r w:rsidRPr="003F4116">
        <w:rPr>
          <w:rFonts w:eastAsia="Arial Unicode MS"/>
          <w:b w:val="0"/>
          <w:u w:color="000000"/>
          <w:bdr w:val="nil"/>
          <w:lang w:val="en-US" w:eastAsia="en-GB"/>
        </w:rPr>
        <w:t xml:space="preserve"> </w:t>
      </w:r>
    </w:p>
    <w:p w:rsidR="0064141D" w:rsidRPr="003F4116" w:rsidRDefault="0064141D" w:rsidP="003F4116">
      <w:pPr>
        <w:pBdr>
          <w:top w:val="nil"/>
          <w:left w:val="nil"/>
          <w:bottom w:val="nil"/>
          <w:right w:val="nil"/>
          <w:between w:val="nil"/>
          <w:bar w:val="nil"/>
        </w:pBdr>
        <w:spacing w:before="0" w:after="240"/>
        <w:rPr>
          <w:rFonts w:eastAsia="Arial Unicode MS"/>
          <w:u w:color="000000"/>
          <w:bdr w:val="nil"/>
          <w:lang w:val="en-US" w:eastAsia="en-GB"/>
        </w:rPr>
      </w:pPr>
      <w:r w:rsidRPr="003F4116">
        <w:rPr>
          <w:rFonts w:eastAsia="Arial Unicode MS"/>
          <w:u w:color="000000"/>
          <w:bdr w:val="nil"/>
          <w:lang w:val="en-US" w:eastAsia="en-GB"/>
        </w:rPr>
        <w:t xml:space="preserve">Not applicable. </w:t>
      </w:r>
      <w:r w:rsidR="003F4116" w:rsidRPr="00D24F82">
        <w:t>Under</w:t>
      </w:r>
      <w:r w:rsidR="003F4116" w:rsidRPr="003F4116">
        <w:rPr>
          <w:u w:color="000000"/>
          <w:bdr w:val="nil"/>
          <w:lang w:val="en-US" w:eastAsia="en-GB"/>
        </w:rPr>
        <w:t xml:space="preserve"> Article 3 of the TFEU common commercial policy falls within the exclusive competences of the Union.</w:t>
      </w:r>
    </w:p>
    <w:p w:rsidR="00E217C6" w:rsidRPr="0064141D" w:rsidRDefault="00E217C6" w:rsidP="0064141D">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Proportionality</w:t>
      </w:r>
    </w:p>
    <w:p w:rsidR="0064141D" w:rsidRPr="0064141D" w:rsidRDefault="0064141D" w:rsidP="0064141D">
      <w:pPr>
        <w:pBdr>
          <w:top w:val="nil"/>
          <w:left w:val="nil"/>
          <w:bottom w:val="nil"/>
          <w:right w:val="nil"/>
          <w:between w:val="nil"/>
          <w:bar w:val="nil"/>
        </w:pBdr>
        <w:spacing w:before="0" w:after="240"/>
        <w:rPr>
          <w:rFonts w:eastAsia="Arial Unicode MS"/>
        </w:rPr>
      </w:pPr>
      <w:r w:rsidRPr="00D24F82">
        <w:t xml:space="preserve">The recommendation for a Council decision will adhere to the </w:t>
      </w:r>
      <w:r w:rsidR="003F4116" w:rsidRPr="00D24F82">
        <w:t>provisions</w:t>
      </w:r>
      <w:r w:rsidRPr="00D24F82">
        <w:t xml:space="preserve"> already laid down in the EPA. The substantive addition</w:t>
      </w:r>
      <w:r w:rsidR="003F4116" w:rsidRPr="00D24F82">
        <w:t>s</w:t>
      </w:r>
      <w:r w:rsidRPr="00D24F82">
        <w:t xml:space="preserve"> will be the list of names of </w:t>
      </w:r>
      <w:r w:rsidR="003F4116" w:rsidRPr="00D24F82">
        <w:t xml:space="preserve">protected </w:t>
      </w:r>
      <w:r w:rsidRPr="00D24F82">
        <w:t>geographic</w:t>
      </w:r>
      <w:r w:rsidR="003F4116" w:rsidRPr="00D24F82">
        <w:t>al</w:t>
      </w:r>
      <w:r w:rsidRPr="00D24F82">
        <w:t xml:space="preserve"> indications and provisions on cooperation procedures. This is the minimum necessary to meet the requirements of the EPA.</w:t>
      </w:r>
    </w:p>
    <w:p w:rsidR="00E217C6" w:rsidRDefault="00E217C6" w:rsidP="0064141D">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r>
      <w:r>
        <w:rPr>
          <w:rFonts w:eastAsia="Arial Unicode MS"/>
          <w:u w:color="000000"/>
          <w:bdr w:val="nil"/>
          <w:lang w:val="en-US" w:eastAsia="en-GB"/>
        </w:rPr>
        <w:t>Choice of the instrument</w:t>
      </w:r>
    </w:p>
    <w:p w:rsidR="0064141D" w:rsidRPr="00D24F82" w:rsidRDefault="0064141D" w:rsidP="0064141D">
      <w:pPr>
        <w:pBdr>
          <w:top w:val="nil"/>
          <w:left w:val="nil"/>
          <w:bottom w:val="nil"/>
          <w:right w:val="nil"/>
          <w:between w:val="nil"/>
          <w:bar w:val="nil"/>
        </w:pBdr>
        <w:spacing w:before="0" w:after="240"/>
      </w:pPr>
      <w:r w:rsidRPr="00D24F82">
        <w:t>The chosen instrument, international agreement, is the only appropriate instrument for the purpose.</w:t>
      </w:r>
    </w:p>
    <w:p w:rsidR="00E217C6" w:rsidRPr="00550536" w:rsidRDefault="00E217C6" w:rsidP="0064141D">
      <w:pPr>
        <w:pStyle w:val="ManualHeading1"/>
      </w:pPr>
      <w:r w:rsidRPr="00550536">
        <w:lastRenderedPageBreak/>
        <w:t>3.</w:t>
      </w:r>
      <w:r w:rsidRPr="00550536">
        <w:tab/>
        <w:t>RESULTS OF EX-POST EVALUATIONS, STAKEHOLDER CONSULTATIONS AND IMPACT ASSESSMENTS</w:t>
      </w:r>
    </w:p>
    <w:p w:rsidR="00E217C6" w:rsidRDefault="00E217C6" w:rsidP="0064141D">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Ex-post evaluations/fitness checks</w:t>
      </w:r>
      <w:r>
        <w:rPr>
          <w:rFonts w:eastAsia="Arial Unicode MS"/>
          <w:u w:color="000000"/>
          <w:bdr w:val="nil"/>
          <w:lang w:val="en-US" w:eastAsia="en-GB"/>
        </w:rPr>
        <w:t xml:space="preserve"> of existing legislation</w:t>
      </w:r>
    </w:p>
    <w:p w:rsidR="0064141D" w:rsidRPr="00D24F82" w:rsidRDefault="0064141D" w:rsidP="0064141D">
      <w:pPr>
        <w:pBdr>
          <w:top w:val="nil"/>
          <w:left w:val="nil"/>
          <w:bottom w:val="nil"/>
          <w:right w:val="nil"/>
          <w:between w:val="nil"/>
          <w:bar w:val="nil"/>
        </w:pBdr>
        <w:spacing w:before="0" w:after="240"/>
      </w:pPr>
      <w:r w:rsidRPr="00D24F82">
        <w:t xml:space="preserve">Not applicable. </w:t>
      </w:r>
    </w:p>
    <w:p w:rsidR="0064141D" w:rsidRDefault="0064141D" w:rsidP="0064141D">
      <w:pPr>
        <w:pStyle w:val="ManualHeading2"/>
        <w:rPr>
          <w:rFonts w:eastAsia="Arial Unicode MS"/>
          <w:u w:color="000000"/>
          <w:bdr w:val="nil"/>
          <w:lang w:val="en-US" w:eastAsia="en-GB"/>
        </w:rPr>
      </w:pPr>
    </w:p>
    <w:p w:rsidR="00E217C6" w:rsidRDefault="00E217C6" w:rsidP="0064141D">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Stakeholder consultations</w:t>
      </w:r>
    </w:p>
    <w:p w:rsidR="0064141D" w:rsidRPr="00945DC0" w:rsidRDefault="0064141D" w:rsidP="00945DC0">
      <w:pPr>
        <w:pBdr>
          <w:top w:val="nil"/>
          <w:left w:val="nil"/>
          <w:bottom w:val="nil"/>
          <w:right w:val="nil"/>
          <w:between w:val="nil"/>
          <w:bar w:val="nil"/>
        </w:pBdr>
        <w:spacing w:before="0" w:after="240"/>
        <w:rPr>
          <w:rFonts w:eastAsia="Arial Unicode MS"/>
        </w:rPr>
      </w:pPr>
      <w:r w:rsidRPr="00D24F82">
        <w:t>Policy consultation</w:t>
      </w:r>
      <w:r w:rsidR="003F4116" w:rsidRPr="00D24F82">
        <w:t>s</w:t>
      </w:r>
      <w:r w:rsidRPr="00D24F82">
        <w:t xml:space="preserve"> took place with Member States and EP and through Council working groups and the relevant Committee of the EP. With CARIFORUM States and EU stakeholders consultation took place within the Consultative Committee of the CARIFORUM-EU EPA and via workshops and other GI related events (fairs, producer groups meetings etc.)</w:t>
      </w:r>
      <w:r w:rsidR="00945DC0" w:rsidRPr="00D24F82">
        <w:t xml:space="preserve">. </w:t>
      </w:r>
    </w:p>
    <w:p w:rsidR="00E217C6" w:rsidRDefault="00E217C6" w:rsidP="0064141D">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r>
      <w:r>
        <w:rPr>
          <w:rFonts w:eastAsia="Arial Unicode MS"/>
          <w:u w:color="000000"/>
          <w:bdr w:val="nil"/>
          <w:lang w:val="en-US" w:eastAsia="en-GB"/>
        </w:rPr>
        <w:t>Collection and use of expertise</w:t>
      </w:r>
    </w:p>
    <w:p w:rsidR="0038361B" w:rsidRPr="0038361B" w:rsidRDefault="0038361B" w:rsidP="0064141D">
      <w:pPr>
        <w:pStyle w:val="ManualHeading2"/>
        <w:rPr>
          <w:rFonts w:eastAsia="Arial Unicode MS"/>
          <w:b w:val="0"/>
          <w:u w:color="000000"/>
          <w:bdr w:val="nil"/>
          <w:lang w:val="en-US" w:eastAsia="en-GB"/>
        </w:rPr>
      </w:pPr>
      <w:r w:rsidRPr="0038361B">
        <w:rPr>
          <w:rFonts w:eastAsia="Arial Unicode MS"/>
          <w:b w:val="0"/>
          <w:u w:color="000000"/>
          <w:bdr w:val="nil"/>
          <w:lang w:val="en-US" w:eastAsia="en-GB"/>
        </w:rPr>
        <w:t xml:space="preserve">Not applicable. </w:t>
      </w:r>
    </w:p>
    <w:p w:rsidR="00E217C6" w:rsidRDefault="00E217C6" w:rsidP="0064141D">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Impact assessment</w:t>
      </w:r>
    </w:p>
    <w:p w:rsidR="00B55E3A" w:rsidRPr="00B55E3A" w:rsidRDefault="00B55E3A" w:rsidP="00B55E3A">
      <w:pPr>
        <w:pBdr>
          <w:top w:val="nil"/>
          <w:left w:val="nil"/>
          <w:bottom w:val="nil"/>
          <w:right w:val="nil"/>
          <w:between w:val="nil"/>
          <w:bar w:val="nil"/>
        </w:pBdr>
        <w:spacing w:before="0" w:after="240"/>
        <w:rPr>
          <w:rFonts w:eastAsia="Arial Unicode MS"/>
        </w:rPr>
      </w:pPr>
      <w:r w:rsidRPr="00D24F82">
        <w:t xml:space="preserve">No Impact Assessment will be carried out for the initiative as there are no alternative policy options. </w:t>
      </w:r>
    </w:p>
    <w:p w:rsidR="00E217C6" w:rsidRDefault="00E217C6" w:rsidP="0064141D">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Regulatory fitness and simplification</w:t>
      </w:r>
    </w:p>
    <w:p w:rsidR="00E217C6" w:rsidRPr="00B55E3A" w:rsidRDefault="00B55E3A" w:rsidP="0064141D">
      <w:pPr>
        <w:pBdr>
          <w:top w:val="nil"/>
          <w:left w:val="nil"/>
          <w:bottom w:val="nil"/>
          <w:right w:val="nil"/>
          <w:between w:val="nil"/>
          <w:bar w:val="nil"/>
        </w:pBdr>
        <w:spacing w:before="0" w:after="240"/>
        <w:rPr>
          <w:rFonts w:eastAsia="Arial Unicode MS"/>
        </w:rPr>
      </w:pPr>
      <w:r w:rsidRPr="00D24F82">
        <w:t xml:space="preserve">Not applicable. </w:t>
      </w:r>
    </w:p>
    <w:p w:rsidR="00E217C6" w:rsidRDefault="00E217C6" w:rsidP="0064141D">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Fundamental rights</w:t>
      </w:r>
    </w:p>
    <w:p w:rsidR="00E217C6" w:rsidRPr="00B55E3A" w:rsidRDefault="0044628B" w:rsidP="0064141D">
      <w:pPr>
        <w:pBdr>
          <w:top w:val="nil"/>
          <w:left w:val="nil"/>
          <w:bottom w:val="nil"/>
          <w:right w:val="nil"/>
          <w:between w:val="nil"/>
          <w:bar w:val="nil"/>
        </w:pBdr>
        <w:spacing w:before="0" w:after="240"/>
        <w:rPr>
          <w:rFonts w:eastAsia="Arial Unicode MS"/>
        </w:rPr>
      </w:pPr>
      <w:r w:rsidRPr="00D24F82">
        <w:t xml:space="preserve">Article 17(2) of the Charter of Fundamental Rights of the EU provides that intellectual property shall be protected, to which this agreement will contribute. </w:t>
      </w:r>
    </w:p>
    <w:p w:rsidR="00E217C6" w:rsidRDefault="00E217C6" w:rsidP="0064141D">
      <w:pPr>
        <w:pStyle w:val="ManualHeading1"/>
      </w:pPr>
      <w:r w:rsidRPr="00550536">
        <w:t>4.</w:t>
      </w:r>
      <w:r w:rsidRPr="00550536">
        <w:tab/>
        <w:t>BUDGETARY IMPLICATIONS</w:t>
      </w:r>
    </w:p>
    <w:p w:rsidR="00B55E3A" w:rsidRPr="00D24F82" w:rsidRDefault="00B55E3A" w:rsidP="00B55E3A">
      <w:pPr>
        <w:pBdr>
          <w:top w:val="nil"/>
          <w:left w:val="nil"/>
          <w:bottom w:val="nil"/>
          <w:right w:val="nil"/>
          <w:between w:val="nil"/>
          <w:bar w:val="nil"/>
        </w:pBdr>
        <w:spacing w:before="0" w:after="240"/>
      </w:pPr>
      <w:r w:rsidRPr="00D24F82">
        <w:t>No budgetary implications are foreseen.</w:t>
      </w:r>
    </w:p>
    <w:p w:rsidR="00E217C6" w:rsidRPr="00550536" w:rsidRDefault="00E217C6" w:rsidP="0064141D">
      <w:pPr>
        <w:pStyle w:val="ManualHeading1"/>
      </w:pPr>
      <w:r w:rsidRPr="00550536">
        <w:t>5.</w:t>
      </w:r>
      <w:r w:rsidRPr="00550536">
        <w:tab/>
        <w:t>OTHER ELEMENTS</w:t>
      </w:r>
    </w:p>
    <w:p w:rsidR="00E217C6" w:rsidRDefault="00E217C6" w:rsidP="0064141D">
      <w:pPr>
        <w:pStyle w:val="ManualHeading2"/>
        <w:rPr>
          <w:rFonts w:eastAsia="Arial Unicode MS"/>
          <w:u w:color="000000"/>
          <w:bdr w:val="nil"/>
          <w:lang w:val="en-US" w:eastAsia="en-GB"/>
        </w:rPr>
      </w:pPr>
      <w:r>
        <w:rPr>
          <w:rFonts w:eastAsia="Arial Unicode MS"/>
          <w:u w:color="000000"/>
          <w:bdr w:val="nil"/>
          <w:lang w:val="en-US" w:eastAsia="en-GB"/>
        </w:rPr>
        <w:t>•</w:t>
      </w:r>
      <w:r>
        <w:rPr>
          <w:rFonts w:eastAsia="Arial Unicode MS"/>
          <w:u w:color="000000"/>
          <w:bdr w:val="nil"/>
          <w:lang w:val="en-US" w:eastAsia="en-GB"/>
        </w:rPr>
        <w:tab/>
        <w:t xml:space="preserve">Implementation plans and </w:t>
      </w:r>
      <w:r w:rsidRPr="007718A8">
        <w:rPr>
          <w:rFonts w:eastAsia="Arial Unicode MS"/>
          <w:u w:color="000000"/>
          <w:bdr w:val="nil"/>
          <w:lang w:val="en-US" w:eastAsia="en-GB"/>
        </w:rPr>
        <w:t>monitoring, evaluation and reporting arrangements</w:t>
      </w:r>
    </w:p>
    <w:p w:rsidR="00E217C6" w:rsidRPr="00D24F82" w:rsidRDefault="00B55E3A" w:rsidP="0064141D">
      <w:pPr>
        <w:pBdr>
          <w:top w:val="nil"/>
          <w:left w:val="nil"/>
          <w:bottom w:val="nil"/>
          <w:right w:val="nil"/>
          <w:between w:val="nil"/>
          <w:bar w:val="nil"/>
        </w:pBdr>
        <w:spacing w:before="0" w:after="240"/>
      </w:pPr>
      <w:r w:rsidRPr="00D24F82">
        <w:t xml:space="preserve">The Agreement will be implemented within the </w:t>
      </w:r>
      <w:r w:rsidR="003F4116" w:rsidRPr="00D24F82">
        <w:t xml:space="preserve">existing </w:t>
      </w:r>
      <w:r w:rsidRPr="00D24F82">
        <w:t xml:space="preserve">EPA framework, using the committee and procedures already foreseen therein, details of which will be developed further in the Agreement. </w:t>
      </w:r>
    </w:p>
    <w:p w:rsidR="00E217C6" w:rsidRDefault="00E217C6" w:rsidP="00B55E3A">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Explanatory documents (for directives)</w:t>
      </w:r>
    </w:p>
    <w:p w:rsidR="00E217C6" w:rsidRPr="00945DC0" w:rsidRDefault="00B55E3A" w:rsidP="00945DC0">
      <w:pPr>
        <w:pStyle w:val="Text1"/>
        <w:ind w:left="0"/>
        <w:rPr>
          <w:lang w:val="en-US" w:eastAsia="en-GB"/>
        </w:rPr>
      </w:pPr>
      <w:r>
        <w:rPr>
          <w:lang w:val="en-US" w:eastAsia="en-GB"/>
        </w:rPr>
        <w:t xml:space="preserve">Not applicable. </w:t>
      </w:r>
    </w:p>
    <w:p w:rsidR="00E217C6" w:rsidRDefault="00E217C6" w:rsidP="0064141D">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 xml:space="preserve">Detailed explanation of </w:t>
      </w:r>
      <w:r>
        <w:rPr>
          <w:rFonts w:eastAsia="Arial Unicode MS"/>
          <w:u w:color="000000"/>
          <w:bdr w:val="nil"/>
          <w:lang w:val="en-US" w:eastAsia="en-GB"/>
        </w:rPr>
        <w:t xml:space="preserve">the </w:t>
      </w:r>
      <w:r w:rsidRPr="007718A8">
        <w:rPr>
          <w:rFonts w:eastAsia="Arial Unicode MS"/>
          <w:u w:color="000000"/>
          <w:bdr w:val="nil"/>
          <w:lang w:val="en-US" w:eastAsia="en-GB"/>
        </w:rPr>
        <w:t>specific provisions of the proposal</w:t>
      </w:r>
    </w:p>
    <w:p w:rsidR="00B55E3A" w:rsidRPr="00B55E3A" w:rsidRDefault="00B55E3A" w:rsidP="00B55E3A">
      <w:pPr>
        <w:pBdr>
          <w:top w:val="nil"/>
          <w:left w:val="nil"/>
          <w:bottom w:val="nil"/>
          <w:right w:val="nil"/>
          <w:between w:val="nil"/>
          <w:bar w:val="nil"/>
        </w:pBdr>
        <w:spacing w:before="0" w:after="240"/>
        <w:rPr>
          <w:rFonts w:eastAsia="Arial Unicode MS"/>
        </w:rPr>
      </w:pPr>
      <w:r w:rsidRPr="00D24F82">
        <w:t xml:space="preserve">Around 180 </w:t>
      </w:r>
      <w:r w:rsidR="003F4116" w:rsidRPr="00D24F82">
        <w:t xml:space="preserve">Union </w:t>
      </w:r>
      <w:r w:rsidRPr="00D24F82">
        <w:t xml:space="preserve">geographic indications will be protected against misuse and counterfeiting in CARIFORUM States and, up to 30 CARIFORUM States’ geographic indications will be protected in the Union. The Agreement will foresee regular updates of the list of </w:t>
      </w:r>
      <w:r w:rsidR="003F4116" w:rsidRPr="00D24F82">
        <w:t xml:space="preserve">the protected </w:t>
      </w:r>
      <w:r w:rsidRPr="00D24F82">
        <w:t>geographic</w:t>
      </w:r>
      <w:r w:rsidR="003F4116" w:rsidRPr="00D24F82">
        <w:t>al</w:t>
      </w:r>
      <w:r w:rsidRPr="00D24F82">
        <w:t xml:space="preserve"> indications, to ensure the reciprocal protection of new geographic</w:t>
      </w:r>
      <w:r w:rsidR="003F4116" w:rsidRPr="00D24F82">
        <w:t>al</w:t>
      </w:r>
      <w:r w:rsidRPr="00D24F82">
        <w:t xml:space="preserve"> indications.</w:t>
      </w:r>
    </w:p>
    <w:p w:rsidR="00E217C6" w:rsidRDefault="00E217C6" w:rsidP="0064141D">
      <w:pPr>
        <w:rPr>
          <w:noProof/>
        </w:rPr>
        <w:sectPr w:rsidR="00E217C6" w:rsidSect="009F089A">
          <w:footerReference w:type="default" r:id="rId16"/>
          <w:footerReference w:type="first" r:id="rId17"/>
          <w:pgSz w:w="11907" w:h="16839"/>
          <w:pgMar w:top="1134" w:right="1417" w:bottom="1134" w:left="1417" w:header="709" w:footer="709" w:gutter="0"/>
          <w:cols w:space="708"/>
          <w:docGrid w:linePitch="360"/>
        </w:sectPr>
      </w:pPr>
    </w:p>
    <w:p w:rsidR="00E217C6" w:rsidRDefault="009F089A" w:rsidP="009F089A">
      <w:pPr>
        <w:pStyle w:val="Statut"/>
        <w:rPr>
          <w:noProof/>
        </w:rPr>
      </w:pPr>
      <w:r w:rsidRPr="009F089A">
        <w:lastRenderedPageBreak/>
        <w:t>Recommendation for a</w:t>
      </w:r>
    </w:p>
    <w:p w:rsidR="00E217C6" w:rsidRDefault="009F089A" w:rsidP="009F089A">
      <w:pPr>
        <w:pStyle w:val="Typedudocument"/>
        <w:rPr>
          <w:noProof/>
        </w:rPr>
      </w:pPr>
      <w:r w:rsidRPr="009F089A">
        <w:t>COUNCIL DECISION</w:t>
      </w:r>
    </w:p>
    <w:p w:rsidR="00E217C6" w:rsidRDefault="009F089A" w:rsidP="009F089A">
      <w:pPr>
        <w:pStyle w:val="Titreobjet"/>
        <w:rPr>
          <w:noProof/>
        </w:rPr>
      </w:pPr>
      <w:r w:rsidRPr="009F089A">
        <w:t>authorising the European Commission to negotiate an Agreement with the CARIFORUM States to protect geographic indications based on Article 145 of the CARIFORUM - EU Economic Partnership Agreement</w:t>
      </w:r>
    </w:p>
    <w:p w:rsidR="007D2FE4" w:rsidRPr="00FD40BA" w:rsidRDefault="007D2FE4" w:rsidP="007D2FE4">
      <w:pPr>
        <w:pStyle w:val="Institutionquiagit"/>
      </w:pPr>
      <w:r w:rsidRPr="00FD40BA">
        <w:t xml:space="preserve">THE COUNCIL OF THE EUROPEAN </w:t>
      </w:r>
      <w:smartTag w:uri="urn:schemas-microsoft-com:office:smarttags" w:element="place">
        <w:r w:rsidRPr="00FD40BA">
          <w:t>UNION</w:t>
        </w:r>
      </w:smartTag>
      <w:r w:rsidRPr="00FD40BA">
        <w:t>,</w:t>
      </w:r>
    </w:p>
    <w:p w:rsidR="007D2FE4" w:rsidRPr="00FD40BA" w:rsidRDefault="007D2FE4" w:rsidP="007D2FE4">
      <w:r w:rsidRPr="00FD40BA">
        <w:t>Having regard to the Treaty on the Functioning of the European U</w:t>
      </w:r>
      <w:r>
        <w:t>nion, and in particular Article</w:t>
      </w:r>
      <w:r w:rsidRPr="00FD40BA">
        <w:t xml:space="preserve"> </w:t>
      </w:r>
      <w:r>
        <w:t xml:space="preserve">218(2) and (4) </w:t>
      </w:r>
      <w:r w:rsidRPr="00FD40BA">
        <w:t>thereof,</w:t>
      </w:r>
    </w:p>
    <w:p w:rsidR="007D2FE4" w:rsidRPr="00FD40BA" w:rsidRDefault="007D2FE4" w:rsidP="007D2FE4">
      <w:r w:rsidRPr="00FD40BA">
        <w:t xml:space="preserve">Having regard to the </w:t>
      </w:r>
      <w:r>
        <w:t>recommendation</w:t>
      </w:r>
      <w:r w:rsidRPr="00FD40BA">
        <w:t xml:space="preserve"> from the European Commission,</w:t>
      </w:r>
    </w:p>
    <w:p w:rsidR="007D2FE4" w:rsidRPr="00FD40BA" w:rsidRDefault="007D2FE4" w:rsidP="007D2FE4">
      <w:r w:rsidRPr="00FD40BA">
        <w:t>Whereas:</w:t>
      </w:r>
    </w:p>
    <w:p w:rsidR="007D2FE4" w:rsidRPr="00FD40BA" w:rsidRDefault="007D2FE4" w:rsidP="004274EE">
      <w:pPr>
        <w:pStyle w:val="Considrant"/>
        <w:numPr>
          <w:ilvl w:val="0"/>
          <w:numId w:val="5"/>
        </w:numPr>
      </w:pPr>
      <w:r w:rsidRPr="00D24F82">
        <w:t xml:space="preserve">Article 145 of the CARIFORUM – EU Economic Partnership Agreement </w:t>
      </w:r>
      <w:r>
        <w:t xml:space="preserve">provides that the parties shall establish a list of protected geographic indications as well as further details of the regime of their protection under the mentioned Agreement.  </w:t>
      </w:r>
    </w:p>
    <w:p w:rsidR="007D2FE4" w:rsidRPr="00FD40BA" w:rsidRDefault="007D2FE4" w:rsidP="00D24F82">
      <w:pPr>
        <w:pStyle w:val="Considrant"/>
      </w:pPr>
      <w:r>
        <w:t xml:space="preserve">To achieve this and to give full effect to Article 145 </w:t>
      </w:r>
      <w:r w:rsidRPr="00D24F82">
        <w:t xml:space="preserve">of the CARIFORUM – EU Economic Partnership Agreement </w:t>
      </w:r>
      <w:r>
        <w:t xml:space="preserve">the Commission needs to conduct negotiations with the </w:t>
      </w:r>
      <w:r w:rsidRPr="00761880">
        <w:t>CARIFORUM</w:t>
      </w:r>
      <w:r>
        <w:t xml:space="preserve"> States</w:t>
      </w:r>
      <w:r w:rsidR="00EF4E08">
        <w:t xml:space="preserve">. </w:t>
      </w:r>
    </w:p>
    <w:p w:rsidR="007D2FE4" w:rsidRPr="00FD40BA" w:rsidRDefault="007D2FE4" w:rsidP="007D2FE4">
      <w:pPr>
        <w:pStyle w:val="Formuledadoption"/>
      </w:pPr>
      <w:r w:rsidRPr="00FD40BA">
        <w:t xml:space="preserve">HAS ADOPTED THIS DECISION: </w:t>
      </w:r>
    </w:p>
    <w:p w:rsidR="007D2FE4" w:rsidRPr="00FD40BA" w:rsidRDefault="007D2FE4" w:rsidP="007D2FE4">
      <w:pPr>
        <w:pStyle w:val="Titrearticle"/>
      </w:pPr>
      <w:r w:rsidRPr="00FD40BA">
        <w:t>Article 1</w:t>
      </w:r>
    </w:p>
    <w:p w:rsidR="007D2FE4" w:rsidRPr="00761880" w:rsidRDefault="007D2FE4" w:rsidP="007D2FE4">
      <w:pPr>
        <w:keepLines/>
      </w:pPr>
      <w:r w:rsidRPr="00761880">
        <w:t xml:space="preserve">The </w:t>
      </w:r>
      <w:r w:rsidR="00797596">
        <w:t xml:space="preserve">European </w:t>
      </w:r>
      <w:r w:rsidRPr="00761880">
        <w:t xml:space="preserve">Commission is hereby authorised to negotiate with </w:t>
      </w:r>
      <w:r w:rsidR="0044628B">
        <w:t xml:space="preserve">the </w:t>
      </w:r>
      <w:r w:rsidRPr="00761880">
        <w:t xml:space="preserve">CARIFORUM States an Agreement to protect geographical indications based on </w:t>
      </w:r>
      <w:r w:rsidRPr="00D24F82">
        <w:t xml:space="preserve">Article 145 </w:t>
      </w:r>
      <w:r w:rsidR="0038361B" w:rsidRPr="00D24F82">
        <w:t xml:space="preserve">of the </w:t>
      </w:r>
      <w:r w:rsidR="00EF4E08">
        <w:t xml:space="preserve">CARIFORUM-EU </w:t>
      </w:r>
      <w:r w:rsidR="00EF4E08" w:rsidRPr="00D24F82">
        <w:t>Economic Partnership Agreement</w:t>
      </w:r>
      <w:r w:rsidR="00797596" w:rsidRPr="00D24F82">
        <w:t>,</w:t>
      </w:r>
      <w:r w:rsidR="00EF4E08" w:rsidRPr="00D24F82">
        <w:t xml:space="preserve"> </w:t>
      </w:r>
      <w:r>
        <w:t>including establishing a list of protected geographic</w:t>
      </w:r>
      <w:r w:rsidR="003F4116">
        <w:t>al</w:t>
      </w:r>
      <w:r>
        <w:t xml:space="preserve"> indications</w:t>
      </w:r>
      <w:r w:rsidR="00797596">
        <w:t>, in line with the directives set out in the Annex</w:t>
      </w:r>
      <w:r>
        <w:t>.</w:t>
      </w:r>
    </w:p>
    <w:p w:rsidR="007D2FE4" w:rsidRPr="00FD40BA" w:rsidRDefault="007D2FE4" w:rsidP="007D2FE4">
      <w:pPr>
        <w:keepLines/>
      </w:pPr>
    </w:p>
    <w:p w:rsidR="007D2FE4" w:rsidRPr="00761880" w:rsidRDefault="007D2FE4" w:rsidP="007D2FE4">
      <w:pPr>
        <w:pStyle w:val="Titrearticle"/>
        <w:keepNext w:val="0"/>
      </w:pPr>
      <w:r w:rsidRPr="00761880">
        <w:t xml:space="preserve">Article </w:t>
      </w:r>
      <w:r w:rsidRPr="00D24F82">
        <w:t>2</w:t>
      </w:r>
    </w:p>
    <w:p w:rsidR="007D2FE4" w:rsidRDefault="007D2FE4" w:rsidP="007D2FE4">
      <w:pPr>
        <w:keepLines/>
      </w:pPr>
      <w:r w:rsidRPr="00FD40BA">
        <w:t xml:space="preserve">This Decision shall enter into force on the </w:t>
      </w:r>
      <w:r>
        <w:t>d</w:t>
      </w:r>
      <w:r w:rsidRPr="00FD40BA">
        <w:t xml:space="preserve">ay </w:t>
      </w:r>
      <w:r>
        <w:t>of its adoption</w:t>
      </w:r>
      <w:r w:rsidR="00EF4E08">
        <w:t>.</w:t>
      </w:r>
    </w:p>
    <w:p w:rsidR="007D2FE4" w:rsidRDefault="009F089A" w:rsidP="009F089A">
      <w:pPr>
        <w:pStyle w:val="Fait"/>
      </w:pPr>
      <w:r w:rsidRPr="009F089A">
        <w:t>Done at Brussels,</w:t>
      </w:r>
    </w:p>
    <w:p w:rsidR="00E217C6" w:rsidRDefault="00E217C6" w:rsidP="00E217C6">
      <w:pPr>
        <w:pStyle w:val="Institutionquisigne"/>
      </w:pPr>
      <w:r w:rsidRPr="00E217C6">
        <w:tab/>
        <w:t>For the Council</w:t>
      </w:r>
    </w:p>
    <w:p w:rsidR="00E217C6" w:rsidRPr="009F089A" w:rsidRDefault="00E217C6" w:rsidP="00E217C6">
      <w:pPr>
        <w:pStyle w:val="Personnequisigne"/>
      </w:pPr>
      <w:r w:rsidRPr="00E217C6">
        <w:tab/>
        <w:t>The President</w:t>
      </w:r>
    </w:p>
    <w:sectPr w:rsidR="00E217C6" w:rsidRPr="009F089A" w:rsidSect="009F089A">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28B" w:rsidRDefault="0044628B" w:rsidP="00E217C6">
      <w:pPr>
        <w:spacing w:before="0" w:after="0"/>
      </w:pPr>
      <w:r>
        <w:separator/>
      </w:r>
    </w:p>
  </w:endnote>
  <w:endnote w:type="continuationSeparator" w:id="0">
    <w:p w:rsidR="0044628B" w:rsidRDefault="0044628B" w:rsidP="00E217C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89A" w:rsidRPr="009F089A" w:rsidRDefault="009F089A" w:rsidP="009F08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15B" w:rsidRPr="009F089A" w:rsidRDefault="009F089A" w:rsidP="009F089A">
    <w:pPr>
      <w:pStyle w:val="Footer"/>
      <w:rPr>
        <w:rFonts w:ascii="Arial" w:hAnsi="Arial" w:cs="Arial"/>
        <w:b/>
        <w:sz w:val="48"/>
      </w:rPr>
    </w:pPr>
    <w:r w:rsidRPr="009F089A">
      <w:rPr>
        <w:rFonts w:ascii="Arial" w:hAnsi="Arial" w:cs="Arial"/>
        <w:b/>
        <w:sz w:val="48"/>
      </w:rPr>
      <w:t>EN</w:t>
    </w:r>
    <w:r w:rsidRPr="009F089A">
      <w:rPr>
        <w:rFonts w:ascii="Arial" w:hAnsi="Arial" w:cs="Arial"/>
        <w:b/>
        <w:sz w:val="48"/>
      </w:rPr>
      <w:tab/>
    </w:r>
    <w:r w:rsidRPr="009F089A">
      <w:rPr>
        <w:rFonts w:ascii="Arial" w:hAnsi="Arial" w:cs="Arial"/>
        <w:b/>
        <w:sz w:val="48"/>
      </w:rPr>
      <w:tab/>
    </w:r>
    <w:fldSimple w:instr=" DOCVARIABLE &quot;LW_Confidence&quot; \* MERGEFORMAT ">
      <w:r>
        <w:t xml:space="preserve"> </w:t>
      </w:r>
    </w:fldSimple>
    <w:r w:rsidRPr="009F089A">
      <w:tab/>
    </w:r>
    <w:r w:rsidRPr="009F089A">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89A" w:rsidRPr="009F089A" w:rsidRDefault="009F089A" w:rsidP="009F089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89A" w:rsidRPr="009F089A" w:rsidRDefault="009F089A" w:rsidP="009F089A">
    <w:pPr>
      <w:pStyle w:val="Footer"/>
      <w:rPr>
        <w:rFonts w:ascii="Arial" w:hAnsi="Arial" w:cs="Arial"/>
        <w:b/>
        <w:sz w:val="48"/>
      </w:rPr>
    </w:pPr>
    <w:r w:rsidRPr="009F089A">
      <w:rPr>
        <w:rFonts w:ascii="Arial" w:hAnsi="Arial" w:cs="Arial"/>
        <w:b/>
        <w:sz w:val="48"/>
      </w:rPr>
      <w:t>EN</w:t>
    </w:r>
    <w:r w:rsidRPr="009F089A">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fldSimple w:instr=" DOCVARIABLE &quot;LW_Confidence&quot; \* MERGEFORMAT ">
      <w:r>
        <w:t xml:space="preserve"> </w:t>
      </w:r>
    </w:fldSimple>
    <w:r w:rsidRPr="009F089A">
      <w:tab/>
    </w:r>
    <w:r w:rsidRPr="009F089A">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89A" w:rsidRPr="009F089A" w:rsidRDefault="009F089A" w:rsidP="009F08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28B" w:rsidRDefault="0044628B" w:rsidP="00E217C6">
      <w:pPr>
        <w:spacing w:before="0" w:after="0"/>
      </w:pPr>
      <w:r>
        <w:separator/>
      </w:r>
    </w:p>
  </w:footnote>
  <w:footnote w:type="continuationSeparator" w:id="0">
    <w:p w:rsidR="0044628B" w:rsidRDefault="0044628B" w:rsidP="00E217C6">
      <w:pPr>
        <w:spacing w:before="0" w:after="0"/>
      </w:pPr>
      <w:r>
        <w:continuationSeparator/>
      </w:r>
    </w:p>
  </w:footnote>
  <w:footnote w:id="1">
    <w:p w:rsidR="006D127D" w:rsidRPr="00756D99" w:rsidRDefault="006D127D">
      <w:pPr>
        <w:pStyle w:val="FootnoteText"/>
        <w:rPr>
          <w:lang w:val="de-DE"/>
        </w:rPr>
      </w:pPr>
      <w:r w:rsidRPr="00D24F82">
        <w:rPr>
          <w:rStyle w:val="FootnoteReference"/>
        </w:rPr>
        <w:footnoteRef/>
      </w:r>
      <w:r w:rsidR="00D24F82">
        <w:tab/>
      </w:r>
      <w:r>
        <w:rPr>
          <w:lang w:val="de-DE"/>
        </w:rPr>
        <w:t xml:space="preserve">Economic Partnership Agreement between the CARIFORUM States, oft he one part, and the European Community and ist Member States , of the other part, OJ L289/3, 30.10. 2008.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89A" w:rsidRPr="009F089A" w:rsidRDefault="009F089A" w:rsidP="009F08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15B" w:rsidRPr="009F089A" w:rsidRDefault="007E215B" w:rsidP="009F08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89A" w:rsidRPr="009F089A" w:rsidRDefault="009F089A" w:rsidP="009F08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190A6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D9A9B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CEBE0E40"/>
    <w:lvl w:ilvl="0">
      <w:start w:val="1"/>
      <w:numFmt w:val="decimal"/>
      <w:pStyle w:val="ListNumber2"/>
      <w:lvlText w:val="%1."/>
      <w:lvlJc w:val="left"/>
      <w:pPr>
        <w:tabs>
          <w:tab w:val="num" w:pos="643"/>
        </w:tabs>
        <w:ind w:left="643" w:hanging="360"/>
      </w:pPr>
    </w:lvl>
  </w:abstractNum>
  <w:abstractNum w:abstractNumId="3">
    <w:nsid w:val="FFFFFF81"/>
    <w:multiLevelType w:val="singleLevel"/>
    <w:tmpl w:val="8F4E47A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C5AC16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AE4AED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74CC884"/>
    <w:lvl w:ilvl="0">
      <w:start w:val="1"/>
      <w:numFmt w:val="decimal"/>
      <w:pStyle w:val="ListNumber"/>
      <w:lvlText w:val="%1."/>
      <w:lvlJc w:val="left"/>
      <w:pPr>
        <w:tabs>
          <w:tab w:val="num" w:pos="360"/>
        </w:tabs>
        <w:ind w:left="360" w:hanging="360"/>
      </w:pPr>
    </w:lvl>
  </w:abstractNum>
  <w:abstractNum w:abstractNumId="7">
    <w:nsid w:val="FFFFFF89"/>
    <w:multiLevelType w:val="singleLevel"/>
    <w:tmpl w:val="8264B29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doNotTrackMoves/>
  <w:defaultTabStop w:val="720"/>
  <w:characterSpacingControl w:val="doNotCompress"/>
  <w:hdrShapeDefaults>
    <o:shapedefaults v:ext="edit" spidmax="1843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QCDateTime" w:val="2017-08-18 11:12:5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D0A28E518E97400CA939F4A927105D84"/>
    <w:docVar w:name="LW_CROSSREFERENCE" w:val="&lt;UNUSED&gt;"/>
    <w:docVar w:name="LW_DocType" w:val="COM"/>
    <w:docVar w:name="LW_EMISSION" w:val="2.10.2017"/>
    <w:docVar w:name="LW_EMISSION_ISODATE" w:val="2017-10-02"/>
    <w:docVar w:name="LW_EMISSION_LOCATION" w:val="BRX"/>
    <w:docVar w:name="LW_EMISSION_PREFIX" w:val="Brussels, "/>
    <w:docVar w:name="LW_EMISSION_SUFFIX" w:val=" "/>
    <w:docVar w:name="LW_ID_DOCMODEL" w:val="SG-001"/>
    <w:docVar w:name="LW_ID_DOCSIGNATURE" w:val="SG-001"/>
    <w:docVar w:name="LW_ID_DOCSTRUCTURE" w:val="COM/PL/ORG"/>
    <w:docVar w:name="LW_ID_DOCTYPE" w:val="SG-001"/>
    <w:docVar w:name="LW_ID_STATUT" w:val="SG-001"/>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57"/>
    <w:docVar w:name="LW_REF.INTERNE" w:val="&lt;UNUSED&gt;"/>
    <w:docVar w:name="LW_SOUS.TITRE.OBJ.CP" w:val="&lt;UNUSED&gt;"/>
    <w:docVar w:name="LW_STATUT.CP" w:val="Recommendation for a"/>
    <w:docVar w:name="LW_SUPERTITRE" w:val="&lt;UNUSED&gt;"/>
    <w:docVar w:name="LW_TITRE.OBJ.CP" w:val="authorising the European Commission to negotiate an Agreement with the CARIFORUM States to protect geographic indications based on Article 145 of the CARIFORUM - EU Economic Partnership Agreement"/>
    <w:docVar w:name="LW_TYPE.DOC.CP" w:val="COUNCIL DECISION"/>
  </w:docVars>
  <w:rsids>
    <w:rsidRoot w:val="00E217C6"/>
    <w:rsid w:val="000D3B73"/>
    <w:rsid w:val="00171635"/>
    <w:rsid w:val="0017230C"/>
    <w:rsid w:val="00204B09"/>
    <w:rsid w:val="00274C37"/>
    <w:rsid w:val="002B39FD"/>
    <w:rsid w:val="0034445E"/>
    <w:rsid w:val="00344E97"/>
    <w:rsid w:val="0038361B"/>
    <w:rsid w:val="003979C8"/>
    <w:rsid w:val="003A0FF3"/>
    <w:rsid w:val="003C33DE"/>
    <w:rsid w:val="003F4116"/>
    <w:rsid w:val="004274EE"/>
    <w:rsid w:val="0044628B"/>
    <w:rsid w:val="004669D7"/>
    <w:rsid w:val="00495890"/>
    <w:rsid w:val="00503993"/>
    <w:rsid w:val="005F795C"/>
    <w:rsid w:val="0064141D"/>
    <w:rsid w:val="00673264"/>
    <w:rsid w:val="006C48CD"/>
    <w:rsid w:val="006D127D"/>
    <w:rsid w:val="006D4955"/>
    <w:rsid w:val="0070126C"/>
    <w:rsid w:val="00715D61"/>
    <w:rsid w:val="00720A88"/>
    <w:rsid w:val="00756D99"/>
    <w:rsid w:val="007608CB"/>
    <w:rsid w:val="00797596"/>
    <w:rsid w:val="007D01AF"/>
    <w:rsid w:val="007D2FE4"/>
    <w:rsid w:val="007D53B6"/>
    <w:rsid w:val="007E215B"/>
    <w:rsid w:val="00872380"/>
    <w:rsid w:val="008D6E02"/>
    <w:rsid w:val="008E3C1B"/>
    <w:rsid w:val="00945DC0"/>
    <w:rsid w:val="009A4B50"/>
    <w:rsid w:val="009D1696"/>
    <w:rsid w:val="009F089A"/>
    <w:rsid w:val="00A30C4A"/>
    <w:rsid w:val="00B04DCA"/>
    <w:rsid w:val="00B44CFD"/>
    <w:rsid w:val="00B55E3A"/>
    <w:rsid w:val="00B64F91"/>
    <w:rsid w:val="00C120E1"/>
    <w:rsid w:val="00D24F82"/>
    <w:rsid w:val="00E217C6"/>
    <w:rsid w:val="00EC3CF3"/>
    <w:rsid w:val="00EF4E08"/>
    <w:rsid w:val="00F70867"/>
    <w:rsid w:val="00F87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en-GB"/>
    </w:rPr>
  </w:style>
  <w:style w:type="paragraph" w:styleId="Heading1">
    <w:name w:val="heading 1"/>
    <w:basedOn w:val="Normal"/>
    <w:next w:val="Text1"/>
    <w:link w:val="Heading1Char"/>
    <w:uiPriority w:val="9"/>
    <w:qFormat/>
    <w:rsid w:val="007D53B6"/>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44628B"/>
    <w:pPr>
      <w:numPr>
        <w:numId w:val="1"/>
      </w:numPr>
      <w:contextualSpacing/>
    </w:pPr>
  </w:style>
  <w:style w:type="paragraph" w:styleId="ListBullet2">
    <w:name w:val="List Bullet 2"/>
    <w:basedOn w:val="Normal"/>
    <w:uiPriority w:val="99"/>
    <w:semiHidden/>
    <w:unhideWhenUsed/>
    <w:rsid w:val="0044628B"/>
    <w:pPr>
      <w:numPr>
        <w:numId w:val="2"/>
      </w:numPr>
      <w:contextualSpacing/>
    </w:pPr>
  </w:style>
  <w:style w:type="paragraph" w:styleId="ListBullet3">
    <w:name w:val="List Bullet 3"/>
    <w:basedOn w:val="Normal"/>
    <w:uiPriority w:val="99"/>
    <w:semiHidden/>
    <w:unhideWhenUsed/>
    <w:rsid w:val="0044628B"/>
    <w:pPr>
      <w:numPr>
        <w:numId w:val="3"/>
      </w:numPr>
      <w:contextualSpacing/>
    </w:pPr>
  </w:style>
  <w:style w:type="paragraph" w:styleId="ListBullet4">
    <w:name w:val="List Bullet 4"/>
    <w:basedOn w:val="Normal"/>
    <w:uiPriority w:val="99"/>
    <w:semiHidden/>
    <w:unhideWhenUsed/>
    <w:rsid w:val="0044628B"/>
    <w:pPr>
      <w:numPr>
        <w:numId w:val="4"/>
      </w:numPr>
      <w:contextualSpacing/>
    </w:pPr>
  </w:style>
  <w:style w:type="character" w:styleId="CommentReference">
    <w:name w:val="annotation reference"/>
    <w:uiPriority w:val="99"/>
    <w:semiHidden/>
    <w:unhideWhenUsed/>
    <w:rsid w:val="0044628B"/>
    <w:rPr>
      <w:sz w:val="16"/>
      <w:szCs w:val="16"/>
    </w:rPr>
  </w:style>
  <w:style w:type="paragraph" w:styleId="CommentText">
    <w:name w:val="annotation text"/>
    <w:basedOn w:val="Normal"/>
    <w:link w:val="CommentTextChar"/>
    <w:uiPriority w:val="99"/>
    <w:semiHidden/>
    <w:unhideWhenUsed/>
    <w:rsid w:val="0044628B"/>
    <w:rPr>
      <w:sz w:val="20"/>
      <w:szCs w:val="20"/>
    </w:rPr>
  </w:style>
  <w:style w:type="character" w:customStyle="1" w:styleId="CommentTextChar">
    <w:name w:val="Comment Text Char"/>
    <w:link w:val="CommentText"/>
    <w:uiPriority w:val="99"/>
    <w:semiHidden/>
    <w:rsid w:val="0044628B"/>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44628B"/>
    <w:rPr>
      <w:b/>
      <w:bCs/>
    </w:rPr>
  </w:style>
  <w:style w:type="character" w:customStyle="1" w:styleId="CommentSubjectChar">
    <w:name w:val="Comment Subject Char"/>
    <w:link w:val="CommentSubject"/>
    <w:uiPriority w:val="99"/>
    <w:semiHidden/>
    <w:rsid w:val="0044628B"/>
    <w:rPr>
      <w:rFonts w:ascii="Times New Roman" w:hAnsi="Times New Roman"/>
      <w:b/>
      <w:bCs/>
      <w:lang w:val="en-GB"/>
    </w:rPr>
  </w:style>
  <w:style w:type="paragraph" w:styleId="BalloonText">
    <w:name w:val="Balloon Text"/>
    <w:basedOn w:val="Normal"/>
    <w:link w:val="BalloonTextChar"/>
    <w:uiPriority w:val="99"/>
    <w:semiHidden/>
    <w:unhideWhenUsed/>
    <w:rsid w:val="0044628B"/>
    <w:pPr>
      <w:spacing w:before="0" w:after="0"/>
    </w:pPr>
    <w:rPr>
      <w:rFonts w:ascii="Tahoma" w:hAnsi="Tahoma" w:cs="Tahoma"/>
      <w:sz w:val="16"/>
      <w:szCs w:val="16"/>
    </w:rPr>
  </w:style>
  <w:style w:type="character" w:customStyle="1" w:styleId="BalloonTextChar">
    <w:name w:val="Balloon Text Char"/>
    <w:link w:val="BalloonText"/>
    <w:uiPriority w:val="99"/>
    <w:semiHidden/>
    <w:rsid w:val="0044628B"/>
    <w:rPr>
      <w:rFonts w:ascii="Tahoma" w:hAnsi="Tahoma" w:cs="Tahoma"/>
      <w:sz w:val="16"/>
      <w:szCs w:val="16"/>
      <w:lang w:val="en-GB"/>
    </w:rPr>
  </w:style>
  <w:style w:type="paragraph" w:styleId="Caption">
    <w:name w:val="caption"/>
    <w:basedOn w:val="Normal"/>
    <w:next w:val="Normal"/>
    <w:uiPriority w:val="35"/>
    <w:semiHidden/>
    <w:unhideWhenUsed/>
    <w:qFormat/>
    <w:rsid w:val="00274C37"/>
    <w:rPr>
      <w:b/>
      <w:bCs/>
      <w:sz w:val="20"/>
      <w:szCs w:val="20"/>
    </w:rPr>
  </w:style>
  <w:style w:type="paragraph" w:styleId="TableofFigures">
    <w:name w:val="table of figures"/>
    <w:basedOn w:val="Normal"/>
    <w:next w:val="Normal"/>
    <w:uiPriority w:val="99"/>
    <w:semiHidden/>
    <w:unhideWhenUsed/>
    <w:rsid w:val="00274C37"/>
  </w:style>
  <w:style w:type="paragraph" w:styleId="ListNumber">
    <w:name w:val="List Number"/>
    <w:basedOn w:val="Normal"/>
    <w:uiPriority w:val="99"/>
    <w:semiHidden/>
    <w:unhideWhenUsed/>
    <w:rsid w:val="00274C37"/>
    <w:pPr>
      <w:numPr>
        <w:numId w:val="6"/>
      </w:numPr>
      <w:contextualSpacing/>
    </w:pPr>
  </w:style>
  <w:style w:type="paragraph" w:styleId="ListNumber2">
    <w:name w:val="List Number 2"/>
    <w:basedOn w:val="Normal"/>
    <w:uiPriority w:val="99"/>
    <w:semiHidden/>
    <w:unhideWhenUsed/>
    <w:rsid w:val="00274C37"/>
    <w:pPr>
      <w:numPr>
        <w:numId w:val="7"/>
      </w:numPr>
      <w:contextualSpacing/>
    </w:pPr>
  </w:style>
  <w:style w:type="paragraph" w:styleId="ListNumber3">
    <w:name w:val="List Number 3"/>
    <w:basedOn w:val="Normal"/>
    <w:uiPriority w:val="99"/>
    <w:semiHidden/>
    <w:unhideWhenUsed/>
    <w:rsid w:val="00274C37"/>
    <w:pPr>
      <w:numPr>
        <w:numId w:val="8"/>
      </w:numPr>
      <w:contextualSpacing/>
    </w:pPr>
  </w:style>
  <w:style w:type="paragraph" w:styleId="ListNumber4">
    <w:name w:val="List Number 4"/>
    <w:basedOn w:val="Normal"/>
    <w:uiPriority w:val="99"/>
    <w:semiHidden/>
    <w:unhideWhenUsed/>
    <w:rsid w:val="00274C37"/>
    <w:pPr>
      <w:numPr>
        <w:numId w:val="9"/>
      </w:numPr>
      <w:contextualSpacing/>
    </w:pPr>
  </w:style>
  <w:style w:type="character" w:styleId="Hyperlink">
    <w:name w:val="Hyperlink"/>
    <w:uiPriority w:val="99"/>
    <w:unhideWhenUsed/>
    <w:rsid w:val="00D24F82"/>
    <w:rPr>
      <w:color w:val="0000FF"/>
      <w:u w:val="single"/>
    </w:rPr>
  </w:style>
  <w:style w:type="paragraph" w:styleId="Header">
    <w:name w:val="header"/>
    <w:basedOn w:val="Normal"/>
    <w:link w:val="HeaderChar"/>
    <w:uiPriority w:val="99"/>
    <w:unhideWhenUsed/>
    <w:rsid w:val="009F089A"/>
    <w:pPr>
      <w:tabs>
        <w:tab w:val="center" w:pos="4535"/>
        <w:tab w:val="right" w:pos="9071"/>
      </w:tabs>
      <w:spacing w:before="0"/>
    </w:pPr>
  </w:style>
  <w:style w:type="character" w:customStyle="1" w:styleId="HeaderChar">
    <w:name w:val="Header Char"/>
    <w:link w:val="Header"/>
    <w:uiPriority w:val="99"/>
    <w:rsid w:val="009F089A"/>
    <w:rPr>
      <w:rFonts w:ascii="Times New Roman" w:hAnsi="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9F089A"/>
    <w:pPr>
      <w:tabs>
        <w:tab w:val="center" w:pos="7285"/>
        <w:tab w:val="right" w:pos="14003"/>
      </w:tabs>
      <w:spacing w:before="0"/>
    </w:pPr>
    <w:rPr>
      <w:rFonts w:eastAsiaTheme="minorHAnsi"/>
    </w:r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4"/>
      </w:numPr>
    </w:pPr>
  </w:style>
  <w:style w:type="paragraph" w:customStyle="1" w:styleId="Tiret1">
    <w:name w:val="Tiret 1"/>
    <w:basedOn w:val="Point1"/>
    <w:rsid w:val="007D53B6"/>
    <w:pPr>
      <w:numPr>
        <w:numId w:val="25"/>
      </w:numPr>
    </w:pPr>
  </w:style>
  <w:style w:type="paragraph" w:customStyle="1" w:styleId="Tiret2">
    <w:name w:val="Tiret 2"/>
    <w:basedOn w:val="Point2"/>
    <w:rsid w:val="007D53B6"/>
    <w:pPr>
      <w:numPr>
        <w:numId w:val="26"/>
      </w:numPr>
    </w:pPr>
  </w:style>
  <w:style w:type="paragraph" w:customStyle="1" w:styleId="Tiret3">
    <w:name w:val="Tiret 3"/>
    <w:basedOn w:val="Point3"/>
    <w:rsid w:val="007D53B6"/>
    <w:pPr>
      <w:numPr>
        <w:numId w:val="27"/>
      </w:numPr>
    </w:pPr>
  </w:style>
  <w:style w:type="paragraph" w:customStyle="1" w:styleId="Tiret4">
    <w:name w:val="Tiret 4"/>
    <w:basedOn w:val="Point4"/>
    <w:rsid w:val="007D53B6"/>
    <w:pPr>
      <w:numPr>
        <w:numId w:val="28"/>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29"/>
      </w:numPr>
    </w:pPr>
  </w:style>
  <w:style w:type="paragraph" w:customStyle="1" w:styleId="NumPar2">
    <w:name w:val="NumPar 2"/>
    <w:basedOn w:val="Normal"/>
    <w:next w:val="Text1"/>
    <w:rsid w:val="007D53B6"/>
    <w:pPr>
      <w:numPr>
        <w:ilvl w:val="1"/>
        <w:numId w:val="29"/>
      </w:numPr>
    </w:pPr>
  </w:style>
  <w:style w:type="paragraph" w:customStyle="1" w:styleId="NumPar3">
    <w:name w:val="NumPar 3"/>
    <w:basedOn w:val="Normal"/>
    <w:next w:val="Text1"/>
    <w:rsid w:val="007D53B6"/>
    <w:pPr>
      <w:numPr>
        <w:ilvl w:val="2"/>
        <w:numId w:val="29"/>
      </w:numPr>
    </w:pPr>
  </w:style>
  <w:style w:type="paragraph" w:customStyle="1" w:styleId="NumPar4">
    <w:name w:val="NumPar 4"/>
    <w:basedOn w:val="Normal"/>
    <w:next w:val="Text1"/>
    <w:rsid w:val="007D53B6"/>
    <w:pPr>
      <w:numPr>
        <w:ilvl w:val="3"/>
        <w:numId w:val="29"/>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1"/>
      </w:numPr>
    </w:pPr>
  </w:style>
  <w:style w:type="paragraph" w:customStyle="1" w:styleId="Point1number">
    <w:name w:val="Point 1 (number)"/>
    <w:basedOn w:val="Normal"/>
    <w:rsid w:val="007D53B6"/>
    <w:pPr>
      <w:numPr>
        <w:ilvl w:val="2"/>
        <w:numId w:val="31"/>
      </w:numPr>
    </w:pPr>
  </w:style>
  <w:style w:type="paragraph" w:customStyle="1" w:styleId="Point2number">
    <w:name w:val="Point 2 (number)"/>
    <w:basedOn w:val="Normal"/>
    <w:rsid w:val="007D53B6"/>
    <w:pPr>
      <w:numPr>
        <w:ilvl w:val="4"/>
        <w:numId w:val="31"/>
      </w:numPr>
    </w:pPr>
  </w:style>
  <w:style w:type="paragraph" w:customStyle="1" w:styleId="Point3number">
    <w:name w:val="Point 3 (number)"/>
    <w:basedOn w:val="Normal"/>
    <w:rsid w:val="007D53B6"/>
    <w:pPr>
      <w:numPr>
        <w:ilvl w:val="6"/>
        <w:numId w:val="31"/>
      </w:numPr>
    </w:pPr>
  </w:style>
  <w:style w:type="paragraph" w:customStyle="1" w:styleId="Point0letter">
    <w:name w:val="Point 0 (letter)"/>
    <w:basedOn w:val="Normal"/>
    <w:rsid w:val="007D53B6"/>
    <w:pPr>
      <w:numPr>
        <w:ilvl w:val="1"/>
        <w:numId w:val="31"/>
      </w:numPr>
    </w:pPr>
  </w:style>
  <w:style w:type="paragraph" w:customStyle="1" w:styleId="Point1letter">
    <w:name w:val="Point 1 (letter)"/>
    <w:basedOn w:val="Normal"/>
    <w:rsid w:val="007D53B6"/>
    <w:pPr>
      <w:numPr>
        <w:ilvl w:val="3"/>
        <w:numId w:val="31"/>
      </w:numPr>
    </w:pPr>
  </w:style>
  <w:style w:type="paragraph" w:customStyle="1" w:styleId="Point2letter">
    <w:name w:val="Point 2 (letter)"/>
    <w:basedOn w:val="Normal"/>
    <w:rsid w:val="007D53B6"/>
    <w:pPr>
      <w:numPr>
        <w:ilvl w:val="5"/>
        <w:numId w:val="31"/>
      </w:numPr>
    </w:pPr>
  </w:style>
  <w:style w:type="paragraph" w:customStyle="1" w:styleId="Point3letter">
    <w:name w:val="Point 3 (letter)"/>
    <w:basedOn w:val="Normal"/>
    <w:rsid w:val="007D53B6"/>
    <w:pPr>
      <w:numPr>
        <w:ilvl w:val="7"/>
        <w:numId w:val="31"/>
      </w:numPr>
    </w:pPr>
  </w:style>
  <w:style w:type="paragraph" w:customStyle="1" w:styleId="Point4letter">
    <w:name w:val="Point 4 (letter)"/>
    <w:basedOn w:val="Normal"/>
    <w:rsid w:val="007D53B6"/>
    <w:pPr>
      <w:numPr>
        <w:ilvl w:val="8"/>
        <w:numId w:val="31"/>
      </w:numPr>
    </w:pPr>
  </w:style>
  <w:style w:type="paragraph" w:customStyle="1" w:styleId="Bullet0">
    <w:name w:val="Bullet 0"/>
    <w:basedOn w:val="Normal"/>
    <w:rsid w:val="007D53B6"/>
    <w:pPr>
      <w:numPr>
        <w:numId w:val="32"/>
      </w:numPr>
    </w:pPr>
  </w:style>
  <w:style w:type="paragraph" w:customStyle="1" w:styleId="Bullet1">
    <w:name w:val="Bullet 1"/>
    <w:basedOn w:val="Normal"/>
    <w:rsid w:val="007D53B6"/>
    <w:pPr>
      <w:numPr>
        <w:numId w:val="33"/>
      </w:numPr>
    </w:pPr>
  </w:style>
  <w:style w:type="paragraph" w:customStyle="1" w:styleId="Bullet2">
    <w:name w:val="Bullet 2"/>
    <w:basedOn w:val="Normal"/>
    <w:rsid w:val="007D53B6"/>
    <w:pPr>
      <w:numPr>
        <w:numId w:val="34"/>
      </w:numPr>
    </w:pPr>
  </w:style>
  <w:style w:type="paragraph" w:customStyle="1" w:styleId="Bullet3">
    <w:name w:val="Bullet 3"/>
    <w:basedOn w:val="Normal"/>
    <w:rsid w:val="007D53B6"/>
    <w:pPr>
      <w:numPr>
        <w:numId w:val="35"/>
      </w:numPr>
    </w:pPr>
  </w:style>
  <w:style w:type="paragraph" w:customStyle="1" w:styleId="Bullet4">
    <w:name w:val="Bullet 4"/>
    <w:basedOn w:val="Normal"/>
    <w:rsid w:val="007D53B6"/>
    <w:pPr>
      <w:numPr>
        <w:numId w:val="36"/>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7"/>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B52DD-B2BD-4F95-86BF-74A22CDDF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2</TotalTime>
  <Pages>4</Pages>
  <Words>720</Words>
  <Characters>4282</Characters>
  <Application>Microsoft Office Word</Application>
  <DocSecurity>0</DocSecurity>
  <Lines>101</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WADHWANIA Nadia (SG)</cp:lastModifiedBy>
  <cp:revision>4</cp:revision>
  <dcterms:created xsi:type="dcterms:W3CDTF">2017-08-18T09:12:00Z</dcterms:created>
  <dcterms:modified xsi:type="dcterms:W3CDTF">2017-10-02T07:51:00Z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SG-001</vt:lpwstr>
  </property>
  <property fmtid="{D5CDD505-2E9C-101B-9397-08002B2CF9AE}" pid="10" name="DQCStatus">
    <vt:lpwstr>Yellow (DQC version 03)</vt:lpwstr>
  </property>
</Properties>
</file>