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C6" w:rsidRPr="00660D8D" w:rsidRDefault="0054739C" w:rsidP="0054739C">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3A7A259ED8547918A3C8DAA76792068" style="width:450.75pt;height:351.75pt">
            <v:imagedata r:id="rId9" o:title=""/>
          </v:shape>
        </w:pict>
      </w:r>
    </w:p>
    <w:p w:rsidR="00E217C6" w:rsidRPr="00660D8D" w:rsidRDefault="00E217C6" w:rsidP="00E217C6">
      <w:pPr>
        <w:sectPr w:rsidR="00E217C6" w:rsidRPr="00660D8D" w:rsidSect="0054739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217C6" w:rsidRPr="00660D8D" w:rsidRDefault="00E217C6" w:rsidP="0064141D">
      <w:pPr>
        <w:pStyle w:val="Exposdesmotifstitre"/>
      </w:pPr>
      <w:r w:rsidRPr="00660D8D">
        <w:lastRenderedPageBreak/>
        <w:t>EXPOSÉ DES MOTIFS</w:t>
      </w:r>
    </w:p>
    <w:p w:rsidR="0064141D" w:rsidRPr="00660D8D" w:rsidRDefault="0064141D" w:rsidP="0064141D">
      <w:pPr>
        <w:pBdr>
          <w:top w:val="nil"/>
          <w:left w:val="nil"/>
          <w:bottom w:val="nil"/>
          <w:right w:val="nil"/>
          <w:between w:val="nil"/>
          <w:bar w:val="nil"/>
        </w:pBdr>
        <w:spacing w:before="0" w:after="240"/>
        <w:rPr>
          <w:rFonts w:eastAsia="Arial Unicode MS"/>
        </w:rPr>
      </w:pPr>
      <w:r w:rsidRPr="00660D8D">
        <w:t>L'article 145 de la section 2, chapitre 2 («Propriété intellectuelle»), de l'accord de partenariat économique (APE) avec les États du Cariforum</w:t>
      </w:r>
      <w:r w:rsidRPr="00660D8D">
        <w:rPr>
          <w:rStyle w:val="FootnoteReference"/>
        </w:rPr>
        <w:footnoteReference w:id="1"/>
      </w:r>
      <w:r w:rsidRPr="00660D8D">
        <w:t xml:space="preserve"> établit le niveau de protection des indications géographiques, la durée de la protection, </w:t>
      </w:r>
      <w:r w:rsidR="0054739C">
        <w:t xml:space="preserve">ainsi que d'autres paramètres. </w:t>
      </w:r>
      <w:bookmarkStart w:id="0" w:name="_GoBack"/>
      <w:bookmarkEnd w:id="0"/>
      <w:r w:rsidRPr="00660D8D">
        <w:t>Cependant, aucune liste d'indications géographiques protégées n'a été dressée en vertu dudit accord. Pour cette raison, l'article 145 de l'APE comporte également une clause de rendez-vous imposant aux parties de compléter les dispositions relatives aux indications géographiques et de constituer une liste des indications géographiques protégées.</w:t>
      </w:r>
    </w:p>
    <w:p w:rsidR="00E217C6" w:rsidRPr="00660D8D" w:rsidRDefault="00E217C6" w:rsidP="0064141D">
      <w:pPr>
        <w:pStyle w:val="ManualHeading1"/>
      </w:pPr>
      <w:r w:rsidRPr="00660D8D">
        <w:t>1.</w:t>
      </w:r>
      <w:r w:rsidRPr="00660D8D">
        <w:tab/>
        <w:t>CONTEXTE DE LA PROPOSITION</w:t>
      </w:r>
    </w:p>
    <w:p w:rsidR="00E217C6" w:rsidRPr="00660D8D" w:rsidRDefault="00E217C6" w:rsidP="0064141D">
      <w:pPr>
        <w:pStyle w:val="ManualHeading2"/>
        <w:rPr>
          <w:rFonts w:eastAsia="Arial Unicode MS"/>
        </w:rPr>
      </w:pPr>
      <w:r w:rsidRPr="00660D8D">
        <w:rPr>
          <w:color w:val="000000"/>
          <w:u w:color="000000"/>
          <w:bdr w:val="nil"/>
        </w:rPr>
        <w:t>•</w:t>
      </w:r>
      <w:r w:rsidRPr="00660D8D">
        <w:tab/>
        <w:t>Justification et objectifs de la proposition</w:t>
      </w:r>
    </w:p>
    <w:p w:rsidR="0064141D" w:rsidRPr="00660D8D" w:rsidRDefault="0064141D" w:rsidP="0064141D">
      <w:pPr>
        <w:pBdr>
          <w:top w:val="nil"/>
          <w:left w:val="nil"/>
          <w:bottom w:val="nil"/>
          <w:right w:val="nil"/>
          <w:between w:val="nil"/>
          <w:bar w:val="nil"/>
        </w:pBdr>
        <w:spacing w:before="0" w:after="240"/>
      </w:pPr>
      <w:r w:rsidRPr="00660D8D">
        <w:t>L'APE Cariforum - UE impose aux parties d'établir un système de protection des indications géographiques, notamment une liste des dénominations protégées. Les accords de partenariat économique sont conformes aux dispositions de la politique commerciale commune de l'Union.</w:t>
      </w:r>
    </w:p>
    <w:p w:rsidR="00E217C6" w:rsidRPr="00660D8D" w:rsidRDefault="00E217C6" w:rsidP="0064141D">
      <w:pPr>
        <w:pStyle w:val="ManualHeading2"/>
        <w:rPr>
          <w:rFonts w:eastAsia="Arial Unicode MS"/>
          <w:color w:val="000000"/>
          <w:u w:color="000000"/>
          <w:bdr w:val="nil"/>
        </w:rPr>
      </w:pPr>
      <w:r w:rsidRPr="00660D8D">
        <w:rPr>
          <w:color w:val="000000"/>
          <w:u w:color="000000"/>
          <w:bdr w:val="nil"/>
        </w:rPr>
        <w:t>•</w:t>
      </w:r>
      <w:r w:rsidRPr="00660D8D">
        <w:tab/>
        <w:t>Cohérence avec les dispositions existantes dans le domaine d'action</w:t>
      </w:r>
    </w:p>
    <w:p w:rsidR="0064141D" w:rsidRPr="00660D8D" w:rsidRDefault="0064141D" w:rsidP="0064141D">
      <w:pPr>
        <w:pBdr>
          <w:top w:val="nil"/>
          <w:left w:val="nil"/>
          <w:bottom w:val="nil"/>
          <w:right w:val="nil"/>
          <w:between w:val="nil"/>
          <w:bar w:val="nil"/>
        </w:pBdr>
        <w:spacing w:before="0" w:after="240"/>
        <w:rPr>
          <w:rFonts w:eastAsia="Arial Unicode MS"/>
        </w:rPr>
      </w:pPr>
      <w:r w:rsidRPr="00660D8D">
        <w:t>Sans objet.</w:t>
      </w:r>
    </w:p>
    <w:p w:rsidR="00E217C6" w:rsidRPr="00660D8D" w:rsidRDefault="00E217C6" w:rsidP="0064141D">
      <w:pPr>
        <w:pStyle w:val="ManualHeading2"/>
        <w:rPr>
          <w:rFonts w:eastAsia="Arial Unicode MS"/>
        </w:rPr>
      </w:pPr>
      <w:r w:rsidRPr="00660D8D">
        <w:rPr>
          <w:color w:val="000000"/>
          <w:u w:color="000000"/>
          <w:bdr w:val="nil"/>
        </w:rPr>
        <w:t>•</w:t>
      </w:r>
      <w:r w:rsidRPr="00660D8D">
        <w:tab/>
        <w:t>Cohérence avec les autres politiques de l'Union</w:t>
      </w:r>
    </w:p>
    <w:p w:rsidR="0064141D" w:rsidRPr="00660D8D" w:rsidRDefault="0064141D" w:rsidP="0064141D">
      <w:pPr>
        <w:pBdr>
          <w:top w:val="nil"/>
          <w:left w:val="nil"/>
          <w:bottom w:val="nil"/>
          <w:right w:val="nil"/>
          <w:between w:val="nil"/>
          <w:bar w:val="nil"/>
        </w:pBdr>
        <w:spacing w:before="0" w:after="240"/>
        <w:rPr>
          <w:rFonts w:eastAsia="Arial Unicode MS"/>
        </w:rPr>
      </w:pPr>
      <w:r w:rsidRPr="00660D8D">
        <w:t>Sans objet.</w:t>
      </w:r>
    </w:p>
    <w:p w:rsidR="00E217C6" w:rsidRPr="00660D8D" w:rsidRDefault="00E217C6" w:rsidP="0064141D">
      <w:pPr>
        <w:pStyle w:val="ManualHeading1"/>
      </w:pPr>
      <w:r w:rsidRPr="00660D8D">
        <w:t>2.</w:t>
      </w:r>
      <w:r w:rsidRPr="00660D8D">
        <w:tab/>
        <w:t>BASE JURIDIQUE, SUBSIDIARITÉ ET PROPORTIONNALITÉ</w:t>
      </w:r>
    </w:p>
    <w:p w:rsidR="00E217C6" w:rsidRPr="00660D8D" w:rsidRDefault="00E217C6" w:rsidP="0064141D">
      <w:pPr>
        <w:pStyle w:val="ManualHeading2"/>
        <w:rPr>
          <w:rFonts w:eastAsia="Arial Unicode MS"/>
          <w:u w:color="000000"/>
          <w:bdr w:val="nil"/>
        </w:rPr>
      </w:pPr>
      <w:r w:rsidRPr="00660D8D">
        <w:t>•</w:t>
      </w:r>
      <w:r w:rsidRPr="00660D8D">
        <w:tab/>
        <w:t>Base juridique</w:t>
      </w:r>
    </w:p>
    <w:p w:rsidR="0064141D" w:rsidRPr="00660D8D" w:rsidRDefault="00B64F91" w:rsidP="0064141D">
      <w:pPr>
        <w:pBdr>
          <w:top w:val="nil"/>
          <w:left w:val="nil"/>
          <w:bottom w:val="nil"/>
          <w:right w:val="nil"/>
          <w:between w:val="nil"/>
          <w:bar w:val="nil"/>
        </w:pBdr>
        <w:spacing w:before="0" w:after="240"/>
        <w:rPr>
          <w:rFonts w:eastAsia="Arial Unicode MS"/>
        </w:rPr>
      </w:pPr>
      <w:r w:rsidRPr="00660D8D">
        <w:t xml:space="preserve">La base juridique de l'acte est l'article 218 du traité sur le fonctionnement de l'Union européenne (TFUE). </w:t>
      </w:r>
    </w:p>
    <w:p w:rsidR="00E217C6" w:rsidRPr="00660D8D" w:rsidRDefault="00E217C6" w:rsidP="0064141D">
      <w:pPr>
        <w:pStyle w:val="ManualHeading2"/>
        <w:rPr>
          <w:rFonts w:eastAsia="Arial Unicode MS"/>
          <w:b w:val="0"/>
          <w:u w:color="000000"/>
          <w:bdr w:val="nil"/>
        </w:rPr>
      </w:pPr>
      <w:r w:rsidRPr="00660D8D">
        <w:rPr>
          <w:b w:val="0"/>
          <w:u w:color="000000"/>
          <w:bdr w:val="nil"/>
        </w:rPr>
        <w:t>•</w:t>
      </w:r>
      <w:r w:rsidRPr="00660D8D">
        <w:tab/>
        <w:t>Subsidiarité (en cas de compétence non exclusive)</w:t>
      </w:r>
      <w:r w:rsidRPr="00660D8D">
        <w:rPr>
          <w:b w:val="0"/>
          <w:u w:color="000000"/>
          <w:bdr w:val="nil"/>
        </w:rPr>
        <w:t xml:space="preserve"> </w:t>
      </w:r>
    </w:p>
    <w:p w:rsidR="0064141D" w:rsidRPr="00660D8D" w:rsidRDefault="0064141D" w:rsidP="003F4116">
      <w:pPr>
        <w:pBdr>
          <w:top w:val="nil"/>
          <w:left w:val="nil"/>
          <w:bottom w:val="nil"/>
          <w:right w:val="nil"/>
          <w:between w:val="nil"/>
          <w:bar w:val="nil"/>
        </w:pBdr>
        <w:spacing w:before="0" w:after="240"/>
        <w:rPr>
          <w:rFonts w:eastAsia="Arial Unicode MS"/>
          <w:u w:color="000000"/>
          <w:bdr w:val="nil"/>
        </w:rPr>
      </w:pPr>
      <w:r w:rsidRPr="00660D8D">
        <w:t>Sans objet. Conformément à l'article 3 du TFUE, l'Union dispose d'une compétence exclusive dans le domaine de la politique commerciale commune.</w:t>
      </w:r>
    </w:p>
    <w:p w:rsidR="00E217C6" w:rsidRPr="00660D8D" w:rsidRDefault="00E217C6" w:rsidP="0064141D">
      <w:pPr>
        <w:pStyle w:val="ManualHeading2"/>
        <w:rPr>
          <w:rFonts w:eastAsia="Arial Unicode MS"/>
          <w:u w:color="000000"/>
          <w:bdr w:val="nil"/>
        </w:rPr>
      </w:pPr>
      <w:r w:rsidRPr="00660D8D">
        <w:t>•</w:t>
      </w:r>
      <w:r w:rsidRPr="00660D8D">
        <w:tab/>
        <w:t>Proportionnalité</w:t>
      </w:r>
    </w:p>
    <w:p w:rsidR="0064141D" w:rsidRPr="00660D8D" w:rsidRDefault="0064141D" w:rsidP="0064141D">
      <w:pPr>
        <w:pBdr>
          <w:top w:val="nil"/>
          <w:left w:val="nil"/>
          <w:bottom w:val="nil"/>
          <w:right w:val="nil"/>
          <w:between w:val="nil"/>
          <w:bar w:val="nil"/>
        </w:pBdr>
        <w:spacing w:before="0" w:after="240"/>
        <w:rPr>
          <w:rFonts w:eastAsia="Arial Unicode MS"/>
        </w:rPr>
      </w:pPr>
      <w:r w:rsidRPr="00660D8D">
        <w:t>La recommandation de décision du Conseil sera conforme aux dispositions déjà établies dans l'APE. Les ajouts substantiels comporteront la liste des dénominations des indications géographiques protégées et les dispositions relatives aux procédures en matière de coopération, ce qui constitue le minimum permettant de respecter les exigences de l'APE.</w:t>
      </w:r>
    </w:p>
    <w:p w:rsidR="00E217C6" w:rsidRPr="00660D8D" w:rsidRDefault="00E217C6" w:rsidP="0064141D">
      <w:pPr>
        <w:pStyle w:val="ManualHeading2"/>
        <w:rPr>
          <w:rFonts w:eastAsia="Arial Unicode MS"/>
          <w:u w:color="000000"/>
          <w:bdr w:val="nil"/>
        </w:rPr>
      </w:pPr>
      <w:r w:rsidRPr="00660D8D">
        <w:t>•</w:t>
      </w:r>
      <w:r w:rsidRPr="00660D8D">
        <w:tab/>
        <w:t>Choix de l'instrument</w:t>
      </w:r>
    </w:p>
    <w:p w:rsidR="0064141D" w:rsidRPr="00660D8D" w:rsidRDefault="0064141D" w:rsidP="0064141D">
      <w:pPr>
        <w:pBdr>
          <w:top w:val="nil"/>
          <w:left w:val="nil"/>
          <w:bottom w:val="nil"/>
          <w:right w:val="nil"/>
          <w:between w:val="nil"/>
          <w:bar w:val="nil"/>
        </w:pBdr>
        <w:spacing w:before="0" w:after="240"/>
      </w:pPr>
      <w:r w:rsidRPr="00660D8D">
        <w:t>L'instrument retenu, un accord international, est le seul instrument approprié à cet effet.</w:t>
      </w:r>
    </w:p>
    <w:p w:rsidR="00E217C6" w:rsidRPr="00660D8D" w:rsidRDefault="00E217C6" w:rsidP="0064141D">
      <w:pPr>
        <w:pStyle w:val="ManualHeading1"/>
      </w:pPr>
      <w:r w:rsidRPr="00660D8D">
        <w:lastRenderedPageBreak/>
        <w:t>3.</w:t>
      </w:r>
      <w:r w:rsidRPr="00660D8D">
        <w:tab/>
        <w:t>RÉSULTATS DES ÉVALUATIONS EX POST, DES CONSULTATIONS DES PARTIES PRENANTES ET DES ANALYSES D'IMPACT</w:t>
      </w:r>
    </w:p>
    <w:p w:rsidR="00E217C6" w:rsidRPr="00660D8D" w:rsidRDefault="00E217C6" w:rsidP="0064141D">
      <w:pPr>
        <w:pStyle w:val="ManualHeading2"/>
        <w:rPr>
          <w:rFonts w:eastAsia="Arial Unicode MS"/>
          <w:u w:color="000000"/>
          <w:bdr w:val="nil"/>
        </w:rPr>
      </w:pPr>
      <w:r w:rsidRPr="00660D8D">
        <w:t>•</w:t>
      </w:r>
      <w:r w:rsidRPr="00660D8D">
        <w:tab/>
        <w:t>Évaluations ex-post/bilans de la qualité de la législation existante</w:t>
      </w:r>
    </w:p>
    <w:p w:rsidR="0064141D" w:rsidRPr="00660D8D" w:rsidRDefault="0064141D" w:rsidP="0064141D">
      <w:pPr>
        <w:pBdr>
          <w:top w:val="nil"/>
          <w:left w:val="nil"/>
          <w:bottom w:val="nil"/>
          <w:right w:val="nil"/>
          <w:between w:val="nil"/>
          <w:bar w:val="nil"/>
        </w:pBdr>
        <w:spacing w:before="0" w:after="240"/>
      </w:pPr>
      <w:r w:rsidRPr="00660D8D">
        <w:t xml:space="preserve">Sans objet. </w:t>
      </w:r>
    </w:p>
    <w:p w:rsidR="0064141D" w:rsidRPr="00660D8D" w:rsidRDefault="0064141D" w:rsidP="0064141D">
      <w:pPr>
        <w:pStyle w:val="ManualHeading2"/>
        <w:rPr>
          <w:rFonts w:eastAsia="Arial Unicode MS"/>
          <w:u w:color="000000"/>
          <w:bdr w:val="nil"/>
        </w:rPr>
      </w:pPr>
    </w:p>
    <w:p w:rsidR="00E217C6" w:rsidRPr="00660D8D" w:rsidRDefault="00E217C6" w:rsidP="0064141D">
      <w:pPr>
        <w:pStyle w:val="ManualHeading2"/>
        <w:rPr>
          <w:rFonts w:eastAsia="Arial Unicode MS"/>
          <w:u w:color="000000"/>
          <w:bdr w:val="nil"/>
        </w:rPr>
      </w:pPr>
      <w:r w:rsidRPr="00660D8D">
        <w:t>•</w:t>
      </w:r>
      <w:r w:rsidRPr="00660D8D">
        <w:tab/>
        <w:t>Consultations des parties prenantes</w:t>
      </w:r>
    </w:p>
    <w:p w:rsidR="0064141D" w:rsidRPr="00660D8D" w:rsidRDefault="0064141D" w:rsidP="00945DC0">
      <w:pPr>
        <w:pBdr>
          <w:top w:val="nil"/>
          <w:left w:val="nil"/>
          <w:bottom w:val="nil"/>
          <w:right w:val="nil"/>
          <w:between w:val="nil"/>
          <w:bar w:val="nil"/>
        </w:pBdr>
        <w:spacing w:before="0" w:after="240"/>
        <w:rPr>
          <w:rFonts w:eastAsia="Arial Unicode MS"/>
        </w:rPr>
      </w:pPr>
      <w:r w:rsidRPr="00660D8D">
        <w:t xml:space="preserve">Des consultations sur les politiques ont eu lieu avec les États membres et le PE, ainsi que par l'intermédiaire des groupes de travail du Conseil et de la commission du PE concernée). La consultation des États du Cariforum et des parties prenantes de l'UE s'est déroulée au sein du comité consultatif de l'APE Cariforum - UE et d'ateliers ou d'autres événements liés aux indications géographiques (foires, réunions de groupements de producteurs, etc.). </w:t>
      </w:r>
    </w:p>
    <w:p w:rsidR="00E217C6" w:rsidRPr="00660D8D" w:rsidRDefault="00E217C6" w:rsidP="0064141D">
      <w:pPr>
        <w:pStyle w:val="ManualHeading2"/>
        <w:rPr>
          <w:rFonts w:eastAsia="Arial Unicode MS"/>
          <w:u w:color="000000"/>
          <w:bdr w:val="nil"/>
        </w:rPr>
      </w:pPr>
      <w:r w:rsidRPr="00660D8D">
        <w:t>•</w:t>
      </w:r>
      <w:r w:rsidRPr="00660D8D">
        <w:tab/>
        <w:t>Obtention et utilisation d'expertise</w:t>
      </w:r>
    </w:p>
    <w:p w:rsidR="0038361B" w:rsidRPr="00660D8D" w:rsidRDefault="0038361B" w:rsidP="0064141D">
      <w:pPr>
        <w:pStyle w:val="ManualHeading2"/>
        <w:rPr>
          <w:rFonts w:eastAsia="Arial Unicode MS"/>
          <w:b w:val="0"/>
          <w:u w:color="000000"/>
          <w:bdr w:val="nil"/>
        </w:rPr>
      </w:pPr>
      <w:r w:rsidRPr="00660D8D">
        <w:rPr>
          <w:b w:val="0"/>
          <w:u w:color="000000"/>
          <w:bdr w:val="nil"/>
        </w:rPr>
        <w:t xml:space="preserve">Sans objet. </w:t>
      </w:r>
    </w:p>
    <w:p w:rsidR="00E217C6" w:rsidRPr="00660D8D" w:rsidRDefault="00E217C6" w:rsidP="0064141D">
      <w:pPr>
        <w:pStyle w:val="ManualHeading2"/>
        <w:rPr>
          <w:rFonts w:eastAsia="Arial Unicode MS"/>
          <w:u w:color="000000"/>
          <w:bdr w:val="nil"/>
        </w:rPr>
      </w:pPr>
      <w:r w:rsidRPr="00660D8D">
        <w:t>•</w:t>
      </w:r>
      <w:r w:rsidRPr="00660D8D">
        <w:tab/>
        <w:t>Analyse d'impact</w:t>
      </w:r>
    </w:p>
    <w:p w:rsidR="00B55E3A" w:rsidRPr="00660D8D" w:rsidRDefault="00B55E3A" w:rsidP="00B55E3A">
      <w:pPr>
        <w:pBdr>
          <w:top w:val="nil"/>
          <w:left w:val="nil"/>
          <w:bottom w:val="nil"/>
          <w:right w:val="nil"/>
          <w:between w:val="nil"/>
          <w:bar w:val="nil"/>
        </w:pBdr>
        <w:spacing w:before="0" w:after="240"/>
        <w:rPr>
          <w:rFonts w:eastAsia="Arial Unicode MS"/>
        </w:rPr>
      </w:pPr>
      <w:r w:rsidRPr="00660D8D">
        <w:t xml:space="preserve">Aucune analyse d'impact ne sera menée concernant la présente initiative étant donné qu'il n'existe pas d'autre possibilité d'action. </w:t>
      </w:r>
    </w:p>
    <w:p w:rsidR="00E217C6" w:rsidRPr="00660D8D" w:rsidRDefault="00E217C6" w:rsidP="0064141D">
      <w:pPr>
        <w:pStyle w:val="ManualHeading2"/>
        <w:rPr>
          <w:rFonts w:eastAsia="Arial Unicode MS"/>
          <w:u w:color="000000"/>
          <w:bdr w:val="nil"/>
        </w:rPr>
      </w:pPr>
      <w:r w:rsidRPr="00660D8D">
        <w:t>•</w:t>
      </w:r>
      <w:r w:rsidRPr="00660D8D">
        <w:tab/>
        <w:t>Réglementation affûtée et simplification</w:t>
      </w:r>
    </w:p>
    <w:p w:rsidR="00E217C6" w:rsidRPr="00660D8D" w:rsidRDefault="00B55E3A" w:rsidP="0064141D">
      <w:pPr>
        <w:pBdr>
          <w:top w:val="nil"/>
          <w:left w:val="nil"/>
          <w:bottom w:val="nil"/>
          <w:right w:val="nil"/>
          <w:between w:val="nil"/>
          <w:bar w:val="nil"/>
        </w:pBdr>
        <w:spacing w:before="0" w:after="240"/>
        <w:rPr>
          <w:rFonts w:eastAsia="Arial Unicode MS"/>
        </w:rPr>
      </w:pPr>
      <w:r w:rsidRPr="00660D8D">
        <w:t xml:space="preserve">Sans objet. </w:t>
      </w:r>
    </w:p>
    <w:p w:rsidR="00E217C6" w:rsidRPr="00660D8D" w:rsidRDefault="00E217C6" w:rsidP="0064141D">
      <w:pPr>
        <w:pStyle w:val="ManualHeading2"/>
        <w:rPr>
          <w:rFonts w:eastAsia="Arial Unicode MS"/>
          <w:u w:color="000000"/>
          <w:bdr w:val="nil"/>
        </w:rPr>
      </w:pPr>
      <w:r w:rsidRPr="00660D8D">
        <w:t>•</w:t>
      </w:r>
      <w:r w:rsidRPr="00660D8D">
        <w:tab/>
        <w:t>Droits fondamentaux</w:t>
      </w:r>
    </w:p>
    <w:p w:rsidR="00E217C6" w:rsidRPr="00660D8D" w:rsidRDefault="0044628B" w:rsidP="0064141D">
      <w:pPr>
        <w:pBdr>
          <w:top w:val="nil"/>
          <w:left w:val="nil"/>
          <w:bottom w:val="nil"/>
          <w:right w:val="nil"/>
          <w:between w:val="nil"/>
          <w:bar w:val="nil"/>
        </w:pBdr>
        <w:spacing w:before="0" w:after="240"/>
        <w:rPr>
          <w:rFonts w:eastAsia="Arial Unicode MS"/>
        </w:rPr>
      </w:pPr>
      <w:r w:rsidRPr="00660D8D">
        <w:t xml:space="preserve">L'article 17, paragraphe 2, de la Charte des droits fondamentaux de l'Union européenne prévoit que la propriété intellectuelle est protégée, objectif auquel l'accord contribue. </w:t>
      </w:r>
    </w:p>
    <w:p w:rsidR="00E217C6" w:rsidRPr="00660D8D" w:rsidRDefault="00E217C6" w:rsidP="0064141D">
      <w:pPr>
        <w:pStyle w:val="ManualHeading1"/>
      </w:pPr>
      <w:r w:rsidRPr="00660D8D">
        <w:t>4.</w:t>
      </w:r>
      <w:r w:rsidRPr="00660D8D">
        <w:tab/>
        <w:t>INCIDENCE BUDGÉTAIRE</w:t>
      </w:r>
    </w:p>
    <w:p w:rsidR="00B55E3A" w:rsidRPr="00660D8D" w:rsidRDefault="00B55E3A" w:rsidP="00B55E3A">
      <w:pPr>
        <w:pBdr>
          <w:top w:val="nil"/>
          <w:left w:val="nil"/>
          <w:bottom w:val="nil"/>
          <w:right w:val="nil"/>
          <w:between w:val="nil"/>
          <w:bar w:val="nil"/>
        </w:pBdr>
        <w:spacing w:before="0" w:after="240"/>
      </w:pPr>
      <w:r w:rsidRPr="00660D8D">
        <w:t>Aucune incidence budgétaire n'est prévue.</w:t>
      </w:r>
    </w:p>
    <w:p w:rsidR="00E217C6" w:rsidRPr="00660D8D" w:rsidRDefault="00E217C6" w:rsidP="0064141D">
      <w:pPr>
        <w:pStyle w:val="ManualHeading1"/>
      </w:pPr>
      <w:r w:rsidRPr="00660D8D">
        <w:t>5.</w:t>
      </w:r>
      <w:r w:rsidRPr="00660D8D">
        <w:tab/>
        <w:t>AUTRES ÉLÉMENTS</w:t>
      </w:r>
    </w:p>
    <w:p w:rsidR="00E217C6" w:rsidRPr="00660D8D" w:rsidRDefault="00E217C6" w:rsidP="0064141D">
      <w:pPr>
        <w:pStyle w:val="ManualHeading2"/>
        <w:rPr>
          <w:rFonts w:eastAsia="Arial Unicode MS"/>
          <w:u w:color="000000"/>
          <w:bdr w:val="nil"/>
        </w:rPr>
      </w:pPr>
      <w:r w:rsidRPr="00660D8D">
        <w:t>•</w:t>
      </w:r>
      <w:r w:rsidRPr="00660D8D">
        <w:tab/>
        <w:t>Plans de mise en œuvre et modalités de suivi, d'évaluation et d'information</w:t>
      </w:r>
    </w:p>
    <w:p w:rsidR="00E217C6" w:rsidRPr="00660D8D" w:rsidRDefault="00B55E3A" w:rsidP="0064141D">
      <w:pPr>
        <w:pBdr>
          <w:top w:val="nil"/>
          <w:left w:val="nil"/>
          <w:bottom w:val="nil"/>
          <w:right w:val="nil"/>
          <w:between w:val="nil"/>
          <w:bar w:val="nil"/>
        </w:pBdr>
        <w:spacing w:before="0" w:after="240"/>
      </w:pPr>
      <w:r w:rsidRPr="00660D8D">
        <w:t xml:space="preserve">L'accord sera mis en œuvre, dans le cadre de l'APE existant, par l'intermédiaire du comité et au moyen des procédures prévus, dont les détails seront précisés dans l'accord. </w:t>
      </w:r>
    </w:p>
    <w:p w:rsidR="00E217C6" w:rsidRPr="00660D8D" w:rsidRDefault="00E217C6" w:rsidP="00B55E3A">
      <w:pPr>
        <w:pStyle w:val="ManualHeading2"/>
        <w:rPr>
          <w:rFonts w:eastAsia="Arial Unicode MS"/>
          <w:u w:color="000000"/>
          <w:bdr w:val="nil"/>
        </w:rPr>
      </w:pPr>
      <w:r w:rsidRPr="00660D8D">
        <w:t>•</w:t>
      </w:r>
      <w:r w:rsidRPr="00660D8D">
        <w:tab/>
        <w:t>Documents explicatifs (en cas de directives)</w:t>
      </w:r>
    </w:p>
    <w:p w:rsidR="00E217C6" w:rsidRPr="00660D8D" w:rsidRDefault="00B55E3A" w:rsidP="00945DC0">
      <w:pPr>
        <w:pStyle w:val="Text1"/>
        <w:ind w:left="0"/>
      </w:pPr>
      <w:r w:rsidRPr="00660D8D">
        <w:t xml:space="preserve">Sans objet. </w:t>
      </w:r>
    </w:p>
    <w:p w:rsidR="00E217C6" w:rsidRPr="00660D8D" w:rsidRDefault="00E217C6" w:rsidP="0064141D">
      <w:pPr>
        <w:pStyle w:val="ManualHeading2"/>
        <w:rPr>
          <w:rFonts w:eastAsia="Arial Unicode MS"/>
          <w:u w:color="000000"/>
          <w:bdr w:val="nil"/>
        </w:rPr>
      </w:pPr>
      <w:r w:rsidRPr="00660D8D">
        <w:t>•</w:t>
      </w:r>
      <w:r w:rsidRPr="00660D8D">
        <w:tab/>
        <w:t>Explication détaillée des différentes dispositions de la proposition</w:t>
      </w:r>
    </w:p>
    <w:p w:rsidR="00E217C6" w:rsidRPr="00660D8D" w:rsidRDefault="00B55E3A" w:rsidP="0064141D">
      <w:pPr>
        <w:rPr>
          <w:noProof/>
        </w:rPr>
        <w:sectPr w:rsidR="00E217C6" w:rsidRPr="00660D8D" w:rsidSect="0054739C">
          <w:footerReference w:type="default" r:id="rId16"/>
          <w:footerReference w:type="first" r:id="rId17"/>
          <w:pgSz w:w="11907" w:h="16839"/>
          <w:pgMar w:top="1134" w:right="1417" w:bottom="1134" w:left="1417" w:header="709" w:footer="709" w:gutter="0"/>
          <w:cols w:space="708"/>
          <w:docGrid w:linePitch="360"/>
        </w:sectPr>
      </w:pPr>
      <w:r w:rsidRPr="00660D8D">
        <w:t>Environ 180 indications géographiques de l'Union seront protégées contre les abus et la contrefaçon dans les États du Cariforum et jusqu'à 30 indications géographiques des États du Cariforum seront protégées dans l'Union. L'accord prévoira des mises à jour régulières de la liste des indications géographiques protégées afin de garantir la protection réciproque des nouvelles indications géographiques.</w:t>
      </w:r>
    </w:p>
    <w:p w:rsidR="00E217C6" w:rsidRPr="00660D8D" w:rsidRDefault="0054739C" w:rsidP="0054739C">
      <w:pPr>
        <w:pStyle w:val="Statut"/>
        <w:rPr>
          <w:noProof/>
        </w:rPr>
      </w:pPr>
      <w:r w:rsidRPr="0054739C">
        <w:lastRenderedPageBreak/>
        <w:t>Recommandation de</w:t>
      </w:r>
    </w:p>
    <w:p w:rsidR="00E217C6" w:rsidRPr="00660D8D" w:rsidRDefault="0054739C" w:rsidP="0054739C">
      <w:pPr>
        <w:pStyle w:val="Typedudocument"/>
        <w:rPr>
          <w:noProof/>
        </w:rPr>
      </w:pPr>
      <w:r w:rsidRPr="0054739C">
        <w:t>DÉCISION DU CONSEIL</w:t>
      </w:r>
    </w:p>
    <w:p w:rsidR="00E217C6" w:rsidRPr="00660D8D" w:rsidRDefault="0054739C" w:rsidP="0054739C">
      <w:pPr>
        <w:pStyle w:val="Titreobjet"/>
        <w:rPr>
          <w:noProof/>
        </w:rPr>
      </w:pPr>
      <w:r w:rsidRPr="0054739C">
        <w:t>autorisant la Commission européenne à négocier un accord avec les États membres du Cariforum en vue de protéger les indications géographiques sur la base de l'article 145 de l'accord de partenariat économique Cariforum - UE</w:t>
      </w:r>
    </w:p>
    <w:p w:rsidR="007D2FE4" w:rsidRPr="00660D8D" w:rsidRDefault="007D2FE4" w:rsidP="007D2FE4">
      <w:pPr>
        <w:pStyle w:val="Institutionquiagit"/>
      </w:pPr>
      <w:r w:rsidRPr="00660D8D">
        <w:t>LE CONSEIL DE L'UNION EUROPÉENNE,</w:t>
      </w:r>
    </w:p>
    <w:p w:rsidR="007D2FE4" w:rsidRPr="00660D8D" w:rsidRDefault="007D2FE4" w:rsidP="007D2FE4">
      <w:r w:rsidRPr="00660D8D">
        <w:t>vu le traité sur le fonctionnement de l'Union européenne, et notamment son article 218, paragraphes 2 et 4,</w:t>
      </w:r>
    </w:p>
    <w:p w:rsidR="007D2FE4" w:rsidRPr="00660D8D" w:rsidRDefault="007D2FE4" w:rsidP="007D2FE4">
      <w:r w:rsidRPr="00660D8D">
        <w:t>vu la recommandation de la Commission européenne,</w:t>
      </w:r>
    </w:p>
    <w:p w:rsidR="007D2FE4" w:rsidRPr="00660D8D" w:rsidRDefault="007D2FE4" w:rsidP="007D2FE4">
      <w:r w:rsidRPr="00660D8D">
        <w:t>considérant ce qui suit:</w:t>
      </w:r>
    </w:p>
    <w:p w:rsidR="007D2FE4" w:rsidRPr="00660D8D" w:rsidRDefault="007D2FE4" w:rsidP="004274EE">
      <w:pPr>
        <w:pStyle w:val="Considrant"/>
        <w:numPr>
          <w:ilvl w:val="0"/>
          <w:numId w:val="5"/>
        </w:numPr>
      </w:pPr>
      <w:r w:rsidRPr="00660D8D">
        <w:t xml:space="preserve">L'article 145 de l'accord de partenariat économique Cariforum - UE prévoit que les parties établissent une liste des indications géographiques protégées et fixent d'autres détails du système de protection conformément audit accord.  </w:t>
      </w:r>
    </w:p>
    <w:p w:rsidR="007D2FE4" w:rsidRPr="00660D8D" w:rsidRDefault="007D2FE4" w:rsidP="00D24F82">
      <w:pPr>
        <w:pStyle w:val="Considrant"/>
      </w:pPr>
      <w:r w:rsidRPr="00660D8D">
        <w:t xml:space="preserve">Afin de remplir ces objectifs et de donner pleinement effet à l'article 145 de l'accord de partenariat économique Cariforum - UE, la Commission doit mener des négociations avec les États du Cariforum, </w:t>
      </w:r>
    </w:p>
    <w:p w:rsidR="007D2FE4" w:rsidRPr="00660D8D" w:rsidRDefault="007D2FE4" w:rsidP="007D2FE4">
      <w:pPr>
        <w:pStyle w:val="Formuledadoption"/>
      </w:pPr>
      <w:r w:rsidRPr="00660D8D">
        <w:t xml:space="preserve">A ADOPTÉ LA PRÉSENTE DÉCISION: </w:t>
      </w:r>
    </w:p>
    <w:p w:rsidR="007D2FE4" w:rsidRPr="00660D8D" w:rsidRDefault="007D2FE4" w:rsidP="007D2FE4">
      <w:pPr>
        <w:pStyle w:val="Titrearticle"/>
      </w:pPr>
      <w:r w:rsidRPr="00660D8D">
        <w:t>Article premier</w:t>
      </w:r>
    </w:p>
    <w:p w:rsidR="007D2FE4" w:rsidRPr="00660D8D" w:rsidRDefault="007D2FE4" w:rsidP="007D2FE4">
      <w:pPr>
        <w:keepLines/>
      </w:pPr>
      <w:r w:rsidRPr="00660D8D">
        <w:t xml:space="preserve">La Commission européenne est autorisée à négocier un accord avec les États du Cariforum en vue de protéger les indications géographiques sur la base de l'article 145 de l'accord de partenariat économique Cariforum - UE, notamment en établissant une liste d'indications géographiques protégées, conformément aux directives établies à l'annexe. </w:t>
      </w:r>
    </w:p>
    <w:p w:rsidR="007D2FE4" w:rsidRPr="00660D8D" w:rsidRDefault="007D2FE4" w:rsidP="007D2FE4">
      <w:pPr>
        <w:keepLines/>
      </w:pPr>
    </w:p>
    <w:p w:rsidR="007D2FE4" w:rsidRPr="00660D8D" w:rsidRDefault="007D2FE4" w:rsidP="007D2FE4">
      <w:pPr>
        <w:pStyle w:val="Titrearticle"/>
        <w:keepNext w:val="0"/>
      </w:pPr>
      <w:r w:rsidRPr="00660D8D">
        <w:t>Article 2</w:t>
      </w:r>
    </w:p>
    <w:p w:rsidR="007D2FE4" w:rsidRPr="00660D8D" w:rsidRDefault="007D2FE4" w:rsidP="007D2FE4">
      <w:pPr>
        <w:keepLines/>
      </w:pPr>
      <w:r w:rsidRPr="00660D8D">
        <w:t>La présente décision entre en vigueur le jour de son adoption.</w:t>
      </w:r>
    </w:p>
    <w:p w:rsidR="007D2FE4" w:rsidRPr="00660D8D" w:rsidRDefault="0054739C" w:rsidP="0054739C">
      <w:pPr>
        <w:pStyle w:val="Fait"/>
      </w:pPr>
      <w:r w:rsidRPr="0054739C">
        <w:t>Fait à Bruxelles, le</w:t>
      </w:r>
    </w:p>
    <w:p w:rsidR="00E217C6" w:rsidRPr="00660D8D" w:rsidRDefault="00E217C6" w:rsidP="00E217C6">
      <w:pPr>
        <w:pStyle w:val="Institutionquisigne"/>
      </w:pPr>
      <w:r w:rsidRPr="00660D8D">
        <w:tab/>
        <w:t>Par le Conseil</w:t>
      </w:r>
    </w:p>
    <w:p w:rsidR="00E217C6" w:rsidRPr="00F16CDD" w:rsidRDefault="00E217C6" w:rsidP="00E217C6">
      <w:pPr>
        <w:pStyle w:val="Personnequisigne"/>
      </w:pPr>
      <w:r w:rsidRPr="00660D8D">
        <w:tab/>
        <w:t>Le président</w:t>
      </w:r>
    </w:p>
    <w:sectPr w:rsidR="00E217C6" w:rsidRPr="00F16CDD" w:rsidSect="0054739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DD" w:rsidRDefault="00F16CDD" w:rsidP="00E217C6">
      <w:pPr>
        <w:spacing w:before="0" w:after="0"/>
      </w:pPr>
      <w:r>
        <w:separator/>
      </w:r>
    </w:p>
  </w:endnote>
  <w:endnote w:type="continuationSeparator" w:id="0">
    <w:p w:rsidR="00F16CDD" w:rsidRDefault="00F16CDD" w:rsidP="00E217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Pr="0054739C" w:rsidRDefault="0054739C" w:rsidP="005473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CDD" w:rsidRPr="0054739C" w:rsidRDefault="0054739C" w:rsidP="0054739C">
    <w:pPr>
      <w:pStyle w:val="Footer"/>
      <w:rPr>
        <w:rFonts w:ascii="Arial" w:hAnsi="Arial" w:cs="Arial"/>
        <w:b/>
        <w:sz w:val="48"/>
      </w:rPr>
    </w:pPr>
    <w:r w:rsidRPr="0054739C">
      <w:rPr>
        <w:rFonts w:ascii="Arial" w:hAnsi="Arial" w:cs="Arial"/>
        <w:b/>
        <w:sz w:val="48"/>
      </w:rPr>
      <w:t>FR</w:t>
    </w:r>
    <w:r w:rsidRPr="0054739C">
      <w:rPr>
        <w:rFonts w:ascii="Arial" w:hAnsi="Arial" w:cs="Arial"/>
        <w:b/>
        <w:sz w:val="48"/>
      </w:rPr>
      <w:tab/>
    </w:r>
    <w:r w:rsidRPr="0054739C">
      <w:rPr>
        <w:rFonts w:ascii="Arial" w:hAnsi="Arial" w:cs="Arial"/>
        <w:b/>
        <w:sz w:val="48"/>
      </w:rPr>
      <w:tab/>
    </w:r>
    <w:fldSimple w:instr=" DOCVARIABLE &quot;LW_Confidence&quot; \* MERGEFORMAT ">
      <w:r>
        <w:t xml:space="preserve"> </w:t>
      </w:r>
    </w:fldSimple>
    <w:r w:rsidRPr="0054739C">
      <w:tab/>
    </w:r>
    <w:r w:rsidRPr="0054739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Pr="0054739C" w:rsidRDefault="0054739C" w:rsidP="005473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Pr="0054739C" w:rsidRDefault="0054739C" w:rsidP="0054739C">
    <w:pPr>
      <w:pStyle w:val="Footer"/>
      <w:rPr>
        <w:rFonts w:ascii="Arial" w:hAnsi="Arial" w:cs="Arial"/>
        <w:b/>
        <w:sz w:val="48"/>
      </w:rPr>
    </w:pPr>
    <w:r w:rsidRPr="0054739C">
      <w:rPr>
        <w:rFonts w:ascii="Arial" w:hAnsi="Arial" w:cs="Arial"/>
        <w:b/>
        <w:sz w:val="48"/>
      </w:rPr>
      <w:t>FR</w:t>
    </w:r>
    <w:r w:rsidRPr="0054739C">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54739C">
      <w:tab/>
    </w:r>
    <w:r w:rsidRPr="0054739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Pr="0054739C" w:rsidRDefault="0054739C" w:rsidP="00547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DD" w:rsidRDefault="00F16CDD" w:rsidP="00E217C6">
      <w:pPr>
        <w:spacing w:before="0" w:after="0"/>
      </w:pPr>
      <w:r>
        <w:separator/>
      </w:r>
    </w:p>
  </w:footnote>
  <w:footnote w:type="continuationSeparator" w:id="0">
    <w:p w:rsidR="00F16CDD" w:rsidRDefault="00F16CDD" w:rsidP="00E217C6">
      <w:pPr>
        <w:spacing w:before="0" w:after="0"/>
      </w:pPr>
      <w:r>
        <w:continuationSeparator/>
      </w:r>
    </w:p>
  </w:footnote>
  <w:footnote w:id="1">
    <w:p w:rsidR="00F16CDD" w:rsidRPr="00756D99" w:rsidRDefault="00F16CDD">
      <w:pPr>
        <w:pStyle w:val="FootnoteText"/>
        <w:rPr>
          <w:lang w:val="de-DE"/>
        </w:rPr>
      </w:pPr>
      <w:r>
        <w:rPr>
          <w:rStyle w:val="FootnoteReference"/>
        </w:rPr>
        <w:footnoteRef/>
      </w:r>
      <w:r>
        <w:tab/>
        <w:t xml:space="preserve">Accord de partenariat économique entre les États du Cariforum, d'une part, et la Communauté européenne et ses États membres, d'autre part (JO L 289/3 du 30.10.2008).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Pr="0054739C" w:rsidRDefault="0054739C" w:rsidP="005473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CDD" w:rsidRPr="0054739C" w:rsidRDefault="00F16CDD" w:rsidP="005473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9C" w:rsidRPr="0054739C" w:rsidRDefault="0054739C" w:rsidP="005473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90A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9A9B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BE0E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4E47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5AC1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E4AE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4CC884"/>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4B2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doNotTrackMoves/>
  <w:defaultTabStop w:val="720"/>
  <w:characterSpacingControl w:val="doNotCompress"/>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7-09-07 10:30:20"/>
    <w:docVar w:name="DQCResult_Distribution" w:val="0;1"/>
    <w:docVar w:name="DQCResult_DocumentContent" w:val="0;0"/>
    <w:docVar w:name="DQCResult_DocumentSize" w:val="0;0"/>
    <w:docVar w:name="DQCResult_DocumentVersions" w:val="0;0"/>
    <w:docVar w:name="DQCResult_ExistenceOfMacros" w:val="-1"/>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3A7A259ED8547918A3C8DAA76792068"/>
    <w:docVar w:name="LW_CROSSREFERENCE" w:val="&lt;UNUSED&gt;"/>
    <w:docVar w:name="LW_DocType" w:val="COM"/>
    <w:docVar w:name="LW_EMISSION" w:val="2.10.2017"/>
    <w:docVar w:name="LW_EMISSION_ISODATE" w:val="2017-10-02"/>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57"/>
    <w:docVar w:name="LW_REF.INTERNE" w:val="&lt;UNUSED&gt;"/>
    <w:docVar w:name="LW_SOUS.TITRE.OBJ.CP" w:val="&lt;UNUSED&gt;"/>
    <w:docVar w:name="LW_STATUT.CP" w:val="Recommandation de"/>
    <w:docVar w:name="LW_SUPERTITRE" w:val="&lt;UNUSED&gt;"/>
    <w:docVar w:name="LW_TITRE.OBJ.CP" w:val="autorisant la Commission européenne à négocier un accord avec les États membres du Cariforum en vue de protéger les indications géographiques sur la base de l'article 145 de l'accord de partenariat économique Cariforum - UE"/>
    <w:docVar w:name="LW_TYPE.DOC.CP" w:val="DÉCISION DU CONSEIL"/>
  </w:docVars>
  <w:rsids>
    <w:rsidRoot w:val="00E217C6"/>
    <w:rsid w:val="000D3B73"/>
    <w:rsid w:val="00171635"/>
    <w:rsid w:val="0017230C"/>
    <w:rsid w:val="001A06E0"/>
    <w:rsid w:val="00204B09"/>
    <w:rsid w:val="00225197"/>
    <w:rsid w:val="00274C37"/>
    <w:rsid w:val="002B39FD"/>
    <w:rsid w:val="0034445E"/>
    <w:rsid w:val="00344E97"/>
    <w:rsid w:val="0038361B"/>
    <w:rsid w:val="003979C8"/>
    <w:rsid w:val="003A0FF3"/>
    <w:rsid w:val="003C33DE"/>
    <w:rsid w:val="003F4116"/>
    <w:rsid w:val="004274EE"/>
    <w:rsid w:val="0044628B"/>
    <w:rsid w:val="004669D7"/>
    <w:rsid w:val="00495890"/>
    <w:rsid w:val="00503993"/>
    <w:rsid w:val="0054739C"/>
    <w:rsid w:val="005F795C"/>
    <w:rsid w:val="0064141D"/>
    <w:rsid w:val="00660D8D"/>
    <w:rsid w:val="00673264"/>
    <w:rsid w:val="006C48CD"/>
    <w:rsid w:val="006D127D"/>
    <w:rsid w:val="006D4955"/>
    <w:rsid w:val="0070126C"/>
    <w:rsid w:val="00715D61"/>
    <w:rsid w:val="00720A88"/>
    <w:rsid w:val="00756D99"/>
    <w:rsid w:val="007608CB"/>
    <w:rsid w:val="00797596"/>
    <w:rsid w:val="007D01AF"/>
    <w:rsid w:val="007D2FE4"/>
    <w:rsid w:val="007D53B6"/>
    <w:rsid w:val="007E215B"/>
    <w:rsid w:val="00872380"/>
    <w:rsid w:val="008D6E02"/>
    <w:rsid w:val="008E3C1B"/>
    <w:rsid w:val="00945DC0"/>
    <w:rsid w:val="009A4B50"/>
    <w:rsid w:val="009D1696"/>
    <w:rsid w:val="00A30C4A"/>
    <w:rsid w:val="00B04DCA"/>
    <w:rsid w:val="00B44CFD"/>
    <w:rsid w:val="00B55E3A"/>
    <w:rsid w:val="00B64F91"/>
    <w:rsid w:val="00C120E1"/>
    <w:rsid w:val="00D24F82"/>
    <w:rsid w:val="00E217C6"/>
    <w:rsid w:val="00E6584A"/>
    <w:rsid w:val="00E957EE"/>
    <w:rsid w:val="00EC3CF3"/>
    <w:rsid w:val="00EE5BE2"/>
    <w:rsid w:val="00EF4E08"/>
    <w:rsid w:val="00F16CDD"/>
    <w:rsid w:val="00F70867"/>
    <w:rsid w:val="00F8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4628B"/>
    <w:pPr>
      <w:numPr>
        <w:numId w:val="1"/>
      </w:numPr>
      <w:contextualSpacing/>
    </w:pPr>
  </w:style>
  <w:style w:type="paragraph" w:styleId="ListBullet2">
    <w:name w:val="List Bullet 2"/>
    <w:basedOn w:val="Normal"/>
    <w:uiPriority w:val="99"/>
    <w:semiHidden/>
    <w:unhideWhenUsed/>
    <w:rsid w:val="0044628B"/>
    <w:pPr>
      <w:numPr>
        <w:numId w:val="2"/>
      </w:numPr>
      <w:contextualSpacing/>
    </w:pPr>
  </w:style>
  <w:style w:type="paragraph" w:styleId="ListBullet3">
    <w:name w:val="List Bullet 3"/>
    <w:basedOn w:val="Normal"/>
    <w:uiPriority w:val="99"/>
    <w:semiHidden/>
    <w:unhideWhenUsed/>
    <w:rsid w:val="0044628B"/>
    <w:pPr>
      <w:numPr>
        <w:numId w:val="3"/>
      </w:numPr>
      <w:contextualSpacing/>
    </w:pPr>
  </w:style>
  <w:style w:type="paragraph" w:styleId="ListBullet4">
    <w:name w:val="List Bullet 4"/>
    <w:basedOn w:val="Normal"/>
    <w:uiPriority w:val="99"/>
    <w:semiHidden/>
    <w:unhideWhenUsed/>
    <w:rsid w:val="0044628B"/>
    <w:pPr>
      <w:numPr>
        <w:numId w:val="4"/>
      </w:numPr>
      <w:contextualSpacing/>
    </w:pPr>
  </w:style>
  <w:style w:type="character" w:styleId="CommentReference">
    <w:name w:val="annotation reference"/>
    <w:uiPriority w:val="99"/>
    <w:semiHidden/>
    <w:unhideWhenUsed/>
    <w:rsid w:val="0044628B"/>
    <w:rPr>
      <w:sz w:val="16"/>
      <w:szCs w:val="16"/>
    </w:rPr>
  </w:style>
  <w:style w:type="paragraph" w:styleId="CommentText">
    <w:name w:val="annotation text"/>
    <w:basedOn w:val="Normal"/>
    <w:link w:val="CommentTextChar"/>
    <w:uiPriority w:val="99"/>
    <w:semiHidden/>
    <w:unhideWhenUsed/>
    <w:rsid w:val="0044628B"/>
    <w:rPr>
      <w:sz w:val="20"/>
      <w:szCs w:val="20"/>
    </w:rPr>
  </w:style>
  <w:style w:type="character" w:customStyle="1" w:styleId="CommentTextChar">
    <w:name w:val="Comment Text Char"/>
    <w:link w:val="CommentText"/>
    <w:uiPriority w:val="99"/>
    <w:semiHidden/>
    <w:rsid w:val="0044628B"/>
    <w:rPr>
      <w:rFonts w:ascii="Times New Roman" w:hAnsi="Times New Roman"/>
      <w:lang w:val="fr-FR"/>
    </w:rPr>
  </w:style>
  <w:style w:type="paragraph" w:styleId="CommentSubject">
    <w:name w:val="annotation subject"/>
    <w:basedOn w:val="CommentText"/>
    <w:next w:val="CommentText"/>
    <w:link w:val="CommentSubjectChar"/>
    <w:uiPriority w:val="99"/>
    <w:semiHidden/>
    <w:unhideWhenUsed/>
    <w:rsid w:val="0044628B"/>
    <w:rPr>
      <w:b/>
      <w:bCs/>
    </w:rPr>
  </w:style>
  <w:style w:type="character" w:customStyle="1" w:styleId="CommentSubjectChar">
    <w:name w:val="Comment Subject Char"/>
    <w:link w:val="CommentSubject"/>
    <w:uiPriority w:val="99"/>
    <w:semiHidden/>
    <w:rsid w:val="0044628B"/>
    <w:rPr>
      <w:rFonts w:ascii="Times New Roman" w:hAnsi="Times New Roman"/>
      <w:b/>
      <w:bCs/>
      <w:lang w:val="fr-FR"/>
    </w:rPr>
  </w:style>
  <w:style w:type="paragraph" w:styleId="BalloonText">
    <w:name w:val="Balloon Text"/>
    <w:basedOn w:val="Normal"/>
    <w:link w:val="BalloonTextChar"/>
    <w:uiPriority w:val="99"/>
    <w:semiHidden/>
    <w:unhideWhenUsed/>
    <w:rsid w:val="0044628B"/>
    <w:pPr>
      <w:spacing w:before="0" w:after="0"/>
    </w:pPr>
    <w:rPr>
      <w:rFonts w:ascii="Tahoma" w:hAnsi="Tahoma" w:cs="Tahoma"/>
      <w:sz w:val="16"/>
      <w:szCs w:val="16"/>
    </w:rPr>
  </w:style>
  <w:style w:type="character" w:customStyle="1" w:styleId="BalloonTextChar">
    <w:name w:val="Balloon Text Char"/>
    <w:link w:val="BalloonText"/>
    <w:uiPriority w:val="99"/>
    <w:semiHidden/>
    <w:rsid w:val="0044628B"/>
    <w:rPr>
      <w:rFonts w:ascii="Tahoma" w:hAnsi="Tahoma" w:cs="Tahoma"/>
      <w:sz w:val="16"/>
      <w:szCs w:val="16"/>
      <w:lang w:val="fr-FR"/>
    </w:rPr>
  </w:style>
  <w:style w:type="paragraph" w:styleId="Caption">
    <w:name w:val="caption"/>
    <w:basedOn w:val="Normal"/>
    <w:next w:val="Normal"/>
    <w:uiPriority w:val="35"/>
    <w:semiHidden/>
    <w:unhideWhenUsed/>
    <w:qFormat/>
    <w:rsid w:val="00274C37"/>
    <w:rPr>
      <w:b/>
      <w:bCs/>
      <w:sz w:val="20"/>
      <w:szCs w:val="20"/>
    </w:rPr>
  </w:style>
  <w:style w:type="paragraph" w:styleId="TableofFigures">
    <w:name w:val="table of figures"/>
    <w:basedOn w:val="Normal"/>
    <w:next w:val="Normal"/>
    <w:uiPriority w:val="99"/>
    <w:semiHidden/>
    <w:unhideWhenUsed/>
    <w:rsid w:val="00274C37"/>
  </w:style>
  <w:style w:type="paragraph" w:styleId="ListNumber">
    <w:name w:val="List Number"/>
    <w:basedOn w:val="Normal"/>
    <w:uiPriority w:val="99"/>
    <w:semiHidden/>
    <w:unhideWhenUsed/>
    <w:rsid w:val="00274C37"/>
    <w:pPr>
      <w:numPr>
        <w:numId w:val="6"/>
      </w:numPr>
      <w:contextualSpacing/>
    </w:pPr>
  </w:style>
  <w:style w:type="paragraph" w:styleId="ListNumber2">
    <w:name w:val="List Number 2"/>
    <w:basedOn w:val="Normal"/>
    <w:uiPriority w:val="99"/>
    <w:semiHidden/>
    <w:unhideWhenUsed/>
    <w:rsid w:val="00274C37"/>
    <w:pPr>
      <w:numPr>
        <w:numId w:val="7"/>
      </w:numPr>
      <w:contextualSpacing/>
    </w:pPr>
  </w:style>
  <w:style w:type="paragraph" w:styleId="ListNumber3">
    <w:name w:val="List Number 3"/>
    <w:basedOn w:val="Normal"/>
    <w:uiPriority w:val="99"/>
    <w:semiHidden/>
    <w:unhideWhenUsed/>
    <w:rsid w:val="00274C37"/>
    <w:pPr>
      <w:numPr>
        <w:numId w:val="8"/>
      </w:numPr>
      <w:contextualSpacing/>
    </w:pPr>
  </w:style>
  <w:style w:type="paragraph" w:styleId="ListNumber4">
    <w:name w:val="List Number 4"/>
    <w:basedOn w:val="Normal"/>
    <w:uiPriority w:val="99"/>
    <w:semiHidden/>
    <w:unhideWhenUsed/>
    <w:rsid w:val="00274C37"/>
    <w:pPr>
      <w:numPr>
        <w:numId w:val="9"/>
      </w:numPr>
      <w:contextualSpacing/>
    </w:pPr>
  </w:style>
  <w:style w:type="character" w:styleId="Hyperlink">
    <w:name w:val="Hyperlink"/>
    <w:uiPriority w:val="99"/>
    <w:unhideWhenUsed/>
    <w:rsid w:val="00D24F82"/>
    <w:rPr>
      <w:color w:val="0000FF"/>
      <w:u w:val="single"/>
    </w:rPr>
  </w:style>
  <w:style w:type="paragraph" w:styleId="Header">
    <w:name w:val="header"/>
    <w:basedOn w:val="Normal"/>
    <w:link w:val="HeaderChar"/>
    <w:uiPriority w:val="99"/>
    <w:unhideWhenUsed/>
    <w:rsid w:val="0054739C"/>
    <w:pPr>
      <w:tabs>
        <w:tab w:val="center" w:pos="4535"/>
        <w:tab w:val="right" w:pos="9071"/>
      </w:tabs>
      <w:spacing w:before="0"/>
    </w:pPr>
  </w:style>
  <w:style w:type="character" w:customStyle="1" w:styleId="HeaderChar">
    <w:name w:val="Header Char"/>
    <w:link w:val="Header"/>
    <w:uiPriority w:val="99"/>
    <w:rsid w:val="0054739C"/>
    <w:rPr>
      <w:rFonts w:ascii="Times New Roman" w:hAnsi="Times New Roman"/>
      <w:sz w:val="24"/>
      <w:lang w:val="fr-FR"/>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lang w:val="fr-FR"/>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lang w:val="fr-FR"/>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lang w:val="fr-FR"/>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lang w:val="fr-FR"/>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54739C"/>
    <w:pPr>
      <w:tabs>
        <w:tab w:val="center" w:pos="7285"/>
        <w:tab w:val="right" w:pos="14003"/>
      </w:tabs>
      <w:spacing w:before="0"/>
    </w:pPr>
    <w:rPr>
      <w:rFonts w:eastAsiaTheme="minorHAnsi"/>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10CEF-6AE9-4D86-968C-0659C1D6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4</Pages>
  <Words>778</Words>
  <Characters>4655</Characters>
  <Application>Microsoft Office Word</Application>
  <DocSecurity>0</DocSecurity>
  <Lines>99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5</cp:revision>
  <dcterms:created xsi:type="dcterms:W3CDTF">2017-09-07T08:29:00Z</dcterms:created>
  <dcterms:modified xsi:type="dcterms:W3CDTF">2017-10-02T07:42:00Z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