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868DFA4781946C4B394A595E55891E2" style="width:450.7pt;height:365.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Bdr>
          <w:top w:val="nil"/>
          <w:left w:val="nil"/>
          <w:bottom w:val="nil"/>
          <w:right w:val="nil"/>
          <w:between w:val="nil"/>
          <w:bar w:val="nil"/>
        </w:pBdr>
        <w:spacing w:before="0" w:after="240"/>
        <w:rPr>
          <w:rFonts w:eastAsia="Arial Unicode MS"/>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(наричана по-долу „Директивата за ДДС“) Съветът, действащ с единодушие по предложение на Комисията, може да разреши на дадена държава членка да въведе специални мерки за дерогация от разпоредбите на посочената директива, за да се опрости процедурата за събиране на ДДС или да се предотвратят определени форми на отклонение от данъчно облагане или избягване на данъци.</w:t>
      </w:r>
    </w:p>
    <w:p>
      <w:pPr>
        <w:pBdr>
          <w:top w:val="nil"/>
          <w:left w:val="nil"/>
          <w:bottom w:val="nil"/>
          <w:right w:val="nil"/>
          <w:between w:val="nil"/>
          <w:bar w:val="nil"/>
        </w:pBdr>
        <w:spacing w:before="0" w:after="240"/>
        <w:rPr>
          <w:noProof/>
          <w:color w:val="008000"/>
        </w:rPr>
      </w:pPr>
      <w:r>
        <w:rPr>
          <w:noProof/>
        </w:rPr>
        <w:t>С писмо, заведено в Комисията на 11 юли 2017 г., Нидерландия поиска дерогация от член 193 от Директивата за ДДС, за да може да прилага механизма за обратно начисляване за доставките на далекосъобщителни услуги. В съответствие с член 395, параграф 2 от Директивата за ДДС, с писмо от 5 септември 2017 г. Комисията информира останалите държави членки за отправеното от Нидерландия искане. С писмо от 6 септември 2017 г. Комисията уведоми Нидерландия, че разполага с пълната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за предложението и негови цели</w:t>
      </w:r>
    </w:p>
    <w:p>
      <w:pPr>
        <w:pBdr>
          <w:top w:val="nil"/>
          <w:left w:val="nil"/>
          <w:bottom w:val="nil"/>
          <w:right w:val="nil"/>
          <w:between w:val="nil"/>
          <w:bar w:val="nil"/>
        </w:pBdr>
        <w:spacing w:before="0" w:after="240"/>
        <w:rPr>
          <w:rFonts w:eastAsia="Arial Unicode MS"/>
          <w:noProof/>
        </w:rPr>
      </w:pPr>
      <w:r>
        <w:rPr>
          <w:noProof/>
        </w:rPr>
        <w:t>По принцип по силата на член 193 от Директивата за ДДС лице – платец на данъка върху добавената стойност (ДДС), е данъчно задълженото лице, което доставя стоките или услугите.</w:t>
      </w:r>
    </w:p>
    <w:p>
      <w:pPr>
        <w:rPr>
          <w:noProof/>
        </w:rPr>
      </w:pPr>
      <w:r>
        <w:rPr>
          <w:noProof/>
        </w:rPr>
        <w:t xml:space="preserve">По силата на член 199а от Директивата за ДДС държавите членки могат да предвидят лицето – платец на ДДС, за изброените в същия член доставки да бъде данъчно задълженото лице, за което се извършва доставката (механизъм за обратно начисляване). При тази процедура данъчно задълженото лице, което е получател на доставките, става платец на ДДС. Когато това данъчно задължено лице има пълно право на приспадане, то едновременно декларира и приспада съответстващия на доставката ДДС, вследствие на което няма действително плащане на ДДС в държавния бюджет. Далекосъобщителните услуги са включени в буква ж) от член 199а. </w:t>
      </w:r>
    </w:p>
    <w:p>
      <w:pPr>
        <w:pBdr>
          <w:top w:val="nil"/>
          <w:left w:val="nil"/>
          <w:bottom w:val="nil"/>
          <w:right w:val="nil"/>
          <w:between w:val="nil"/>
          <w:bar w:val="nil"/>
        </w:pBdr>
        <w:spacing w:before="0" w:after="240"/>
        <w:rPr>
          <w:rFonts w:eastAsia="Arial Unicode MS"/>
          <w:noProof/>
        </w:rPr>
      </w:pPr>
      <w:r>
        <w:rPr>
          <w:noProof/>
        </w:rPr>
        <w:t xml:space="preserve">Нидерландия не използва възможността по член 199а, буква ж) от Директивата за ДДС и не прилага механизма за обратно начисляване по отношение на тези услуги. Поради разкритите неотдавна измами в отрасъла на далекосъобщителните услуги в Нидерландия обаче тази държава членка би искала да въведе този механизъм по отношение на вътрешните доставки на такива услуги. </w:t>
      </w:r>
    </w:p>
    <w:p>
      <w:pPr>
        <w:rPr>
          <w:noProof/>
        </w:rPr>
      </w:pPr>
      <w:r>
        <w:rPr>
          <w:noProof/>
        </w:rPr>
        <w:t xml:space="preserve">По силата на член 199а от Директивата за ДДС механизмът за обратно начисляване може да се прилага до 31 декември 2018 г. и за срок от най-малко две години. Тъй като условието за двугодишния срок не е изпълнено, Нидерландия не може да прилага механизма за обратно начисляване на основание на посочения член. </w:t>
      </w:r>
    </w:p>
    <w:p>
      <w:pPr>
        <w:rPr>
          <w:noProof/>
        </w:rPr>
      </w:pPr>
      <w:r>
        <w:rPr>
          <w:noProof/>
        </w:rPr>
        <w:t xml:space="preserve">Вследствие на това Нидерландия иска дерогация от член 193 от Директивата за ДДС, за да получи разрешение да прилага механизма за обратно начисляване по отношение на доставките на далекосъобщителни услуги на основание на член 395 от същата директива. </w:t>
      </w:r>
    </w:p>
    <w:p>
      <w:pPr>
        <w:rPr>
          <w:noProof/>
        </w:rPr>
      </w:pPr>
      <w:r>
        <w:rPr>
          <w:noProof/>
        </w:rPr>
        <w:t xml:space="preserve">Целта на поисканата дерогация е предотвратяване на измамите с ДДС в отрасъла на далекосъобщителните услуги. Въпреки че при доставките на далекосъобщителни услуги има сравнително висок риск от измами и Нидерландия ги следи внимателно, </w:t>
      </w:r>
      <w:r>
        <w:rPr>
          <w:noProof/>
        </w:rPr>
        <w:lastRenderedPageBreak/>
        <w:t xml:space="preserve">нидерландските власти неотдавна разкриха измамни схеми при продажбата на минути за разговори, в които има няколко липсващи търговци и буферни дружества, в т.ч. търговци със седалище в трети държави. Тези схеми водят до значителни загуби на приходи от ДДС. </w:t>
      </w:r>
    </w:p>
    <w:p>
      <w:pPr>
        <w:rPr>
          <w:noProof/>
        </w:rPr>
      </w:pPr>
      <w:r>
        <w:rPr>
          <w:noProof/>
        </w:rPr>
        <w:t xml:space="preserve">Въз основа на представената от Нидерландия информация обичайните методи за разкриване и предотвратяване на измамите не са ефективни, тъй като доставките на съответните услуги идват от държави извън ЕС и не са вписани в никакъв регистър или списък. Плащанията се извършват чрез платежни платформи по банкови сметки извън ЕС, което затруднява разкриването на сделките и прави невъзможно получаването на информация от банките. Нидерландия посочва, че без обратно начисляване на данъка за съответните услуги загубите на приходи от данъка ще нарастват стремително. </w:t>
      </w:r>
    </w:p>
    <w:p>
      <w:pPr>
        <w:rPr>
          <w:noProof/>
        </w:rPr>
      </w:pPr>
      <w:r>
        <w:rPr>
          <w:noProof/>
        </w:rPr>
        <w:t xml:space="preserve">Смята се, че при далекосъобщителните услуги има сравнително висок риск от измами и те са включени в член 199а, буква ж) от Директивата за ДДС. Ако беше изпълнено условието за минималния срок на прилагане, Нидерландия щеше да има основание да прилага механизма за обратно начисляване по силата на посочената разпоредба. </w:t>
      </w:r>
    </w:p>
    <w:p>
      <w:pPr>
        <w:rPr>
          <w:noProof/>
        </w:rPr>
      </w:pPr>
      <w:r>
        <w:rPr>
          <w:noProof/>
        </w:rPr>
        <w:t xml:space="preserve">Предлага се дерогацията да бъде предоставена за срока на действие на член 199а от Директивата за ДДС. Затова дерогацията се предлага със срок до 31 декември 2018 г., т.е. датата, на която изтича срокът на действие на член 199а от Директивата за ДДС.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На основание на член 199а, буква ж) от Директивата за ДДС механизмът за обратно начисляване може да се прилага по отношение на доставките на далекосъобщителни услуги. Няколко държави членки прилагат обратно начисляване по силата на тази разпоредба</w:t>
      </w:r>
      <w:r>
        <w:rPr>
          <w:rStyle w:val="FootnoteReference"/>
          <w:noProof/>
        </w:rPr>
        <w:footnoteReference w:id="1"/>
      </w:r>
      <w:r>
        <w:rPr>
          <w:noProof/>
        </w:rPr>
        <w:t xml:space="preserve">. Ако беше изпълнено условието за минималния двугодишен срок на прилагане, Нидерландия щеше да има правото да прилага механизма за обратно начисляване за далекосъобщителните услуги, без да иска дерогация на основание на член 395 от Директивата за ДДС.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Следователно предложената мярка е съобразена с действащите разпоредби на Директивата за ДДС.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395 от Директивата за ДДС.</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Като се има предвид разпоредбата от Директивата за ДДС, на основание на която се представя предложението, то е от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Решението се отнася до даване на разрешение на държава членка по нейно искане и не представлява задължение.</w:t>
      </w:r>
    </w:p>
    <w:p>
      <w:pPr>
        <w:rPr>
          <w:noProof/>
        </w:rPr>
      </w:pPr>
      <w:r>
        <w:rPr>
          <w:noProof/>
        </w:rPr>
        <w:t xml:space="preserve">Предвид на ограничения обхват на дерогацията специалната мярка е пропорционална на поставената цел, а именно — предотвратяване на някои форми на отклонение от данъчно облагане и избягване на данъци в конкретен отрасъл. </w:t>
      </w:r>
    </w:p>
    <w:p>
      <w:pPr>
        <w:pStyle w:val="ManualHeading2"/>
        <w:rPr>
          <w:rFonts w:eastAsia="Arial Unicode MS"/>
          <w:noProof/>
          <w:u w:color="000000"/>
          <w:bdr w:val="nil"/>
        </w:rPr>
      </w:pPr>
      <w:r>
        <w:rPr>
          <w:noProof/>
        </w:rPr>
        <w:t>•</w:t>
      </w:r>
      <w:r>
        <w:rPr>
          <w:noProof/>
        </w:rPr>
        <w:tab/>
        <w:t>Избор на акт</w:t>
      </w:r>
    </w:p>
    <w:p>
      <w:pPr>
        <w:rPr>
          <w:noProof/>
        </w:rPr>
      </w:pPr>
      <w:r>
        <w:rPr>
          <w:noProof/>
        </w:rPr>
        <w:t>По силата на член 395 от Директивата за ДДС дерогация от общите разпоредби за ДДС е възможна единствено с разрешение от Съвета, прието с единодушие по предложение на Комисията. Освен това решение на Съвета е най-подходящият акт, тъй като негов адресат могат да бъдат отделни държави членки.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Настоящото предложение се основава на искане, подадено от Нидерландия, и се отнася само до тази държава членка.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rPr>
      </w:pPr>
      <w:r>
        <w:rPr>
          <w:noProof/>
        </w:rPr>
        <w:t>Външни експертни становища не бяха необходими.</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 xml:space="preserve">Предложението за решение за изпълнение има за цел да се предотвратят някои форми на отклонение от данъчно облагане или избягване на данъци в отрасъла на далекосъобщителните услуги. Механизмът за обратно начисляване би трябвало да помогне на Нидерландия да спре разпространението на разкритите неотдавна измами с ДДС и да предотвратява измамите при доставките на далекосъобщителни услуги. Следователно мярката за дерогация може да има положително въздействие. </w:t>
      </w:r>
    </w:p>
    <w:p>
      <w:pPr>
        <w:rPr>
          <w:noProof/>
        </w:rPr>
      </w:pPr>
      <w:r>
        <w:rPr>
          <w:noProof/>
        </w:rPr>
        <w:t>Поради тесния обхват на дерогацията и ограничения ѝ срок на прилагане въздействието при всички случаи ще бъде ограничено.</w:t>
      </w:r>
    </w:p>
    <w:p>
      <w:pPr>
        <w:pStyle w:val="ManualHeading1"/>
        <w:rPr>
          <w:noProof/>
        </w:rPr>
      </w:pPr>
      <w:r>
        <w:rPr>
          <w:noProof/>
        </w:rPr>
        <w:t>4.</w:t>
      </w:r>
      <w:r>
        <w:rPr>
          <w:noProof/>
        </w:rPr>
        <w:tab/>
        <w:t>ОТРАЖЕНИЕ ВЪРХУ БЮДЖЕТА</w:t>
      </w:r>
    </w:p>
    <w:p>
      <w:pPr>
        <w:rPr>
          <w:noProof/>
        </w:rPr>
      </w:pPr>
      <w:r>
        <w:rPr>
          <w:noProof/>
        </w:rPr>
        <w:t xml:space="preserve">Предложението няма отрицателно отражение върху бюджета на ЕС. </w:t>
      </w:r>
    </w:p>
    <w:p>
      <w:pPr>
        <w:pStyle w:val="ManualHeading1"/>
        <w:rPr>
          <w:noProof/>
        </w:rPr>
      </w:pPr>
      <w:r>
        <w:rPr>
          <w:noProof/>
        </w:rPr>
        <w:t>5.</w:t>
      </w:r>
      <w:r>
        <w:rPr>
          <w:noProof/>
        </w:rPr>
        <w:tab/>
        <w:t>ДРУГИ ЕЛЕМЕНТИ</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Предложението включва клауза за изтичане на срока на действие на 31 декември 2018 г.</w:t>
      </w:r>
    </w:p>
    <w:p>
      <w:pPr>
        <w:pStyle w:val="Rfrenceinterinstitutionnelle"/>
        <w:rPr>
          <w:noProof/>
        </w:rPr>
      </w:pPr>
      <w:r>
        <w:rPr>
          <w:noProof/>
        </w:rPr>
        <w:t>2017/0243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Кралство Нидерландия да въведе специална мярка за дерогация от член 193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2"/>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По принцип по силата на член 193 от Директива 2006/112/ЕО данъчно задълженото лице, което доставя стоките или услугите, е лице – платец на данъка върху добавената стойност (ДДС), и е задължено да го плати на данъчните органи.</w:t>
      </w:r>
    </w:p>
    <w:p>
      <w:pPr>
        <w:pStyle w:val="ManualConsidrant"/>
        <w:rPr>
          <w:noProof/>
        </w:rPr>
      </w:pPr>
      <w:r>
        <w:t>(2)</w:t>
      </w:r>
      <w:r>
        <w:tab/>
      </w:r>
      <w:r>
        <w:rPr>
          <w:noProof/>
        </w:rPr>
        <w:t xml:space="preserve">По силата на член 199а, буква ж) от Директивата за ДДС държавите членки могат да предвидят платец на ДДС за доставките на далекосъобщителни услуги да бъде данъчно задълженото лице, за което се извършва доставката (механизъм за обратно начисляване). Нидерландия не използва тази възможност. </w:t>
      </w:r>
    </w:p>
    <w:p>
      <w:pPr>
        <w:pStyle w:val="ManualConsidrant"/>
        <w:rPr>
          <w:noProof/>
        </w:rPr>
      </w:pPr>
      <w:r>
        <w:t>(3)</w:t>
      </w:r>
      <w:r>
        <w:tab/>
      </w:r>
      <w:r>
        <w:rPr>
          <w:noProof/>
        </w:rPr>
        <w:t xml:space="preserve">Поради разкритите неотдавна измами в отрасъла на далекосъобщителните услуги в Нидерландия тази държава членка би искала да въведе механизма за обратно начисляване по отношение на вътрешните доставки на далекосъобщителни услуги. </w:t>
      </w:r>
    </w:p>
    <w:p>
      <w:pPr>
        <w:pStyle w:val="ManualConsidrant"/>
        <w:rPr>
          <w:noProof/>
        </w:rPr>
      </w:pPr>
      <w:r>
        <w:t>(4)</w:t>
      </w:r>
      <w:r>
        <w:tab/>
      </w:r>
      <w:r>
        <w:rPr>
          <w:noProof/>
        </w:rPr>
        <w:t xml:space="preserve">По силата на член 199а от Директивата за ДДС механизмът за обратно начисляване може да се прилага до 31 декември 2018 г. и за срок от най-малко две години. Тъй като условието за двугодишния срок не е изпълнено, Нидерландия не може да прилага механизма за обратно начисляване на основание на член 199а, буква ж) от Директивата за ДДС. </w:t>
      </w:r>
    </w:p>
    <w:p>
      <w:pPr>
        <w:pStyle w:val="ManualConsidrant"/>
        <w:rPr>
          <w:noProof/>
        </w:rPr>
      </w:pPr>
      <w:r>
        <w:t>(5)</w:t>
      </w:r>
      <w:r>
        <w:tab/>
      </w:r>
      <w:r>
        <w:rPr>
          <w:noProof/>
        </w:rPr>
        <w:t xml:space="preserve">Вследствие на това с писмо, заведено в Комисията на 11 юли 2017 г., Нидерландия поиска дерогация от член 193 от Директивата за ДДС, за да получи разрешение да прилага механизма за обратно начисляване по отношение на доставките на далекосъобщителни услуги на основание на член 395 от същата директива. </w:t>
      </w:r>
    </w:p>
    <w:p>
      <w:pPr>
        <w:pStyle w:val="ManualConsidrant"/>
        <w:rPr>
          <w:noProof/>
        </w:rPr>
      </w:pPr>
      <w:r>
        <w:t>(6)</w:t>
      </w:r>
      <w:r>
        <w:tab/>
      </w:r>
      <w:r>
        <w:rPr>
          <w:noProof/>
        </w:rPr>
        <w:t>В съответствие с член 395, параграф 2 от Директива 2006/112/ЕО, с писмо от 5 септември 2017 г. Комисията информира останалите държави членки за отправеното от Нидерландия искане. С писмо от 6 септември 2017 г. Комисията уведоми Нидерландия, че разполага с пълната информация, необходима за разглеждане на искането.</w:t>
      </w:r>
    </w:p>
    <w:p>
      <w:pPr>
        <w:pStyle w:val="ManualConsidrant"/>
        <w:rPr>
          <w:noProof/>
        </w:rPr>
      </w:pPr>
      <w:r>
        <w:t>(7)</w:t>
      </w:r>
      <w:r>
        <w:tab/>
      </w:r>
      <w:r>
        <w:rPr>
          <w:noProof/>
        </w:rPr>
        <w:t xml:space="preserve">Целта на поисканата дерогация е предотвратяване на измамите с ДДС в отрасъла на далекосъобщителните услуги. Въпреки че при доставките на далекосъобщителни услуги има сравнително висок риск от измами и те биват внимателно следени, Нидерландия неотдавна разкри измамни схеми при продажбата на минути за разговори, в които има няколко липсващи търговци и буферни дружества. Тези схеми водят до значителни загуби на приходи от данъка. </w:t>
      </w:r>
    </w:p>
    <w:p>
      <w:pPr>
        <w:pStyle w:val="ManualConsidrant"/>
        <w:rPr>
          <w:noProof/>
        </w:rPr>
      </w:pPr>
      <w:r>
        <w:t>(8)</w:t>
      </w:r>
      <w:r>
        <w:tab/>
      </w:r>
      <w:r>
        <w:rPr>
          <w:noProof/>
        </w:rPr>
        <w:t xml:space="preserve">Въз основа на представената от Нидерландия информация обичайните методи за откриване и предотвратяване на измамите не са ефективни, тъй като доставките на съответните услуги идват от държави извън ЕС и не са вписани в никакъв регистър или списък. Плащанията се извършват чрез платежни платформи по банкови сметки извън ЕС, което затруднява разкриването на сделките и прави невъзможно получаването на информация от банките. Нидерландия посочва, че без механизъм за обратно начисляване на данъка за съответните услуги загубите на данъчни приходи ще нарастват стремително. </w:t>
      </w:r>
    </w:p>
    <w:p>
      <w:pPr>
        <w:pStyle w:val="ManualConsidrant"/>
        <w:rPr>
          <w:noProof/>
        </w:rPr>
      </w:pPr>
      <w:r>
        <w:t>(9)</w:t>
      </w:r>
      <w:r>
        <w:tab/>
      </w:r>
      <w:r>
        <w:rPr>
          <w:noProof/>
        </w:rPr>
        <w:t xml:space="preserve">Затова на Нидерландия следва да се разреши да прилага механизма за обратно начисляване за доставките на далекосъобщителни услуги за срока на действие на член 199а от Директивата за ДДС. Дерогацията следва да бъде предоставена със срок до 31 декември 2018 г. </w:t>
      </w:r>
    </w:p>
    <w:p>
      <w:pPr>
        <w:pStyle w:val="ManualConsidrant"/>
        <w:rPr>
          <w:noProof/>
        </w:rPr>
      </w:pPr>
      <w:r>
        <w:t>(10)</w:t>
      </w:r>
      <w:r>
        <w:tab/>
      </w:r>
      <w:r>
        <w:rPr>
          <w:noProof/>
        </w:rPr>
        <w:t xml:space="preserve">Дерогацията няма отрицателно въздействие върху собствените ресурси на Съюза, формирани от ДДС,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lang w:val="ru-RU"/>
        </w:rPr>
      </w:pPr>
      <w:r>
        <w:rPr>
          <w:noProof/>
        </w:rPr>
        <w:t>Чрез дерогация от член 193 от Директива 2006/112/ЕО на Нидерландия се разрешава при доставките на далекосъобщителни услуги да определи получателя на доставката за лице – платец на данъка върху добавената стойност (ДДС), което е задължено да го плати на данъчните органи.</w:t>
      </w:r>
    </w:p>
    <w:p>
      <w:pPr>
        <w:pStyle w:val="Titrearticle"/>
        <w:rPr>
          <w:noProof/>
        </w:rPr>
      </w:pPr>
      <w:r>
        <w:rPr>
          <w:noProof/>
        </w:rPr>
        <w:t>Член 2</w:t>
      </w:r>
    </w:p>
    <w:p>
      <w:pPr>
        <w:rPr>
          <w:noProof/>
        </w:rPr>
      </w:pPr>
      <w:r>
        <w:rPr>
          <w:noProof/>
        </w:rPr>
        <w:t>Настоящото решение поражда действие в деня на уведомяването за него.</w:t>
      </w:r>
    </w:p>
    <w:p>
      <w:pPr>
        <w:rPr>
          <w:noProof/>
        </w:rPr>
      </w:pPr>
      <w:r>
        <w:rPr>
          <w:noProof/>
        </w:rPr>
        <w:t>Срокът на действие на настоящото решение изтича на 31 декември 2018 г.</w:t>
      </w:r>
    </w:p>
    <w:p>
      <w:pPr>
        <w:pStyle w:val="Titrearticle"/>
        <w:rPr>
          <w:noProof/>
          <w:color w:val="000000" w:themeColor="text1"/>
        </w:rPr>
      </w:pPr>
      <w:r>
        <w:rPr>
          <w:noProof/>
        </w:rPr>
        <w:t>Член 3</w:t>
      </w:r>
    </w:p>
    <w:p>
      <w:pPr>
        <w:keepNext/>
        <w:keepLines/>
        <w:rPr>
          <w:noProof/>
        </w:rPr>
      </w:pPr>
      <w:r>
        <w:rPr>
          <w:noProof/>
          <w:color w:val="000000"/>
        </w:rPr>
        <w:t>Адресат на настоящото решение е Кралство Нидерландия.</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tab/>
        <w:t xml:space="preserve">Вж. списъка с уведомленията на Комитета по ДДС: </w:t>
      </w:r>
      <w:hyperlink r:id="rId1">
        <w:r>
          <w:rPr>
            <w:rStyle w:val="Hyperlink"/>
          </w:rPr>
          <w:t>http://ec.europa.eu/taxation_customs/sites/taxation/files/resources/documents/taxation/vat/key_documents/vat_committee/notifications.pdf</w:t>
        </w:r>
      </w:hyperlink>
    </w:p>
  </w:footnote>
  <w:footnote w:id="2">
    <w:p>
      <w:pPr>
        <w:pStyle w:val="FootnoteText"/>
      </w:pPr>
      <w:r>
        <w:rPr>
          <w:rStyle w:val="FootnoteReference"/>
        </w:rPr>
        <w:footnoteRef/>
      </w:r>
      <w:r>
        <w:tab/>
        <w:t>ОВ L 347, 11.12.2006 г., стр.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066C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ACD7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12C3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4833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F250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A817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044CE0"/>
    <w:lvl w:ilvl="0">
      <w:start w:val="1"/>
      <w:numFmt w:val="decimal"/>
      <w:pStyle w:val="ListNumber"/>
      <w:lvlText w:val="%1."/>
      <w:lvlJc w:val="left"/>
      <w:pPr>
        <w:tabs>
          <w:tab w:val="num" w:pos="360"/>
        </w:tabs>
        <w:ind w:left="360" w:hanging="360"/>
      </w:pPr>
    </w:lvl>
  </w:abstractNum>
  <w:abstractNum w:abstractNumId="7">
    <w:nsid w:val="FFFFFF89"/>
    <w:multiLevelType w:val="singleLevel"/>
    <w:tmpl w:val="74AED8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3 12:18:0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B868DFA4781946C4B394A595E55891E2"/>
    <w:docVar w:name="LW_CROSSREFERENCE" w:val="&lt;UNUSED&gt;"/>
    <w:docVar w:name="LW_DocType" w:val="COM"/>
    <w:docVar w:name="LW_EMISSION" w:val="3.10.2017"/>
    <w:docVar w:name="LW_EMISSION_ISODATE" w:val="2017-10-03"/>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STATUT" w:val="SJ-020"/>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3"/>
    <w:docVar w:name="LW_REF.II.NEW.CP_YEAR" w:val="2017"/>
    <w:docVar w:name="LW_REF.INST.NEW" w:val="COM"/>
    <w:docVar w:name="LW_REF.INST.NEW_ADOPTED" w:val="final"/>
    <w:docVar w:name="LW_REF.INST.NEW_TEXT" w:val="(2017) 561"/>
    <w:docVar w:name="LW_REF.INTERNE" w:val="&lt;UNUSED&gt;"/>
    <w:docVar w:name="LW_SOUS.TITRE.OBJ.CP" w:val="&lt;UNUSED&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50?\u1088?\u1072?\u1083?\u1089?\u1090?\u1074?\u1086? \u1053?\u1080?\u1076?\u1077?\u1088?\u1083?\u1072?\u1085?\u1076?\u1080?\u1103? \u1076?\u1072? \u1074?\u1098?\u1074?\u1077?\u1076?\u1077? \u1089?\u1087?\u1077?\u1094?\u1080?\u1072?\u1083?\u1085?\u1072? \u1084?\u1103?\u1088?\u1082?\u1072? \u1079?\u1072? \u1076?\u1077?\u1088?\u1086?\u1075?\u1072?\u1094?\u1080?\u1103? \u1086?\u1090? \u1095?\u1083?\u1077?\u1085? 193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sites/taxation/files/resources/documents/taxation/vat/key_documents/vat_committee/notifica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92D42-BE8F-4523-B979-4B2F826B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1738</Words>
  <Characters>9838</Characters>
  <Application>Microsoft Office Word</Application>
  <DocSecurity>0</DocSecurity>
  <Lines>192</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2017-08-09T12:25:00Z</cp:lastPrinted>
  <dcterms:created xsi:type="dcterms:W3CDTF">2017-09-26T09:20:00Z</dcterms:created>
  <dcterms:modified xsi:type="dcterms:W3CDTF">2017-10-03T10:18:00Z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