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6A20FB72503C45BC87E49573EBADBE34" style="width:450.75pt;height:407.2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noProof/>
          <w:color w:val="000000"/>
          <w:szCs w:val="20"/>
        </w:rPr>
      </w:pPr>
      <w:r>
        <w:rPr>
          <w:noProof/>
        </w:rPr>
        <w:t xml:space="preserve">Настоящото предложение се отнася до решението на Съвета за установяване на позицията, която да бъде заета от името на Съюза в рамките на Комитета за асоцииране в състав „Търговия“, във връзка с положителното становище относно подробната пътна карта, представена от Република Молдова във връзка с изпълнението на споразумението в областта на обществените поръчки.  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</w:t>
      </w:r>
    </w:p>
    <w:p>
      <w:pPr>
        <w:rPr>
          <w:noProof/>
          <w:color w:val="000000"/>
          <w:szCs w:val="20"/>
        </w:rPr>
      </w:pPr>
      <w:r>
        <w:rPr>
          <w:noProof/>
        </w:rPr>
        <w:t>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страна, („Споразумението“) има за цел да допринесе за постепенната икономическа интеграция и задълбочаването на политическото асоцииране между Република Молдова и Европейския съюз. Споразумението влезе в сила на 1 юли 2016 г.</w:t>
      </w:r>
      <w:r>
        <w:rPr>
          <w:noProof/>
          <w:color w:val="000000"/>
        </w:rPr>
        <w:t xml:space="preserve"> 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Комитет за асоцииране</w:t>
      </w:r>
      <w:r>
        <w:rPr>
          <w:noProof/>
          <w:color w:val="000000"/>
        </w:rPr>
        <w:t xml:space="preserve"> </w:t>
      </w:r>
    </w:p>
    <w:p>
      <w:pPr>
        <w:rPr>
          <w:noProof/>
        </w:rPr>
      </w:pPr>
      <w:r>
        <w:rPr>
          <w:noProof/>
        </w:rPr>
        <w:t xml:space="preserve">Комитетът за асоцииране е създаден със споразумението орган, който в съответствие с член 438, параграф 3 от Споразумението има правомощието да приема решения в случаите, предвидени в споразумението, и в областите, в които Съветът за асоциирани му е делегирал правомощия. Тези решения имат задължителна сила за страните, които трябва да предприемат необходимите мерки за изпълнението им. </w:t>
      </w:r>
    </w:p>
    <w:p>
      <w:pPr>
        <w:rPr>
          <w:rFonts w:eastAsia="Arial Unicode MS"/>
          <w:noProof/>
        </w:rPr>
      </w:pPr>
      <w:r>
        <w:rPr>
          <w:noProof/>
        </w:rPr>
        <w:t>Както е предвидено в член 438, параграф 4 от Споразумението, Комитетът за асоцииране заседава в състав „Търговия“ и разглежда всички търговски и свързани с търговията въпроси от дял V от Споразумението. Както е посочено в член 1, параграф 4 от Правилника на Комитета за асоцииране и на подкомитетите („Правилника“)</w:t>
      </w:r>
      <w:r>
        <w:rPr>
          <w:rStyle w:val="FootnoteReference"/>
          <w:noProof/>
        </w:rPr>
        <w:footnoteReference w:id="1"/>
      </w:r>
      <w:r>
        <w:rPr>
          <w:noProof/>
        </w:rPr>
        <w:t>, Комитетът за асоцииране в състав „Търговия“ се състои от висши длъжностни лица от Европейската комисия и от Република Молдова, отговарящи за търговията и свързаните с търговията въпроси. Длъжността председател на Комитета за асоцииране в състав „Търговия“ се изпълнява от представител на Европейската комисия или на Република Молдова, който отговаря за търговията и свързаните с търговията въпроси. На заседанията ще присъства също представител на Европейската служба за външна дейност.</w:t>
      </w:r>
    </w:p>
    <w:p>
      <w:pPr>
        <w:rPr>
          <w:rFonts w:eastAsia="Arial Unicode MS"/>
          <w:noProof/>
        </w:rPr>
      </w:pPr>
      <w:r>
        <w:rPr>
          <w:noProof/>
        </w:rPr>
        <w:t>В съответствие с член 438, параграф 3 от Споразумението и член 11, параграф 1 от Правилника Комитетът за асоцииране приема своите решения по взаимно съгласие на страните и след приключване на съответните вътрешни процедури. Всяко решение или препоръка носи подписа на председателя на Комитета за асоцииране и е заверено(а) от секретарите на Комитета за асоцииране.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Комитета за асоцииране в състав „Търговия“</w:t>
      </w:r>
    </w:p>
    <w:p>
      <w:pPr>
        <w:rPr>
          <w:noProof/>
          <w:color w:val="000000"/>
          <w:szCs w:val="20"/>
        </w:rPr>
      </w:pPr>
      <w:r>
        <w:rPr>
          <w:noProof/>
        </w:rPr>
        <w:t xml:space="preserve">Комитетът за асоцииране в състав „Търговия“ трябва да приеме решение за положително становище относно подробната пътна карта, представена от Република </w:t>
      </w:r>
      <w:r>
        <w:rPr>
          <w:noProof/>
        </w:rPr>
        <w:lastRenderedPageBreak/>
        <w:t>Молдова във връзка с изпълнението на Споразумението в областта на обществените поръчки („предвидения акт“).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>Целта на положителното становище относно пътната карта е да се улесни законодателното сближаване на Република Молдова в областта на обществените поръчки, както е предвидено в член 272 от споразумението. Тази стъпка е неразделна част от процеса на прилагането на Споразумението. Пътната карта ще се счита за референтния документ за прилагането на Споразумението от страна на Република Молдова в областта на обществените поръчки.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Предвиденият акт е задължителен за страните по Споразумението в съответствие с член 438, параграф 3 от Споразумението, в който се предвижда следното: „Комитетът за асоцииране разполага с правомощието да приема решения в случаите, предвидени в настоящото споразумение и в областите, в които Съветът за асоцииране му е делегирал правомощия“ Тези решения са задължителни за страните, които предприемат необходимите мерки за изпълнението им.“ 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да бъде заета от името на Съюза</w:t>
      </w:r>
    </w:p>
    <w:p>
      <w:pPr>
        <w:rPr>
          <w:noProof/>
          <w:color w:val="000000"/>
          <w:szCs w:val="20"/>
        </w:rPr>
      </w:pPr>
      <w:r>
        <w:rPr>
          <w:noProof/>
        </w:rPr>
        <w:t xml:space="preserve">Настоящото предложение за решение на Съвета установява позицията на Съюза във връзка с решение, което да бъде взето в рамките на Комитета за асоцииране, създаден със Споразумението във връзка с благоприятно становище относно подробната пътна карта, представена от Република Молдова във връзка с изпълнението на споразумението в областта на обществените поръчки. </w:t>
      </w:r>
    </w:p>
    <w:p>
      <w:pPr>
        <w:rPr>
          <w:noProof/>
          <w:color w:val="000000"/>
          <w:szCs w:val="20"/>
        </w:rPr>
      </w:pPr>
      <w:r>
        <w:rPr>
          <w:noProof/>
        </w:rPr>
        <w:t>Положителното становище на Комитета за асоцииране в състав „Търговия“ по пътната карта е необходимо, за да може Република Молдова да оптимизира законодателното сближаване в областта на обществените поръчки, както е предвидено в член 272 от споразумението.</w:t>
      </w:r>
      <w:r>
        <w:rPr>
          <w:noProof/>
          <w:color w:val="000000"/>
        </w:rPr>
        <w:t xml:space="preserve"> 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Пътната карта относно обществените поръчки, представена от Република Молдова, отговаря на изискванията в член 272, параграфи 1 и 2 от Споразумението. 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>Настоящото предложение е в духа на другите външни политики на Съюза и същевременно допринася за тяхното осъществяване, особено що се отнася до Европейската политика на съседство и политиката на сътрудничество за развитие по отношение на Република Молдова.</w:t>
      </w:r>
    </w:p>
    <w:p>
      <w:pPr>
        <w:keepNext/>
        <w:tabs>
          <w:tab w:val="left" w:pos="850"/>
        </w:tabs>
        <w:outlineLvl w:val="1"/>
        <w:rPr>
          <w:noProof/>
        </w:rPr>
      </w:pPr>
      <w:r>
        <w:rPr>
          <w:noProof/>
        </w:rPr>
        <w:t>През 2009 г. бе извършена предварителна оценка на въздействието на търговските и свързаните с търговията разпоредби на споразумението, а през 2012 г. ГД „Търговия“ на Комисията направи оценка на въздействието на търговията върху устойчивото развитие, като това допринесе за напредъка по преговорите относно задълбочено и всеобхватно споразумение за свободна търговия. Въпросното проучване потвърди, че изпълнението на търговските и свързаните с търговията разпоредби няма да окаже отрицателно въздействие върху Съюза, достиженията на правото на ЕС или неговите политики, като в същото време се очаква то да окаже положително въздействие върху икономическото развитие на Република Молдова. Предложението няма отрицателно отражение върху икономическата, социалната и екологичната политика на Съюза.</w:t>
      </w:r>
    </w:p>
    <w:p>
      <w:pPr>
        <w:spacing w:before="0" w:after="240"/>
        <w:rPr>
          <w:noProof/>
        </w:rPr>
      </w:pPr>
      <w:r>
        <w:rPr>
          <w:noProof/>
        </w:rPr>
        <w:t xml:space="preserve">На този етап Споразумението не е предмет на процедури по REFIT; то не предполага никакви разходи за МСП в Съюза и не повдига въпроси във връзка с цифровата среда. 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</w:t>
      </w:r>
      <w:r>
        <w:rPr>
          <w:i/>
          <w:noProof/>
        </w:rPr>
        <w:t>актове с правно действие</w:t>
      </w:r>
      <w:r>
        <w:rPr>
          <w:noProof/>
        </w:rPr>
        <w:t>“ включва актове с правно действие по силата на нормите на международното право, на които се подчинява съответният орган. То включва и инструменти, които нямат обвързващ характер съгласно международното право, но са „</w:t>
      </w:r>
      <w:r>
        <w:rPr>
          <w:i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“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 xml:space="preserve">Комитетът за асоцииране е орган, създаден със споразумение, а именно със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страна. </w:t>
      </w:r>
    </w:p>
    <w:p>
      <w:pPr>
        <w:rPr>
          <w:noProof/>
          <w:color w:val="000000"/>
        </w:rPr>
      </w:pPr>
      <w:r>
        <w:rPr>
          <w:noProof/>
          <w:color w:val="000000"/>
        </w:rPr>
        <w:t xml:space="preserve">В член 272, параграф 3 от Споразумението се предвижда, че след положително становище от Комитета за асоцииране в състав „Търговия“ пътната карта ще бъде считана за референтен документ за изпълнението на тази глава. В съответствие с член 438, параграф 3 от Споразумението Комитетът за асоцииране разполага с правомощието да приема решения в случаите, предвидени в Споразумението. </w:t>
      </w:r>
      <w:r>
        <w:rPr>
          <w:noProof/>
        </w:rPr>
        <w:t>В съответствие с член 438, параграф 4 от Споразумението Комитетът за асоцииране заседава в състав „Търговия“ и разглежда всички търговски и свързани с търговията въпроси от дял V от Споразумението.</w:t>
      </w:r>
    </w:p>
    <w:p>
      <w:pPr>
        <w:rPr>
          <w:noProof/>
        </w:rPr>
      </w:pPr>
      <w:r>
        <w:rPr>
          <w:noProof/>
        </w:rPr>
        <w:t>Актът, който Комитетът за асоцииране в състав „Търговия“ има за задача да приеме, представлява акт с правно действие.</w:t>
      </w:r>
      <w:r>
        <w:rPr>
          <w:noProof/>
          <w:color w:val="000000"/>
        </w:rPr>
        <w:t xml:space="preserve"> </w:t>
      </w:r>
      <w:r>
        <w:rPr>
          <w:noProof/>
        </w:rPr>
        <w:t xml:space="preserve">Предвиденият акт ще бъде задължителен за страните в съответствие с член 438, параграф 3 от Споразумението. </w:t>
      </w:r>
    </w:p>
    <w:p>
      <w:pPr>
        <w:rPr>
          <w:noProof/>
        </w:rPr>
      </w:pPr>
      <w:r>
        <w:rPr>
          <w:noProof/>
        </w:rPr>
        <w:t xml:space="preserve">С предвидения акт не се допълва, нито изменя институционалната рамка на Споразумението. 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на Съвета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 на предвидения акт е приемането на положително становище относно подробната пътна карта, представена от Република Молдова във връзка с изпълнението на Споразумението в областта на обществените поръчки. Следователно основната цел и съдържание на предвидения акт са свързани с общата търговска политика, в съответствие с член 207.</w:t>
      </w:r>
    </w:p>
    <w:p>
      <w:pPr>
        <w:rPr>
          <w:i/>
          <w:noProof/>
          <w:color w:val="000000"/>
        </w:rPr>
      </w:pPr>
      <w:r>
        <w:rPr>
          <w:noProof/>
        </w:rPr>
        <w:t>Поради това материалноправното основание за предлаганото решение на Съвета е член 207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  <w:color w:val="000000"/>
        </w:rPr>
      </w:pPr>
      <w:r>
        <w:rPr>
          <w:noProof/>
        </w:rPr>
        <w:t>Правното основание за предлаганото решение на Съвета е член 207 от ДФЕС във връзка с член 218, параграф 9 от ДФЕС.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2017/0246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в рамките на Комитета за асоцииране в състав „Търговия“, създаден със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страна, относно подробната пътна карта, представена от Република Молдова във връзка с изпълнението на Споразумението в областта на обществените поръчки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  <w:color w:val="000000"/>
        </w:rPr>
      </w:pPr>
      <w:r>
        <w:rPr>
          <w:noProof/>
        </w:rPr>
        <w:t>като взе предвид Договора за функционирането на Европейския съюз, и по-специално член 207 във връзка с член 218, параграф 9 от него,</w:t>
      </w:r>
    </w:p>
    <w:p>
      <w:pPr>
        <w:rPr>
          <w:noProof/>
          <w:color w:val="000000"/>
        </w:rPr>
      </w:pPr>
      <w:r>
        <w:rPr>
          <w:noProof/>
          <w:color w:val="000000"/>
        </w:rPr>
        <w:t>като взе предвид предложението на Европейската комисия,</w:t>
      </w:r>
    </w:p>
    <w:p>
      <w:pPr>
        <w:rPr>
          <w:noProof/>
          <w:color w:val="000000"/>
        </w:rPr>
      </w:pPr>
      <w:r>
        <w:rPr>
          <w:noProof/>
          <w:color w:val="000000"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(„Споразумението“) беше сключено от Съюза с Решение (ЕС) 2016/839 на Съвета от 23 май 2016 г.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влезе в сила на 1 юли 2016 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В съответствие с член 272, параграфи 1 и 2 от Споразумението Република Молдова представя на Комитета за асоцииране в състав „Търговия“, посочен в член 438, параграф 4 от настоящото споразумение, подробна пътна карта за прилагането на настоящата глава, която съдържа графици и основни етапи, в които са включени всички реформи, свързани със сближаването с достиженията на правото на Съюза и изграждането на институционален капацитет.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член 272, параграф 3 от Споразумението се предвижда, че след получаване на положително становище от Комитета за асоцииране в състав „Търговия“ пътната карта ще се счита за референтен документ за прилагането на глава 8, дял V от Споразумението. Съюзът полага всички усилия да подпомогне Република Молдова при изпълнението на пътната карта.</w:t>
      </w:r>
    </w:p>
    <w:p>
      <w:pPr>
        <w:pStyle w:val="ManualConsidrant"/>
        <w:rPr>
          <w:noProof/>
          <w:color w:val="000000"/>
        </w:rPr>
      </w:pPr>
      <w:r>
        <w:t>(4)</w:t>
      </w:r>
      <w:r>
        <w:tab/>
      </w:r>
      <w:r>
        <w:rPr>
          <w:noProof/>
        </w:rPr>
        <w:t>Комитетът за асоцииране в състав „Търговия“ трябва да приеме решение, с което да се дава положително становище за подробната пътна карта, представена от Република Молдова във връзка с изпълнението на Споразумението в областта на обществените поръчки. Съгласно член 438, параграф 3 от Споразумението решението на посочения комитет е задължително за страните, което предприемат необходимите мерки за изпълнението му.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Целесъобразно е да се установи позицията, която да бъде заета от името на Съюза в рамките на Комитета за асоцииране в състав „Търговия“, тъй като представената от Република Молдова пътна карта отговаря на изискванията в член 272, параграфи 1 и 2 от Споразумението. В Комитета за асоцииране в състав „Търговия“ Съюзът се представлява от Комисията в съответствие с член 17, параграф 1 от Договора за Европейския съюз (ДЕС),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  <w:color w:val="000000"/>
        </w:rPr>
      </w:pPr>
      <w:r>
        <w:rPr>
          <w:noProof/>
          <w:color w:val="000000"/>
        </w:rPr>
        <w:t>Член 1</w:t>
      </w:r>
    </w:p>
    <w:p>
      <w:pPr>
        <w:rPr>
          <w:noProof/>
          <w:color w:val="000000"/>
        </w:rPr>
      </w:pPr>
      <w:r>
        <w:rPr>
          <w:noProof/>
        </w:rPr>
        <w:t>Позицията, която да бъде заета от името на Съюза, се определя в проекта на решение на Комитета за асоцииране в състав „Търговия“, приложен към настоящото решение.</w:t>
      </w:r>
    </w:p>
    <w:p>
      <w:pPr>
        <w:pStyle w:val="Titrearticle"/>
        <w:rPr>
          <w:noProof/>
          <w:color w:val="000000"/>
        </w:rPr>
      </w:pPr>
      <w:r>
        <w:rPr>
          <w:noProof/>
        </w:rPr>
        <w:t>Член 2</w:t>
      </w:r>
    </w:p>
    <w:p>
      <w:pPr>
        <w:rPr>
          <w:noProof/>
          <w:color w:val="000000"/>
        </w:rPr>
      </w:pPr>
      <w:r>
        <w:rPr>
          <w:noProof/>
          <w:color w:val="000000"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ОВ L 9, 15.1.2015 г., стр. 53.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Дело C-399/12 Германия/Съвет (OIV), ECLI:EU:C:2014:2258, т. 61—64. </w:t>
      </w:r>
    </w:p>
  </w:footnote>
  <w:footnote w:id="3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ОВ L 141, 28.5.2016 г., стр. 28.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222F0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BD26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404CB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2AC8D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ADC0D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0ACF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88E25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69EAD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9-25 16:39:3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6A20FB72503C45BC87E49573EBADBE34"/>
    <w:docVar w:name="LW_CROSSREFERENCE" w:val="&lt;UNUSED&gt;"/>
    <w:docVar w:name="LW_DocType" w:val="COM"/>
    <w:docVar w:name="LW_EMISSION" w:val="4.10.2017"/>
    <w:docVar w:name="LW_EMISSION_ISODATE" w:val="2017-10-04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46"/>
    <w:docVar w:name="LW_REF.II.NEW.CP_YEAR" w:val="2017"/>
    <w:docVar w:name="LW_REF.INST.NEW" w:val="COM"/>
    <w:docVar w:name="LW_REF.INST.NEW_ADOPTED" w:val="final"/>
    <w:docVar w:name="LW_REF.INST.NEW_TEXT" w:val="(2017) 564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2?\u1086?\u1083?\u1076?\u1086?\u1074?\u1072?, \u1086?\u1090? \u1076?\u1088?\u1091?\u1075?\u1072? \u1089?\u1090?\u1088?\u1072?\u1085?\u1072?, \u1086?\u1090?\u1085?\u1086?\u1089?\u1085?\u1086? \u1087?\u1086?\u1076?\u1088?\u1086?\u1073?\u1085?\u1072?\u1090?\u1072? \u1087?\u1098?\u1090?\u1085?\u1072? \u1082?\u1072?\u1088?\u1090?\u1072?, \u1087?\u1088?\u1077?\u1076?\u1089?\u1090?\u1072?\u1074?\u1077?\u1085?\u1072? \u1086?\u1090? \u1056?\u1077?\u1087?\u1091?\u1073?\u1083?\u1080?\u1082?\u1072? \u1052?\u1086?\u1083?\u1076?\u1086?\u1074?\u1072? \u1074?\u1098?\u1074? \u1074?\u1088?\u1098?\u1079?\u1082?\u1072? \u1089? \u1080?\u1079?\u1087?\u1098?\u1083?\u1085?\u1077?\u1085?\u1080?\u1077?\u1090?\u1086? \u1085?\u1072? \u1057?\u1087?\u1086?\u1088?\u1072?\u1079?\u1091?\u1084?\u1077?\u1085?\u1080?\u1077?\u1090?\u1086? \u1074? \u1086?\u1073?\u1083?\u1072?\u1089?\u1090?\u1090?\u1072? \u1085?\u1072? \u1086?\u1073?\u1097?\u1077?\u1089?\u1090?\u1074?\u1077?\u1085?\u1080?\u1090?\u1077? \u1087?\u1086?\u1088?\u1098?\u1095?\u1082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pPr>
      <w:numPr>
        <w:numId w:val="1"/>
      </w:numPr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pPr>
      <w:numPr>
        <w:numId w:val="1"/>
      </w:numPr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BE0C-5AB4-4F20-8AFA-3C4E1AFC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7</Pages>
  <Words>1792</Words>
  <Characters>10380</Characters>
  <Application>Microsoft Office Word</Application>
  <DocSecurity>0</DocSecurity>
  <Lines>192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2017-09-01T09:18:00Z</cp:lastPrinted>
  <dcterms:created xsi:type="dcterms:W3CDTF">2017-09-18T14:52:00Z</dcterms:created>
  <dcterms:modified xsi:type="dcterms:W3CDTF">2017-09-25T14:39:00Z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