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AC" w:rsidRDefault="00B8650F" w:rsidP="00B8650F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4439A8FB594F442EA43F31F246A80F66" style="width:450.75pt;height:395.25pt">
            <v:imagedata r:id="rId9" o:title=""/>
          </v:shape>
        </w:pict>
      </w:r>
    </w:p>
    <w:p w:rsidR="00677BAC" w:rsidRDefault="00677BAC">
      <w:pPr>
        <w:rPr>
          <w:noProof/>
        </w:rPr>
        <w:sectPr w:rsidR="00677BAC" w:rsidSect="00B865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677BAC" w:rsidRDefault="00B8650F" w:rsidP="00B8650F">
      <w:pPr>
        <w:pStyle w:val="Typedudocument"/>
        <w:rPr>
          <w:noProof/>
        </w:rPr>
      </w:pPr>
      <w:bookmarkStart w:id="0" w:name="_GoBack"/>
      <w:bookmarkEnd w:id="0"/>
      <w:r w:rsidRPr="00B8650F">
        <w:lastRenderedPageBreak/>
        <w:t>ПРЕПОРЪКА НА КОМИСИЯТА</w:t>
      </w:r>
    </w:p>
    <w:p w:rsidR="00677BAC" w:rsidRDefault="00B8650F" w:rsidP="00B8650F">
      <w:pPr>
        <w:pStyle w:val="Datedadoption"/>
        <w:rPr>
          <w:noProof/>
        </w:rPr>
      </w:pPr>
      <w:r w:rsidRPr="00B8650F">
        <w:t>от 3.10.2017 година</w:t>
      </w:r>
    </w:p>
    <w:p w:rsidR="00677BAC" w:rsidRDefault="00B8650F" w:rsidP="00B8650F">
      <w:pPr>
        <w:pStyle w:val="Titreobjet"/>
        <w:rPr>
          <w:noProof/>
        </w:rPr>
      </w:pPr>
      <w:r w:rsidRPr="00B8650F">
        <w:t xml:space="preserve">за </w:t>
      </w:r>
      <w:proofErr w:type="spellStart"/>
      <w:r w:rsidRPr="00B8650F">
        <w:t>професионализация</w:t>
      </w:r>
      <w:proofErr w:type="spellEnd"/>
      <w:r w:rsidRPr="00B8650F">
        <w:t xml:space="preserve"> на обществените поръчки</w:t>
      </w:r>
    </w:p>
    <w:p w:rsidR="00677BAC" w:rsidRDefault="00B8650F" w:rsidP="00B8650F">
      <w:pPr>
        <w:pStyle w:val="Sous-titreobjet"/>
        <w:rPr>
          <w:noProof/>
        </w:rPr>
      </w:pPr>
      <w:r w:rsidRPr="00B8650F">
        <w:t xml:space="preserve">Изграждане на архитектура за </w:t>
      </w:r>
      <w:proofErr w:type="spellStart"/>
      <w:r w:rsidRPr="00B8650F">
        <w:t>професионализацията</w:t>
      </w:r>
      <w:proofErr w:type="spellEnd"/>
      <w:r w:rsidRPr="00B8650F">
        <w:t xml:space="preserve"> на обществените поръчки</w:t>
      </w:r>
    </w:p>
    <w:p w:rsidR="00677BAC" w:rsidRDefault="00B8650F" w:rsidP="00B8650F">
      <w:pPr>
        <w:pStyle w:val="IntrtEEE"/>
        <w:rPr>
          <w:noProof/>
        </w:rPr>
      </w:pPr>
      <w:r w:rsidRPr="00B8650F">
        <w:t>(текст от значение за ЕИП)</w:t>
      </w:r>
    </w:p>
    <w:p w:rsidR="00677BAC" w:rsidRDefault="004943F0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ЕВРОПЕЙСКАТА КОМИСИЯ,</w:t>
      </w:r>
    </w:p>
    <w:p w:rsidR="00677BAC" w:rsidRDefault="004943F0"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292 от него,</w:t>
      </w:r>
    </w:p>
    <w:p w:rsidR="00677BAC" w:rsidRDefault="004943F0">
      <w:pPr>
        <w:rPr>
          <w:noProof/>
        </w:rPr>
      </w:pPr>
      <w:r>
        <w:rPr>
          <w:noProof/>
        </w:rPr>
        <w:t>като има предвид, че:</w:t>
      </w:r>
    </w:p>
    <w:p w:rsidR="00677BAC" w:rsidRDefault="004943F0">
      <w:pPr>
        <w:pStyle w:val="ListNumber1"/>
        <w:rPr>
          <w:noProof/>
        </w:rPr>
      </w:pPr>
      <w:r>
        <w:rPr>
          <w:b/>
          <w:noProof/>
        </w:rPr>
        <w:t>Обществените поръчки са средство за постигане на интелигентен, устойчив и приобщаващ растеж.</w:t>
      </w:r>
      <w:r>
        <w:rPr>
          <w:noProof/>
        </w:rPr>
        <w:t xml:space="preserve"> Това средство би могло да окаже значително икономическо въздействие</w:t>
      </w:r>
      <w:r>
        <w:rPr>
          <w:rStyle w:val="FootnoteReference"/>
          <w:noProof/>
        </w:rPr>
        <w:footnoteReference w:id="1"/>
      </w:r>
      <w:r>
        <w:rPr>
          <w:noProof/>
        </w:rPr>
        <w:t>, допринасяйки за изпълнението на плановете на Комисията за растежа, заетостта и презграничната търговия. Ефикасните и ефективни обществени поръчки в условия на конкуренция са както мерило за добрата работа на единния пазар, така и основен канал за европейските инвестиции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 w:rsidR="00677BAC" w:rsidRDefault="004943F0">
      <w:pPr>
        <w:pStyle w:val="ListNumber1"/>
        <w:rPr>
          <w:noProof/>
        </w:rPr>
      </w:pPr>
      <w:r>
        <w:rPr>
          <w:b/>
          <w:noProof/>
        </w:rPr>
        <w:t>Директивите за обществените поръчки, приети през 2014 г.</w:t>
      </w:r>
      <w:r>
        <w:rPr>
          <w:rStyle w:val="FootnoteReference"/>
          <w:b/>
          <w:noProof/>
        </w:rPr>
        <w:footnoteReference w:id="3"/>
      </w:r>
      <w:r>
        <w:rPr>
          <w:b/>
          <w:noProof/>
        </w:rPr>
        <w:t>, осигуряват набор от средства, с чиято помощ държавите членки могат да използват по-ефикасно и стратегически обществените поръчки.</w:t>
      </w:r>
      <w:r>
        <w:rPr>
          <w:noProof/>
        </w:rPr>
        <w:t xml:space="preserve"> Обществените поръчки са изправени пред нови предизвикателства и от тях все повече се очаква: да осигуряват най-доброто съотношение качество/цена за публичните разходи в условията на нарастващи бюджетни ограничения; да използват възможностите на цифровизацията и променящите се пазари; да допринасят стратегически за хоризонталните политически цели и общностните ценности, като новаторството, социалното приобщаване, икономическата и екологичната устойчивост; да максимизират достъпността и да осигуряват отговорно отношение на участниците с цел минимизиране на неефективността, излишните разходи, </w:t>
      </w:r>
      <w:r>
        <w:rPr>
          <w:noProof/>
        </w:rPr>
        <w:lastRenderedPageBreak/>
        <w:t>нередностите, измамите и корупцията, както и изграждане на вериги на доставките с висока степен на отговорност.</w:t>
      </w:r>
    </w:p>
    <w:p w:rsidR="00677BAC" w:rsidRDefault="004943F0">
      <w:pPr>
        <w:pStyle w:val="ListNumber1"/>
        <w:rPr>
          <w:noProof/>
        </w:rPr>
      </w:pPr>
      <w:r>
        <w:rPr>
          <w:b/>
          <w:noProof/>
        </w:rPr>
        <w:t>Необходимо е осигуряването на ефикасно прилагане на разпоредбите за обществените поръчки на всички равнища, така щото да се извлекат възможно най-големи ползи от този основен лост за европейските инвестиции</w:t>
      </w:r>
      <w:r>
        <w:rPr>
          <w:noProof/>
        </w:rPr>
        <w:t>, както е подчертано в Плана за инвестиции за Европа</w:t>
      </w:r>
      <w:r>
        <w:rPr>
          <w:rStyle w:val="FootnoteReference"/>
          <w:noProof/>
        </w:rPr>
        <w:footnoteReference w:id="4"/>
      </w:r>
      <w:r>
        <w:rPr>
          <w:noProof/>
        </w:rPr>
        <w:t>, и да се изгради по-силен единен пазар, за което се призовава в речта за състоянието на Съюза, произнесена през 2017 г. от председателя Юнкер.</w:t>
      </w:r>
      <w:r>
        <w:rPr>
          <w:b/>
          <w:noProof/>
        </w:rPr>
        <w:t xml:space="preserve"> </w:t>
      </w:r>
      <w:r>
        <w:rPr>
          <w:noProof/>
        </w:rPr>
        <w:t xml:space="preserve">Ефикасността е и сред областите за подобрение на обществените поръчки, определени в рамките на процедурата на европейския семестър. </w:t>
      </w:r>
    </w:p>
    <w:p w:rsidR="00677BAC" w:rsidRDefault="004943F0">
      <w:pPr>
        <w:pStyle w:val="ListNumber1"/>
        <w:rPr>
          <w:noProof/>
        </w:rPr>
      </w:pPr>
      <w:r>
        <w:rPr>
          <w:b/>
          <w:noProof/>
        </w:rPr>
        <w:t>Следователно трябва да се осигури възможно най-ефикасно използване на публичните средства, а публичните купувачи трябва да бъдат в състояние да възлагат поръчки, спазвайки най-високите норми за професионализъм</w:t>
      </w:r>
      <w:r>
        <w:rPr>
          <w:noProof/>
        </w:rPr>
        <w:t>. Повишаването и поддържането на професионализма сред лицата, които се занимават с възлагане на обществени поръчки, може да допринесе за засилване на въздействието на обществените поръчки в цялата икономика</w:t>
      </w:r>
      <w:r>
        <w:rPr>
          <w:rStyle w:val="FootnoteReference"/>
          <w:noProof/>
        </w:rPr>
        <w:footnoteReference w:id="5"/>
      </w:r>
      <w:r>
        <w:rPr>
          <w:noProof/>
        </w:rPr>
        <w:t>.</w:t>
      </w:r>
    </w:p>
    <w:p w:rsidR="00677BAC" w:rsidRDefault="004943F0">
      <w:pPr>
        <w:pStyle w:val="ListNumber1"/>
        <w:rPr>
          <w:noProof/>
        </w:rPr>
      </w:pPr>
      <w:r>
        <w:rPr>
          <w:b/>
          <w:noProof/>
        </w:rPr>
        <w:t>Целта на професионализацията на обществените поръчки в по-широк смисъл</w:t>
      </w:r>
      <w:r>
        <w:rPr>
          <w:noProof/>
        </w:rPr>
        <w:t xml:space="preserve"> е да доведе до общо подобрение на цялата гама от професионални умения и компетентности, знания и опит на хората, които ръководят или участват в изпълнението на задачи във връзка с обществените поръчки</w:t>
      </w:r>
      <w:r>
        <w:rPr>
          <w:rStyle w:val="FootnoteReference"/>
          <w:noProof/>
        </w:rPr>
        <w:footnoteReference w:id="6"/>
      </w:r>
      <w:r>
        <w:rPr>
          <w:noProof/>
        </w:rPr>
        <w:t>. Тя обхваща и техническите средства и подпомагането, както и ведомствената архитектура в съответната област, които са необходими за ефективно извършване на работата и постигане на резултати</w:t>
      </w:r>
      <w:r>
        <w:rPr>
          <w:rStyle w:val="FootnoteReference"/>
          <w:noProof/>
        </w:rPr>
        <w:footnoteReference w:id="7"/>
      </w:r>
      <w:r>
        <w:rPr>
          <w:noProof/>
        </w:rPr>
        <w:t>. Затова, за да бъде ефективна политиката на професионализация, тя следва да се провежда въз основа на общ стратегически подход, като се преследват и три допълнителни цели:</w:t>
      </w:r>
    </w:p>
    <w:p w:rsidR="00677BAC" w:rsidRDefault="004943F0">
      <w:pPr>
        <w:pStyle w:val="Text2"/>
        <w:rPr>
          <w:noProof/>
        </w:rPr>
      </w:pPr>
      <w:r>
        <w:rPr>
          <w:b/>
          <w:noProof/>
        </w:rPr>
        <w:t>І. Разработване на подходяща политическа архитектура за професионализацията:</w:t>
      </w:r>
      <w:r>
        <w:rPr>
          <w:noProof/>
        </w:rPr>
        <w:t xml:space="preserve"> за да има реално въздействие, всяка политика на професионализация следва да разчита на политическа подкрепа на високо равнище. Това означава ясно определяне на отговорностите и задачите на ведомствата на централно политическо равнище, подкрепа на усилията на местно, регионално и отраслово равнище, осигуряване на приемственост </w:t>
      </w:r>
      <w:r>
        <w:rPr>
          <w:noProof/>
        </w:rPr>
        <w:lastRenderedPageBreak/>
        <w:t>през различните политически цикли, при необходимост използване на ведомствените структури за насърчаване на специализацията, окрупняването и споделянето на знания.</w:t>
      </w:r>
    </w:p>
    <w:p w:rsidR="00677BAC" w:rsidRDefault="004943F0">
      <w:pPr>
        <w:pStyle w:val="Text2"/>
        <w:rPr>
          <w:noProof/>
        </w:rPr>
      </w:pPr>
      <w:r>
        <w:rPr>
          <w:b/>
          <w:noProof/>
        </w:rPr>
        <w:t>II. Човешки ресурси – подобряване на обучението и кариерното управление на лицата, които работят в областта на обществените поръчки</w:t>
      </w:r>
      <w:r>
        <w:rPr>
          <w:noProof/>
        </w:rPr>
        <w:t>: тези лица, т.е. лицата, които участват във възлагането на поръчки за стоки, услуги и строителство, както и одиторите и длъжностните лица, отговарящи за преразглеждането на споровете във връзка с обществените поръчки, трябва да имат подходяща квалификация, обучение, умения и опит, които са необходими за равнището им на отговорност. Това означава, че трябва да се осигурят опитни и мотивирани служители с нужните умения, като се предлага необходимото обучение и непрекъснато професионално развитие. Необходимо е също така да се разработят кариерна структура и поощрения, които да направят работата в областта на обществените поръчки привлекателна и да мотивират служителите да постигат стратегически резултати.</w:t>
      </w:r>
    </w:p>
    <w:p w:rsidR="00677BAC" w:rsidRDefault="004943F0">
      <w:pPr>
        <w:pStyle w:val="Text2"/>
        <w:rPr>
          <w:noProof/>
        </w:rPr>
      </w:pPr>
      <w:r>
        <w:rPr>
          <w:b/>
          <w:noProof/>
        </w:rPr>
        <w:t>ІІІ. Системи – осигуряване на технически средства и методики за подпомагане на професионалното възлагане на обществени поръчки:</w:t>
      </w:r>
      <w:r>
        <w:rPr>
          <w:noProof/>
        </w:rPr>
        <w:t xml:space="preserve"> лицата, които работят в областта на обществените поръчки, трябва да разполагат с подходящите средства и подпомагане, за да действат ефикасно и да постигат най-доброто съотношение качество/цена при всяка покупка. Това означава да се осигурят средства и процедури за „умни“ обществени поръчки, например: средства за електронно възлагане на обществени поръчки, насоки, наръчници, образци и средства за сътрудничество, със съответното обучение, подпомагане и експертни знания, обобщаване на знанията и обмен на добри практики.</w:t>
      </w:r>
    </w:p>
    <w:p w:rsidR="00677BAC" w:rsidRDefault="004943F0">
      <w:pPr>
        <w:pStyle w:val="ListNumber1"/>
        <w:rPr>
          <w:noProof/>
        </w:rPr>
      </w:pPr>
      <w:r>
        <w:rPr>
          <w:b/>
          <w:noProof/>
        </w:rPr>
        <w:t>С настоящата препоръка</w:t>
      </w:r>
      <w:r>
        <w:rPr>
          <w:rStyle w:val="FootnoteReference"/>
          <w:b/>
          <w:noProof/>
        </w:rPr>
        <w:footnoteReference w:id="8"/>
      </w:r>
      <w:r>
        <w:rPr>
          <w:b/>
          <w:noProof/>
        </w:rPr>
        <w:t xml:space="preserve"> се насърчава разработването и провеждането на политика на професионализация в държавите членки</w:t>
      </w:r>
      <w:r>
        <w:rPr>
          <w:noProof/>
        </w:rPr>
        <w:t>, като се представя примерна рамка</w:t>
      </w:r>
      <w:r>
        <w:rPr>
          <w:rStyle w:val="FootnoteReference"/>
          <w:noProof/>
        </w:rPr>
        <w:footnoteReference w:id="9"/>
      </w:r>
      <w:r>
        <w:rPr>
          <w:noProof/>
        </w:rPr>
        <w:t>. Предназначението на тази инициатива е да се помогне на държавите членки да разработят политиката на професионализация с цел повишаване на значимостта, влиянието, въздействието и репутацията на обществените поръчки за постигане на обществените цели.</w:t>
      </w:r>
    </w:p>
    <w:p w:rsidR="00677BAC" w:rsidRDefault="004943F0">
      <w:pPr>
        <w:pStyle w:val="ListNumber1"/>
        <w:rPr>
          <w:noProof/>
        </w:rPr>
      </w:pPr>
      <w:r>
        <w:rPr>
          <w:b/>
          <w:noProof/>
        </w:rPr>
        <w:t>Настоящата препоръка се отправя към държавите членки</w:t>
      </w:r>
      <w:r>
        <w:rPr>
          <w:noProof/>
        </w:rPr>
        <w:t xml:space="preserve"> и органите на публичната им администрация, най-вече на национално равнище. Независимо от това, в рамките на своите централизирани или децентрализирани системи за възлагане на обществени поръчки, държавите членки следва допълнително </w:t>
      </w:r>
      <w:r>
        <w:rPr>
          <w:b/>
          <w:noProof/>
        </w:rPr>
        <w:t>да насърчават и подпомагат възлагащите органи и възложителите</w:t>
      </w:r>
      <w:r>
        <w:rPr>
          <w:noProof/>
        </w:rPr>
        <w:t xml:space="preserve"> при осъществяването на инициативите им за професионализация. Поради това държавите членки следва да привлекат към настоящата препоръка вниманието на органите и организациите, които отговарят за обществените поръчки на всички равнища, както и органите и организациите, които се занимават с обучението на одиторите и длъжностните лица, отговарящи за преразглеждането на споровете във връзка с обществените поръчки.</w:t>
      </w:r>
    </w:p>
    <w:p w:rsidR="00677BAC" w:rsidRDefault="004943F0">
      <w:pPr>
        <w:rPr>
          <w:noProof/>
        </w:rPr>
      </w:pPr>
      <w:r>
        <w:rPr>
          <w:noProof/>
        </w:rPr>
        <w:t>ПРИЕ НАСТОЯЩАТА ПРЕПОРЪКА:</w:t>
      </w:r>
    </w:p>
    <w:p w:rsidR="00677BAC" w:rsidRDefault="004943F0">
      <w:pPr>
        <w:keepNext/>
        <w:spacing w:before="240"/>
        <w:rPr>
          <w:b/>
          <w:noProof/>
        </w:rPr>
      </w:pPr>
      <w:r>
        <w:rPr>
          <w:b/>
          <w:noProof/>
        </w:rPr>
        <w:t>І. Определяне на политиката на професионализация на обществените поръчки</w:t>
      </w:r>
    </w:p>
    <w:p w:rsidR="00677BAC" w:rsidRDefault="004943F0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Държавите членки следва да разработят и прилагат </w:t>
      </w:r>
      <w:r>
        <w:rPr>
          <w:b/>
          <w:noProof/>
        </w:rPr>
        <w:t>дългосрочни стратегии за професионализация на обществените поръчки</w:t>
      </w:r>
      <w:r>
        <w:rPr>
          <w:noProof/>
        </w:rPr>
        <w:t>, които да бъдат приспособени към техните потребности, ресурси и административна структура, самостоятелно или като част от по-широкообхватна политика на професионализация на публичната администрация. Целта е да се привлекат, развият и поддържат умения, вниманието да се съсредоточи върху изпълнението и стратегическите резултати и да се извлече възможно най-много от наличните технически средства и методи. Тези стратегии следва: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да се отнасят до всички засегнати участници в процеса на възлагане и да бъдат разработени чрез приобщаващ процес на национално, регионално и местно равнище;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да се прилагат съгласувано с другите политики в целия обществен сектор; както и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да отчитат промените в другите държави членки и на международно равнище.</w:t>
      </w:r>
    </w:p>
    <w:p w:rsidR="00677BAC" w:rsidRDefault="004943F0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Държавите членки следва също така </w:t>
      </w:r>
      <w:r>
        <w:rPr>
          <w:b/>
          <w:noProof/>
        </w:rPr>
        <w:t>да насърчават и подпомагат възлагащите органи и възложителите</w:t>
      </w:r>
      <w:r>
        <w:rPr>
          <w:noProof/>
        </w:rPr>
        <w:t xml:space="preserve"> при прилагане на националните стратегии за професионализация, като разработват инициативи за професионализация и подходяща ведомствена архитектура, както и чрез сътрудничество за по-съгласувани, ефикасни и стратегически обществени поръчки въз основа на (неизчерпателен списък):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засилено сътрудничество между съответните служби и между възлагащите органи/възложителите; както и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експертните знания и подкрепата на обучаващите ведомства, централните органи за покупки и професионалните организации, ориентирани към обществените поръчки.</w:t>
      </w:r>
    </w:p>
    <w:p w:rsidR="00677BAC" w:rsidRDefault="004943F0">
      <w:pPr>
        <w:keepNext/>
        <w:rPr>
          <w:b/>
          <w:noProof/>
        </w:rPr>
      </w:pPr>
      <w:r>
        <w:rPr>
          <w:b/>
          <w:noProof/>
        </w:rPr>
        <w:t>II. Човешки ресурси – подобряване на обучението и кариерното управление</w:t>
      </w:r>
    </w:p>
    <w:p w:rsidR="00677BAC" w:rsidRDefault="004943F0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Държавите членки следва </w:t>
      </w:r>
      <w:r>
        <w:rPr>
          <w:b/>
          <w:noProof/>
        </w:rPr>
        <w:t>да установят и определят основните умения и компетентности, които всяко лице, работещо в областта на обществените поръчки, следва да притежава вследствие на обучение</w:t>
      </w:r>
      <w:r>
        <w:rPr>
          <w:noProof/>
        </w:rPr>
        <w:t>, като вземат предвид мултидисциплинарното естество на проектите в обществените поръчки, както за специално назначените длъжностни лица по обществените поръчки и служителите на свързани с тях длъжности, така и за съдиите и одиторите, например: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рамки за уменията и компетентностите за подпомагане на процеса на набиране на служители и кариерно управление и при определяне на програмите за обучение; както и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обща рамка за компетентностите за обществените поръчки на европейско равнище.</w:t>
      </w:r>
    </w:p>
    <w:p w:rsidR="00677BAC" w:rsidRDefault="004943F0"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Държавите членки следва </w:t>
      </w:r>
      <w:r>
        <w:rPr>
          <w:b/>
          <w:noProof/>
        </w:rPr>
        <w:t>да разработват подходящи програми за обучение – начално и през целия живот</w:t>
      </w:r>
      <w:r>
        <w:rPr>
          <w:noProof/>
        </w:rPr>
        <w:t xml:space="preserve"> – въз основа на оценка на данните и потребностите, както и на наличните рамки за компетентностите, например: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разработване и/или подпомагане за разработването на началното предлагане на обучение, на равнище бакалавърска, магистърска и по-висока степен и друго обучение в началото на кариерата;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осигуряване и/или подпомагане за осигуряването на цялостно, целенасочено и достъпно предлагане на обучение и учене през целия живот;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увеличаване на предлагането на обучение чрез новаторски интерактивни решения или средства за електронно обучение, както и чрез схеми, които могат да бъдат използвани като образци; както и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извличане на ползи от академичното сътрудничество и научните изследвания с цел създаване на стабилна теоретична основа за решенията в обществените поръчки.</w:t>
      </w:r>
    </w:p>
    <w:p w:rsidR="00677BAC" w:rsidRDefault="004943F0"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 xml:space="preserve">Държавите членки следва също така да подготвят и подкрепят внедряването от страна на възлагащите органи/възложителите на </w:t>
      </w:r>
      <w:r>
        <w:rPr>
          <w:b/>
          <w:noProof/>
        </w:rPr>
        <w:t>разумно управление на човешките ресурси, кариерно планиране и мотивационни схеми, пригодени към функциите във връзка с обществените поръчки</w:t>
      </w:r>
      <w:r>
        <w:rPr>
          <w:noProof/>
        </w:rPr>
        <w:t>, така щото в тази област да се привличат и задържат квалифицирани служители, които да бъдат поощрявани да постигат по-високо качество и да прилагат по-стратегически подход в обществените поръчки, например: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схеми за признаване и/или удостоверяване, с които правилно се определят функциите във връзка с обществените поръчки и се възнаграждава изпълнението им;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кариерни структури, ведомствени поощрения и политическа подкрепа за постигане на стратегически резултати; както и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награди за високи резултати с цел насърчаване на добрите практики в области като новаторството, екологосъобразните и социалноотговорните обществени поръчки и противодействието на корупцията.</w:t>
      </w:r>
    </w:p>
    <w:p w:rsidR="00677BAC" w:rsidRDefault="004943F0">
      <w:pPr>
        <w:keepNext/>
        <w:rPr>
          <w:b/>
          <w:noProof/>
        </w:rPr>
      </w:pPr>
      <w:r>
        <w:rPr>
          <w:b/>
          <w:noProof/>
        </w:rPr>
        <w:t>ІІІ. Системи – осигуряване на технически средства и методики</w:t>
      </w:r>
    </w:p>
    <w:p w:rsidR="00677BAC" w:rsidRDefault="004943F0"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 xml:space="preserve">Държавите членки следва </w:t>
      </w:r>
      <w:r>
        <w:rPr>
          <w:b/>
          <w:noProof/>
        </w:rPr>
        <w:t>да насърчават и подпомагат разработването и внедряването на достъпни информационнотехнологични (ИТ) средства</w:t>
      </w:r>
      <w:r>
        <w:rPr>
          <w:noProof/>
        </w:rPr>
        <w:t>, с които може да се опрости и подобри работата на системите за възлагане на обществени поръчки, например: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осигуряване на достъп до информация чрез създаване на единни портали в режим „на линия“;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разработване на ИТ средства и съответното обучение (например за икономиите от мащаба, енергийната ефективност или работата в екип) или подпомагане на съответстващите пазарни решения; както и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насърчаване на възприемането на стратегически подход към цифровизацията чрез стандартизация, споделяне, повторна употреба и оперативна съвместимост на стоките и услугите, особено чрез използване на съществуващите ИТ решения, налични на равнище ЕС</w:t>
      </w:r>
      <w:r>
        <w:rPr>
          <w:rStyle w:val="FootnoteReference"/>
          <w:noProof/>
        </w:rPr>
        <w:footnoteReference w:id="10"/>
      </w:r>
      <w:r>
        <w:rPr>
          <w:noProof/>
        </w:rPr>
        <w:t>, както и допринасяне за разработването на средства като каталога в режим „на линия“ на стандартите за информационнотехнологичните и комуникационните (ИКТ) технологии в обществените поръчки</w:t>
      </w:r>
      <w:r>
        <w:rPr>
          <w:rStyle w:val="FootnoteReference"/>
          <w:noProof/>
        </w:rPr>
        <w:footnoteReference w:id="11"/>
      </w:r>
      <w:r>
        <w:rPr>
          <w:noProof/>
        </w:rPr>
        <w:t>.</w:t>
      </w:r>
    </w:p>
    <w:p w:rsidR="00677BAC" w:rsidRDefault="004943F0">
      <w:pPr>
        <w:pStyle w:val="ManualNumPar1"/>
        <w:rPr>
          <w:noProof/>
        </w:rPr>
      </w:pPr>
      <w:r>
        <w:rPr>
          <w:noProof/>
        </w:rPr>
        <w:t>7.</w:t>
      </w:r>
      <w:r>
        <w:rPr>
          <w:noProof/>
        </w:rPr>
        <w:tab/>
        <w:t xml:space="preserve">Държавите членки следва </w:t>
      </w:r>
      <w:r>
        <w:rPr>
          <w:b/>
          <w:noProof/>
        </w:rPr>
        <w:t>да подкрепят и насърчават почтеността на лично и ведомствено равнище като неделима част от професионалното поведение</w:t>
      </w:r>
      <w:r>
        <w:rPr>
          <w:noProof/>
        </w:rPr>
        <w:t>, предоставяйки средства за осигуряване на спазване на изискванията и прозрачност, както и насоки за предотвратяване на нередностите, например: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създаване на етични правилници и харти за почтеност;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използване на данни за нередностите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като основа за подготовка на съответните обучения и насоки, както и за насърчаване на самостоятелното отстраняване на нередностите; както и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изготвяне на конкретни насоки за предотвратяване на измамите и корупцията, в т.ч. чрез канали за подаване на сигнали за нарушения.</w:t>
      </w:r>
    </w:p>
    <w:p w:rsidR="00677BAC" w:rsidRDefault="004943F0">
      <w:pPr>
        <w:pStyle w:val="ManualNumPar1"/>
        <w:rPr>
          <w:noProof/>
        </w:rPr>
      </w:pPr>
      <w:r>
        <w:rPr>
          <w:noProof/>
        </w:rPr>
        <w:t>8.</w:t>
      </w:r>
      <w:r>
        <w:rPr>
          <w:noProof/>
        </w:rPr>
        <w:tab/>
        <w:t xml:space="preserve">Държавите членки следва да предоставят насоки, чието предназначение е, от една страна, да създадат </w:t>
      </w:r>
      <w:r>
        <w:rPr>
          <w:b/>
          <w:noProof/>
        </w:rPr>
        <w:t>правна сигурност</w:t>
      </w:r>
      <w:r>
        <w:rPr>
          <w:noProof/>
        </w:rPr>
        <w:t xml:space="preserve"> относно националното право и правото на ЕС или изискванията, произтичащи от международните задължения на ЕС, а от друга страна, </w:t>
      </w:r>
      <w:r>
        <w:rPr>
          <w:b/>
          <w:noProof/>
        </w:rPr>
        <w:t>да улеснят и поощрят стратегическото мислене</w:t>
      </w:r>
      <w:r>
        <w:rPr>
          <w:noProof/>
        </w:rPr>
        <w:t>, търговските преценки и разумното/информираното вземане на решения, например: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целенасочени указания, методически наръчници и хранилища на добрите практики и най-честите грешки; те трябва да бъдат актуални, удобни за ползване и леснодостъпни и да стъпват върху опита на лицата, които работят в областта на обществените поръчки; както и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стандартизирани образци и средства за различни процедури, напр. критериите за екологосъобразност на обществените поръчки.</w:t>
      </w:r>
    </w:p>
    <w:p w:rsidR="00677BAC" w:rsidRDefault="004943F0">
      <w:pPr>
        <w:pStyle w:val="ManualNumPar1"/>
        <w:rPr>
          <w:noProof/>
        </w:rPr>
      </w:pPr>
      <w:r>
        <w:rPr>
          <w:noProof/>
        </w:rPr>
        <w:t>9.</w:t>
      </w:r>
      <w:r>
        <w:rPr>
          <w:noProof/>
        </w:rPr>
        <w:tab/>
        <w:t xml:space="preserve">Държавите членки следва </w:t>
      </w:r>
      <w:r>
        <w:rPr>
          <w:b/>
          <w:noProof/>
        </w:rPr>
        <w:t>да насърчават обмена на добри практики и да подпомагат лицата, които работят в областта на обществените поръчки</w:t>
      </w:r>
      <w:r>
        <w:rPr>
          <w:noProof/>
        </w:rPr>
        <w:t>, така щото тези лица професионално да прилагат процедурите за възлагане, да работят в сътрудничество и да споделят експертните си знания, например: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предоставяне на техническо съдействие чрез бюра за справки и помощ, горещи линии и/или служби за връзка по електронната поща;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организиране на семинари и работни срещи за споделяне на сведения за новите изменения в областта на правото, политическите приоритети и добрите практики; както и</w:t>
      </w:r>
    </w:p>
    <w:p w:rsidR="00677BAC" w:rsidRDefault="004943F0"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поощряване на общностите на лица, които работят в областта на обществените поръчки, чрез интернет форуми в режим „на линия“ и професионални социални мрежи.</w:t>
      </w:r>
    </w:p>
    <w:p w:rsidR="00677BAC" w:rsidRDefault="004943F0">
      <w:pPr>
        <w:pStyle w:val="ManualHeading1"/>
        <w:keepNext w:val="0"/>
        <w:widowControl w:val="0"/>
        <w:spacing w:beforeLines="120" w:before="288" w:afterLines="120" w:after="288"/>
        <w:ind w:left="0" w:firstLine="0"/>
        <w:rPr>
          <w:noProof/>
        </w:rPr>
      </w:pPr>
      <w:r>
        <w:rPr>
          <w:noProof/>
        </w:rPr>
        <w:t>Последващи действия по настоящата препоръка – предоставяне на информация и наблюдение</w:t>
      </w:r>
    </w:p>
    <w:p w:rsidR="00677BAC" w:rsidRDefault="004943F0">
      <w:pPr>
        <w:pStyle w:val="ManualNumPar1"/>
        <w:rPr>
          <w:noProof/>
        </w:rPr>
      </w:pPr>
      <w:r>
        <w:rPr>
          <w:noProof/>
        </w:rPr>
        <w:t>10.</w:t>
      </w:r>
      <w:r>
        <w:rPr>
          <w:noProof/>
        </w:rPr>
        <w:tab/>
        <w:t>Препоръчва се държавите членки да осведомяват Комисията за действията, предприети в отговор на настоящата препоръка, когато предоставят информация по силата на член 83 от Директива 2014/24/ЕС, член 45 от Директива 2014/23/ЕС и член 99 от Директива 2014/25/ЕС.</w:t>
      </w:r>
    </w:p>
    <w:p w:rsidR="00677BAC" w:rsidRDefault="00B8650F" w:rsidP="00B8650F">
      <w:pPr>
        <w:pStyle w:val="Fait"/>
        <w:rPr>
          <w:noProof/>
        </w:rPr>
      </w:pPr>
      <w:r w:rsidRPr="00B8650F">
        <w:t>Съставено в Страсбург на 3.10.2017 година.</w:t>
      </w:r>
    </w:p>
    <w:p w:rsidR="00677BAC" w:rsidRDefault="004943F0">
      <w:pPr>
        <w:pStyle w:val="Institutionquisigne"/>
        <w:rPr>
          <w:noProof/>
        </w:rPr>
      </w:pPr>
      <w:r>
        <w:rPr>
          <w:noProof/>
        </w:rPr>
        <w:tab/>
        <w:t>За Комисията</w:t>
      </w:r>
    </w:p>
    <w:p w:rsidR="00677BAC" w:rsidRDefault="004943F0">
      <w:pPr>
        <w:pStyle w:val="Personnequisigne"/>
        <w:rPr>
          <w:noProof/>
        </w:rPr>
      </w:pPr>
      <w:r>
        <w:rPr>
          <w:noProof/>
        </w:rPr>
        <w:tab/>
        <w:t>[…]</w:t>
      </w:r>
      <w:r>
        <w:rPr>
          <w:noProof/>
        </w:rPr>
        <w:br/>
      </w:r>
      <w:r>
        <w:rPr>
          <w:noProof/>
        </w:rPr>
        <w:tab/>
        <w:t>Член на Комисията</w:t>
      </w:r>
    </w:p>
    <w:sectPr w:rsidR="00677BAC" w:rsidSect="00B8650F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AC" w:rsidRDefault="004943F0">
      <w:pPr>
        <w:spacing w:before="0" w:after="0"/>
      </w:pPr>
      <w:r>
        <w:separator/>
      </w:r>
    </w:p>
  </w:endnote>
  <w:endnote w:type="continuationSeparator" w:id="0">
    <w:p w:rsidR="00677BAC" w:rsidRDefault="004943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ino Sans">
    <w:altName w:val="Bernin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F" w:rsidRPr="00B8650F" w:rsidRDefault="00B8650F" w:rsidP="00B865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F" w:rsidRPr="00B8650F" w:rsidRDefault="00B8650F" w:rsidP="00B8650F">
    <w:pPr>
      <w:pStyle w:val="Footer"/>
      <w:rPr>
        <w:rFonts w:ascii="Arial" w:hAnsi="Arial" w:cs="Arial"/>
        <w:b/>
        <w:sz w:val="48"/>
      </w:rPr>
    </w:pPr>
    <w:r w:rsidRPr="00B8650F">
      <w:rPr>
        <w:rFonts w:ascii="Arial" w:hAnsi="Arial" w:cs="Arial"/>
        <w:b/>
        <w:sz w:val="48"/>
      </w:rPr>
      <w:t>BG</w:t>
    </w:r>
    <w:r w:rsidRPr="00B8650F">
      <w:rPr>
        <w:rFonts w:ascii="Arial" w:hAnsi="Arial" w:cs="Arial"/>
        <w:b/>
        <w:sz w:val="48"/>
      </w:rPr>
      <w:tab/>
    </w:r>
    <w:r w:rsidRPr="00B8650F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B8650F">
      <w:tab/>
    </w:r>
    <w:proofErr w:type="spellStart"/>
    <w:r w:rsidRPr="00B8650F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F" w:rsidRPr="00B8650F" w:rsidRDefault="00B8650F" w:rsidP="00B8650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F" w:rsidRPr="00B8650F" w:rsidRDefault="00B8650F" w:rsidP="00B8650F">
    <w:pPr>
      <w:pStyle w:val="Footer"/>
      <w:rPr>
        <w:rFonts w:ascii="Arial" w:hAnsi="Arial" w:cs="Arial"/>
        <w:b/>
        <w:sz w:val="48"/>
      </w:rPr>
    </w:pPr>
    <w:r w:rsidRPr="00B8650F">
      <w:rPr>
        <w:rFonts w:ascii="Arial" w:hAnsi="Arial" w:cs="Arial"/>
        <w:b/>
        <w:sz w:val="48"/>
      </w:rPr>
      <w:t>BG</w:t>
    </w:r>
    <w:r w:rsidRPr="00B8650F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B8650F">
      <w:tab/>
    </w:r>
    <w:r w:rsidRPr="00B8650F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F" w:rsidRPr="00B8650F" w:rsidRDefault="00B8650F" w:rsidP="00B86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AC" w:rsidRDefault="004943F0">
      <w:pPr>
        <w:spacing w:before="0" w:after="0"/>
      </w:pPr>
      <w:r>
        <w:separator/>
      </w:r>
    </w:p>
  </w:footnote>
  <w:footnote w:type="continuationSeparator" w:id="0">
    <w:p w:rsidR="00677BAC" w:rsidRDefault="004943F0">
      <w:pPr>
        <w:spacing w:before="0" w:after="0"/>
      </w:pPr>
      <w:r>
        <w:continuationSeparator/>
      </w:r>
    </w:p>
  </w:footnote>
  <w:footnote w:id="1">
    <w:p w:rsidR="00677BAC" w:rsidRDefault="004943F0">
      <w:pPr>
        <w:pStyle w:val="FootnoteText"/>
      </w:pPr>
      <w:r>
        <w:rPr>
          <w:rStyle w:val="FootnoteReference"/>
        </w:rPr>
        <w:footnoteRef/>
      </w:r>
      <w:r>
        <w:tab/>
        <w:t xml:space="preserve">Съобщение на Комисията до Европейския парламент, Съвета, Европейския икономически и социален комитет и Комитета на регионите: </w:t>
      </w:r>
      <w:r>
        <w:rPr>
          <w:b/>
        </w:rPr>
        <w:t>Осъвременяване на единния пазар:</w:t>
      </w:r>
      <w:r>
        <w:t xml:space="preserve"> повече възможности за гражданите и предприятията (COM(2015) 550 </w:t>
      </w:r>
      <w:proofErr w:type="spellStart"/>
      <w:r>
        <w:t>final</w:t>
      </w:r>
      <w:proofErr w:type="spellEnd"/>
      <w:r>
        <w:t>).</w:t>
      </w:r>
    </w:p>
  </w:footnote>
  <w:footnote w:id="2">
    <w:p w:rsidR="00677BAC" w:rsidRDefault="004943F0">
      <w:pPr>
        <w:pStyle w:val="FootnoteText"/>
      </w:pPr>
      <w:r>
        <w:rPr>
          <w:rStyle w:val="FootnoteReference"/>
        </w:rPr>
        <w:footnoteRef/>
      </w:r>
      <w:r>
        <w:tab/>
        <w:t xml:space="preserve">Почти половината от средствата за финансиране на сближаването се предоставят чрез обществените поръчки. През периода 2014 – 2020 г. ЕС ще инвестира 325 милиарда евро – почти една трета от общия бюджет на ЕС – в регионите на Европа чрез </w:t>
      </w:r>
      <w:r>
        <w:rPr>
          <w:b/>
        </w:rPr>
        <w:t>европейските структурни и инвестиционни фондове</w:t>
      </w:r>
      <w:r>
        <w:t xml:space="preserve">, чието предназначение е насърчаване на икономическия растеж, създаване на работни места, повишаване на конкурентоспособността и намаляване на различията в развитието. </w:t>
      </w:r>
    </w:p>
  </w:footnote>
  <w:footnote w:id="3">
    <w:p w:rsidR="00677BAC" w:rsidRDefault="004943F0">
      <w:pPr>
        <w:pStyle w:val="FootnoteText"/>
      </w:pPr>
      <w:r>
        <w:rPr>
          <w:rStyle w:val="FootnoteReference"/>
        </w:rPr>
        <w:footnoteRef/>
      </w:r>
      <w:r>
        <w:tab/>
        <w:t>Директиви 2014/24/EС („Класическата директива“), 2014/23/EС („Директивата за концесиите“) и 2014/25/EС („Директивата за доставчиците на комунални услуги“) на Европейския парламент и на Съвета, и по-специално член 83, параграф 4, член 45, параграф 4 и член 99, параграф 4 съответно.</w:t>
      </w:r>
    </w:p>
  </w:footnote>
  <w:footnote w:id="4">
    <w:p w:rsidR="00677BAC" w:rsidRDefault="004943F0">
      <w:pPr>
        <w:pStyle w:val="FootnoteText"/>
      </w:pPr>
      <w:r>
        <w:rPr>
          <w:rStyle w:val="FootnoteReference"/>
        </w:rPr>
        <w:footnoteRef/>
      </w:r>
      <w:r>
        <w:tab/>
        <w:t xml:space="preserve">2014 г.; Съобщение на Комисията до Европейския парламент, Съвета, Европейската централна банка, Европейския икономически и социален комитет, Комитета на регионите и Европейската инвестиционна банка: План за инвестиции за Европа (COM(2014)903).  </w:t>
      </w:r>
    </w:p>
  </w:footnote>
  <w:footnote w:id="5">
    <w:p w:rsidR="00677BAC" w:rsidRDefault="004943F0">
      <w:pPr>
        <w:pStyle w:val="FootnoteText"/>
      </w:pPr>
      <w:r>
        <w:rPr>
          <w:rStyle w:val="FootnoteReference"/>
        </w:rPr>
        <w:footnoteRef/>
      </w:r>
      <w:r>
        <w:tab/>
        <w:t xml:space="preserve">Според разчетите в работния документ на службите (SWD/2015/202), придружаващ стратегията за единния пазар, </w:t>
      </w:r>
      <w:r>
        <w:rPr>
          <w:b/>
        </w:rPr>
        <w:t xml:space="preserve">потенциалните икономически ползи от разрешаването на различни проблеми чрез </w:t>
      </w:r>
      <w:proofErr w:type="spellStart"/>
      <w:r>
        <w:rPr>
          <w:b/>
        </w:rPr>
        <w:t>професионализация</w:t>
      </w:r>
      <w:proofErr w:type="spellEnd"/>
      <w:r>
        <w:rPr>
          <w:b/>
        </w:rPr>
        <w:t xml:space="preserve"> са над 80 милиарда евро</w:t>
      </w:r>
      <w:r>
        <w:t>.</w:t>
      </w:r>
    </w:p>
  </w:footnote>
  <w:footnote w:id="6">
    <w:p w:rsidR="00677BAC" w:rsidRDefault="004943F0">
      <w:pPr>
        <w:pStyle w:val="FootnoteText"/>
      </w:pPr>
      <w:r>
        <w:rPr>
          <w:rStyle w:val="FootnoteReference"/>
        </w:rPr>
        <w:footnoteRef/>
      </w:r>
      <w:r>
        <w:tab/>
        <w:t>Тук се включва целият обхват на работа на служителите по обществените поръчки, които участват на всички етапи от процеса на възлагане – от определянето на потребностите до контрола по договорите – независимо дали са в централна или децентрализирана администрация или ведомство, с функции, които са изрично определени като свързани с обществените поръчки, или просто имат отговорности за изпълнението на някои задачи във връзка с обществените поръчки.</w:t>
      </w:r>
    </w:p>
  </w:footnote>
  <w:footnote w:id="7">
    <w:p w:rsidR="00677BAC" w:rsidRDefault="004943F0">
      <w:pPr>
        <w:pStyle w:val="FootnoteText"/>
      </w:pPr>
      <w:r>
        <w:rPr>
          <w:rStyle w:val="FootnoteReference"/>
        </w:rPr>
        <w:footnoteRef/>
      </w:r>
      <w:r>
        <w:tab/>
        <w:t xml:space="preserve">Необходимостта от създаването на кадри в областта на обществените поръчки, които са в състояние да осигуряват постоянно високо качество от изразходваните средства, се подчертава и в </w:t>
      </w:r>
      <w:r>
        <w:rPr>
          <w:b/>
        </w:rPr>
        <w:t>Препоръката на ОИСР от 2015 г. относно обществените поръчки</w:t>
      </w:r>
      <w:r>
        <w:t>: http://www.oecd.org/gov/ethics/OECD-Recommendation-on-Public-Procurement.pdf</w:t>
      </w:r>
    </w:p>
  </w:footnote>
  <w:footnote w:id="8">
    <w:p w:rsidR="00677BAC" w:rsidRDefault="004943F0">
      <w:pPr>
        <w:pStyle w:val="FootnoteText"/>
      </w:pPr>
      <w:r>
        <w:rPr>
          <w:rStyle w:val="FootnoteReference"/>
        </w:rPr>
        <w:footnoteRef/>
      </w:r>
      <w:r>
        <w:tab/>
        <w:t>Комисията не възнамерява да предпише определен модел, а да прикани държавите членки и съответните администрации да предприемат действия по проблемите. Признава се фактът, че всички са на различни етапи от пътя си в тази посока. Въпреки това с новите директиви от държавите членки се изисква: а) да осигурят безплатно информация и насоки за тълкуването и прилагането на законодателството на ЕС за обществените поръчки, така че да подпомогнат възлагащите органи и икономическите оператори, особено МСП; б) да осигурят помощ за възлагащите органи при планирането и провеждането на процедурите за възлагане.</w:t>
      </w:r>
    </w:p>
  </w:footnote>
  <w:footnote w:id="9">
    <w:p w:rsidR="00677BAC" w:rsidRDefault="004943F0">
      <w:pPr>
        <w:pStyle w:val="FootnoteText"/>
      </w:pPr>
      <w:r>
        <w:rPr>
          <w:rStyle w:val="FootnoteReference"/>
        </w:rPr>
        <w:footnoteRef/>
      </w:r>
      <w:r>
        <w:tab/>
        <w:t>Заедно с настоящата препоръка ще бъде издаден и сборник на добрите практики на държавите членки.</w:t>
      </w:r>
    </w:p>
  </w:footnote>
  <w:footnote w:id="10">
    <w:p w:rsidR="00677BAC" w:rsidRDefault="004943F0">
      <w:pPr>
        <w:pStyle w:val="FootnoteText"/>
      </w:pPr>
      <w:r>
        <w:rPr>
          <w:rStyle w:val="FootnoteReference"/>
        </w:rPr>
        <w:footnoteRef/>
      </w:r>
      <w:r>
        <w:tab/>
        <w:t>Няколко примера: единният цифров портал и градивните елементи на инфраструктурата за цифровите услуги в рамките на Механизма за свързване на Европа – електронно идентифициране (</w:t>
      </w:r>
      <w:proofErr w:type="spellStart"/>
      <w:r>
        <w:t>eIdentity</w:t>
      </w:r>
      <w:proofErr w:type="spellEnd"/>
      <w:r>
        <w:t>), електронен подпис (</w:t>
      </w:r>
      <w:proofErr w:type="spellStart"/>
      <w:r>
        <w:t>eSignature</w:t>
      </w:r>
      <w:proofErr w:type="spellEnd"/>
      <w:r>
        <w:t>), електронна доставка (</w:t>
      </w:r>
      <w:proofErr w:type="spellStart"/>
      <w:r>
        <w:t>eDelivery</w:t>
      </w:r>
      <w:proofErr w:type="spellEnd"/>
      <w:r>
        <w:t>), електронно фактуриране (</w:t>
      </w:r>
      <w:proofErr w:type="spellStart"/>
      <w:r>
        <w:t>eInvoicing</w:t>
      </w:r>
      <w:proofErr w:type="spellEnd"/>
      <w:r>
        <w:t>).</w:t>
      </w:r>
    </w:p>
  </w:footnote>
  <w:footnote w:id="11">
    <w:p w:rsidR="00677BAC" w:rsidRDefault="004943F0">
      <w:pPr>
        <w:pStyle w:val="FootnoteText"/>
      </w:pPr>
      <w:r>
        <w:rPr>
          <w:rStyle w:val="FootnoteReference"/>
        </w:rPr>
        <w:footnoteRef/>
      </w:r>
      <w:r>
        <w:tab/>
        <w:t>https://joinup.ec.europa.eu/community/european_catalogue/</w:t>
      </w:r>
    </w:p>
  </w:footnote>
  <w:footnote w:id="12">
    <w:p w:rsidR="00677BAC" w:rsidRDefault="004943F0">
      <w:pPr>
        <w:pStyle w:val="FootnoteText"/>
      </w:pPr>
      <w:r>
        <w:rPr>
          <w:rStyle w:val="FootnoteReference"/>
        </w:rPr>
        <w:footnoteRef/>
      </w:r>
      <w:r>
        <w:tab/>
        <w:t>При спазване на законодателството за защита на личните данни и основното право на такава защита.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F" w:rsidRPr="00B8650F" w:rsidRDefault="00B8650F" w:rsidP="00B865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F" w:rsidRPr="00B8650F" w:rsidRDefault="00B8650F" w:rsidP="00B865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F" w:rsidRPr="00B8650F" w:rsidRDefault="00B8650F" w:rsidP="00B86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2B60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FD4CDF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1"/>
    <w:multiLevelType w:val="singleLevel"/>
    <w:tmpl w:val="C52CD8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08F26FD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30F805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248C87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9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28415E7"/>
    <w:multiLevelType w:val="multilevel"/>
    <w:tmpl w:val="B94069F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color w:val="auto"/>
      </w:rPr>
    </w:lvl>
    <w:lvl w:ilvl="1">
      <w:start w:val="1"/>
      <w:numFmt w:val="bullet"/>
      <w:pStyle w:val="ListNumberLevel2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15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0"/>
  </w:num>
  <w:num w:numId="22">
    <w:abstractNumId w:val="22"/>
  </w:num>
  <w:num w:numId="23">
    <w:abstractNumId w:val="9"/>
  </w:num>
  <w:num w:numId="24">
    <w:abstractNumId w:val="12"/>
  </w:num>
  <w:num w:numId="25">
    <w:abstractNumId w:val="7"/>
  </w:num>
  <w:num w:numId="26">
    <w:abstractNumId w:val="20"/>
  </w:num>
  <w:num w:numId="27">
    <w:abstractNumId w:val="6"/>
  </w:num>
  <w:num w:numId="28">
    <w:abstractNumId w:val="13"/>
  </w:num>
  <w:num w:numId="29">
    <w:abstractNumId w:val="17"/>
  </w:num>
  <w:num w:numId="30">
    <w:abstractNumId w:val="18"/>
  </w:num>
  <w:num w:numId="31">
    <w:abstractNumId w:val="8"/>
  </w:num>
  <w:num w:numId="32">
    <w:abstractNumId w:val="16"/>
  </w:num>
  <w:num w:numId="33">
    <w:abstractNumId w:val="23"/>
  </w:num>
  <w:num w:numId="34">
    <w:abstractNumId w:val="19"/>
  </w:num>
  <w:num w:numId="35">
    <w:abstractNumId w:val="10"/>
  </w:num>
  <w:num w:numId="36">
    <w:abstractNumId w:val="22"/>
  </w:num>
  <w:num w:numId="37">
    <w:abstractNumId w:val="9"/>
  </w:num>
  <w:num w:numId="38">
    <w:abstractNumId w:val="12"/>
  </w:num>
  <w:num w:numId="39">
    <w:abstractNumId w:val="7"/>
  </w:num>
  <w:num w:numId="40">
    <w:abstractNumId w:val="20"/>
  </w:num>
  <w:num w:numId="41">
    <w:abstractNumId w:val="6"/>
  </w:num>
  <w:num w:numId="42">
    <w:abstractNumId w:val="13"/>
  </w:num>
  <w:num w:numId="43">
    <w:abstractNumId w:val="17"/>
  </w:num>
  <w:num w:numId="44">
    <w:abstractNumId w:val="18"/>
  </w:num>
  <w:num w:numId="45">
    <w:abstractNumId w:val="8"/>
  </w:num>
  <w:num w:numId="46">
    <w:abstractNumId w:val="16"/>
  </w:num>
  <w:num w:numId="47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attachedTemplate r:id="rId1"/>
  <w:doNotTrackFormatting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03 13:00:4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FigNum" w:val="1"/>
    <w:docVar w:name="LW_CONFIDENCE" w:val=" "/>
    <w:docVar w:name="LW_CONST_RESTREINT_UE" w:val="RESTREINT UE/EU RESTRICTED"/>
    <w:docVar w:name="LW_COVERPAGE_GUID" w:val="4439A8FB594F442EA43F31F246A80F66"/>
    <w:docVar w:name="LW_CROSSREFERENCE" w:val="{SWD(2017) 327 final}"/>
    <w:docVar w:name="LW_DATE.ADOPT.CP" w:val="\u1086?\u1090? 3.10.2017 \u1075?\u1086?\u1076?\u1080?\u1085?\u1072?"/>
    <w:docVar w:name="LW_DATE.ADOPT.CP_DATEFORMAT" w:val="\u1086?\u1090? %DATE% \u1075?\u1086?\u1076?\u1080?\u1085?\u1072?"/>
    <w:docVar w:name="LW_DATE.ADOPT.CP_ISODATE" w:val="2017-10-03"/>
    <w:docVar w:name="LW_DocType" w:val="COM"/>
    <w:docVar w:name="LW_EMISSION" w:val="3.10.2017"/>
    <w:docVar w:name="LW_EMISSION_ISODATE" w:val="2017-10-03"/>
    <w:docVar w:name="LW_EMISSION_LOCATION" w:val="STR"/>
    <w:docVar w:name="LW_EMISSION_PREFIX" w:val="\u1057?\u1090?\u1088?\u1072?\u1089?\u1073?\u1091?\u1088?\u1075?, "/>
    <w:docVar w:name="LW_EMISSION_SUFFIX" w:val=" \u1075?."/>
    <w:docVar w:name="LW_ID_DOCMODEL" w:val="SJ-014"/>
    <w:docVar w:name="LW_ID_DOCSIGNATURE" w:val="SJ-014"/>
    <w:docVar w:name="LW_ID_DOCSTRUCTURE" w:val="COM/AA"/>
    <w:docVar w:name="LW_ID_DOCTYPE" w:val="SJ-014"/>
    <w:docVar w:name="LW_INTERETEEE.CP" w:val="(\u1090?\u1077?\u1082?\u1089?\u1090? \u1086?\u1090? \u1079?\u1085?\u1072?\u1095?\u1077?\u1085?\u1080?\u1077? \u1079?\u1072? \u1045?\u1048?\u1055?)"/>
    <w:docVar w:name="LW_LANGUE" w:val="BG"/>
    <w:docVar w:name="LW_LANGUESFAISANTFOI.CP" w:val="&lt;UNUSED&gt;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7) 6654"/>
    <w:docVar w:name="LW_REF.INTERNE" w:val="&lt;UNUSED&gt;"/>
    <w:docVar w:name="LW_SOUS.TITRE.OBJ.CP" w:val="\u1048?\u1079?\u1075?\u1088?\u1072?\u1078?\u1076?\u1072?\u1085?\u1077? \u1085?\u1072? \u1072?\u1088?\u1093?\u1080?\u1090?\u1077?\u1082?\u1090?\u1091?\u1088?\u1072? \u1079?\u1072? \u1087?\u1088?\u1086?\u1092?\u1077?\u1089?\u1080?\u1086?\u1085?\u1072?\u1083?\u1080?\u1079?\u1072?\u1094?\u1080?\u1103?\u1090?\u1072? \u1085?\u1072? \u1086?\u1073?\u1097?\u1077?\u1089?\u1090?\u1074?\u1077?\u1085?\u1080?\u1090?\u1077? \u1087?\u1086?\u1088?\u1098?\u1095?\u1082?\u1080?"/>
    <w:docVar w:name="LW_SUPERTITRE" w:val="&lt;UNUSED&gt;"/>
    <w:docVar w:name="LW_TITRE.OBJ.CP" w:val="\u1079?\u1072? \u1087?\u1088?\u1086?\u1092?\u1077?\u1089?\u1080?\u1086?\u1085?\u1072?\u1083?\u1080?\u1079?\u1072?\u1094?\u1080?\u1103? \u1085?\u1072? \u1086?\u1073?\u1097?\u1077?\u1089?\u1090?\u1074?\u1077?\u1085?\u1080?\u1090?\u1077? \u1087?\u1086?\u1088?\u1098?\u1095?\u1082?\u1080?"/>
    <w:docVar w:name="LW_TYPE.DOC.CP" w:val="\u1055?\u1056?\u1045?\u1055?\u1054?\u1056?\u1066?\u1050?\u1040? \u1053?\u1040? \u1050?\u1054?\u1052?\u1048?\u1057?\u1048?\u1071?\u1058?\u1040?"/>
    <w:docVar w:name="Stamp" w:val="\\dossiers.dgt.cec.eu.int\dossiers\GROW\GROW-2017-01184\GROW-2017-01184-00-00-EN-REV-00.201708110943414066006.DOCX"/>
  </w:docVars>
  <w:rsids>
    <w:rsidRoot w:val="00677BAC"/>
    <w:rsid w:val="004943F0"/>
    <w:rsid w:val="00677BAC"/>
    <w:rsid w:val="00B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Number">
    <w:name w:val="List Number"/>
    <w:basedOn w:val="Normal"/>
    <w:pPr>
      <w:numPr>
        <w:numId w:val="1"/>
      </w:numPr>
      <w:spacing w:before="0" w:after="240"/>
    </w:pPr>
    <w:rPr>
      <w:rFonts w:eastAsia="Times New Roman"/>
      <w:szCs w:val="20"/>
    </w:rPr>
  </w:style>
  <w:style w:type="paragraph" w:customStyle="1" w:styleId="ListNumberLevel2">
    <w:name w:val="List Number (Level 2)"/>
    <w:basedOn w:val="Normal"/>
    <w:pPr>
      <w:numPr>
        <w:ilvl w:val="1"/>
        <w:numId w:val="1"/>
      </w:numPr>
      <w:spacing w:before="0" w:after="240"/>
    </w:pPr>
    <w:rPr>
      <w:rFonts w:eastAsia="Times New Roman"/>
      <w:szCs w:val="20"/>
    </w:rPr>
  </w:style>
  <w:style w:type="paragraph" w:customStyle="1" w:styleId="ListNumberLevel3">
    <w:name w:val="List Number (Level 3)"/>
    <w:basedOn w:val="Normal"/>
    <w:pPr>
      <w:numPr>
        <w:ilvl w:val="2"/>
        <w:numId w:val="1"/>
      </w:numPr>
      <w:spacing w:before="0" w:after="240"/>
    </w:pPr>
    <w:rPr>
      <w:rFonts w:eastAsia="Times New Roman"/>
      <w:szCs w:val="20"/>
    </w:rPr>
  </w:style>
  <w:style w:type="paragraph" w:customStyle="1" w:styleId="ListNumberLevel4">
    <w:name w:val="List Number (Level 4)"/>
    <w:basedOn w:val="Normal"/>
    <w:pPr>
      <w:numPr>
        <w:ilvl w:val="3"/>
        <w:numId w:val="1"/>
      </w:numPr>
      <w:spacing w:before="0" w:after="240"/>
    </w:pPr>
    <w:rPr>
      <w:rFonts w:eastAsia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240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ListDash">
    <w:name w:val="List Dash"/>
    <w:basedOn w:val="Normal"/>
    <w:pPr>
      <w:numPr>
        <w:numId w:val="2"/>
      </w:numPr>
      <w:spacing w:before="0" w:after="240"/>
    </w:pPr>
    <w:rPr>
      <w:rFonts w:eastAsia="Times New Roman"/>
      <w:szCs w:val="20"/>
    </w:rPr>
  </w:style>
  <w:style w:type="paragraph" w:customStyle="1" w:styleId="ListNumber1">
    <w:name w:val="List Number 1"/>
    <w:basedOn w:val="Text1"/>
    <w:pPr>
      <w:numPr>
        <w:numId w:val="3"/>
      </w:numPr>
      <w:spacing w:before="0" w:after="240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pPr>
      <w:numPr>
        <w:ilvl w:val="1"/>
        <w:numId w:val="3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pPr>
      <w:numPr>
        <w:ilvl w:val="2"/>
        <w:numId w:val="3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pPr>
      <w:numPr>
        <w:ilvl w:val="3"/>
        <w:numId w:val="3"/>
      </w:numPr>
      <w:spacing w:before="0" w:after="240"/>
    </w:pPr>
    <w:rPr>
      <w:rFonts w:eastAsia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ubject">
    <w:name w:val="Subject"/>
    <w:basedOn w:val="Normal"/>
    <w:next w:val="Normal"/>
    <w:uiPriority w:val="99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styleId="ListParagraph">
    <w:name w:val="List Paragraph"/>
    <w:basedOn w:val="Normal"/>
    <w:uiPriority w:val="34"/>
    <w:qFormat/>
    <w:pPr>
      <w:spacing w:before="840"/>
      <w:ind w:left="720"/>
    </w:pPr>
    <w:rPr>
      <w:rFonts w:eastAsia="Times New Roman"/>
      <w:szCs w:val="20"/>
    </w:rPr>
  </w:style>
  <w:style w:type="paragraph" w:styleId="Date">
    <w:name w:val="Date"/>
    <w:basedOn w:val="Normal"/>
    <w:next w:val="Normal"/>
    <w:link w:val="DateChar"/>
    <w:uiPriority w:val="99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ListNumber4">
    <w:name w:val="List Number 4"/>
    <w:basedOn w:val="Text4"/>
    <w:pPr>
      <w:numPr>
        <w:numId w:val="4"/>
      </w:numPr>
      <w:spacing w:before="0" w:after="240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pPr>
      <w:numPr>
        <w:ilvl w:val="1"/>
        <w:numId w:val="4"/>
      </w:numPr>
      <w:spacing w:before="0" w:after="240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pPr>
      <w:numPr>
        <w:ilvl w:val="2"/>
        <w:numId w:val="4"/>
      </w:numPr>
      <w:spacing w:before="0" w:after="240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pPr>
      <w:numPr>
        <w:ilvl w:val="3"/>
        <w:numId w:val="4"/>
      </w:numPr>
      <w:spacing w:before="0" w:after="240"/>
    </w:pPr>
    <w:rPr>
      <w:rFonts w:eastAsia="Times New Roman"/>
      <w:szCs w:val="20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Pa9">
    <w:name w:val="Pa9"/>
    <w:basedOn w:val="Normal"/>
    <w:next w:val="Normal"/>
    <w:uiPriority w:val="99"/>
    <w:pPr>
      <w:autoSpaceDE w:val="0"/>
      <w:autoSpaceDN w:val="0"/>
      <w:adjustRightInd w:val="0"/>
      <w:spacing w:before="0" w:after="0" w:line="241" w:lineRule="atLeast"/>
      <w:jc w:val="left"/>
    </w:pPr>
    <w:rPr>
      <w:rFonts w:ascii="Bernino Sans" w:hAnsi="Bernino Sans" w:cstheme="minorBidi"/>
      <w:szCs w:val="24"/>
    </w:rPr>
  </w:style>
  <w:style w:type="character" w:customStyle="1" w:styleId="A3">
    <w:name w:val="A3"/>
    <w:uiPriority w:val="99"/>
    <w:rPr>
      <w:rFonts w:cs="Bernino Sans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8650F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8650F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B8650F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4"/>
      </w:numPr>
    </w:pPr>
  </w:style>
  <w:style w:type="paragraph" w:customStyle="1" w:styleId="Tiret1">
    <w:name w:val="Tiret 1"/>
    <w:basedOn w:val="Point1"/>
    <w:pPr>
      <w:numPr>
        <w:numId w:val="35"/>
      </w:numPr>
    </w:pPr>
  </w:style>
  <w:style w:type="paragraph" w:customStyle="1" w:styleId="Tiret2">
    <w:name w:val="Tiret 2"/>
    <w:basedOn w:val="Point2"/>
    <w:pPr>
      <w:numPr>
        <w:numId w:val="36"/>
      </w:numPr>
    </w:pPr>
  </w:style>
  <w:style w:type="paragraph" w:customStyle="1" w:styleId="Tiret3">
    <w:name w:val="Tiret 3"/>
    <w:basedOn w:val="Point3"/>
    <w:pPr>
      <w:numPr>
        <w:numId w:val="37"/>
      </w:numPr>
    </w:pPr>
  </w:style>
  <w:style w:type="paragraph" w:customStyle="1" w:styleId="Tiret4">
    <w:name w:val="Tiret 4"/>
    <w:basedOn w:val="Point4"/>
    <w:pPr>
      <w:numPr>
        <w:numId w:val="3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1"/>
      </w:numPr>
    </w:pPr>
  </w:style>
  <w:style w:type="paragraph" w:customStyle="1" w:styleId="Point1number">
    <w:name w:val="Point 1 (number)"/>
    <w:basedOn w:val="Normal"/>
    <w:pPr>
      <w:numPr>
        <w:ilvl w:val="2"/>
        <w:numId w:val="41"/>
      </w:numPr>
    </w:pPr>
  </w:style>
  <w:style w:type="paragraph" w:customStyle="1" w:styleId="Point2number">
    <w:name w:val="Point 2 (number)"/>
    <w:basedOn w:val="Normal"/>
    <w:pPr>
      <w:numPr>
        <w:ilvl w:val="4"/>
        <w:numId w:val="41"/>
      </w:numPr>
    </w:pPr>
  </w:style>
  <w:style w:type="paragraph" w:customStyle="1" w:styleId="Point3number">
    <w:name w:val="Point 3 (number)"/>
    <w:basedOn w:val="Normal"/>
    <w:pPr>
      <w:numPr>
        <w:ilvl w:val="6"/>
        <w:numId w:val="41"/>
      </w:numPr>
    </w:pPr>
  </w:style>
  <w:style w:type="paragraph" w:customStyle="1" w:styleId="Point0letter">
    <w:name w:val="Point 0 (letter)"/>
    <w:basedOn w:val="Normal"/>
    <w:pPr>
      <w:numPr>
        <w:ilvl w:val="1"/>
        <w:numId w:val="41"/>
      </w:numPr>
    </w:pPr>
  </w:style>
  <w:style w:type="paragraph" w:customStyle="1" w:styleId="Point1letter">
    <w:name w:val="Point 1 (letter)"/>
    <w:basedOn w:val="Normal"/>
    <w:pPr>
      <w:numPr>
        <w:ilvl w:val="3"/>
        <w:numId w:val="41"/>
      </w:numPr>
    </w:pPr>
  </w:style>
  <w:style w:type="paragraph" w:customStyle="1" w:styleId="Point2letter">
    <w:name w:val="Point 2 (letter)"/>
    <w:basedOn w:val="Normal"/>
    <w:pPr>
      <w:numPr>
        <w:ilvl w:val="5"/>
        <w:numId w:val="41"/>
      </w:numPr>
    </w:pPr>
  </w:style>
  <w:style w:type="paragraph" w:customStyle="1" w:styleId="Point3letter">
    <w:name w:val="Point 3 (letter)"/>
    <w:basedOn w:val="Normal"/>
    <w:pPr>
      <w:numPr>
        <w:ilvl w:val="7"/>
        <w:numId w:val="41"/>
      </w:numPr>
    </w:pPr>
  </w:style>
  <w:style w:type="paragraph" w:customStyle="1" w:styleId="Point4letter">
    <w:name w:val="Point 4 (letter)"/>
    <w:basedOn w:val="Normal"/>
    <w:pPr>
      <w:numPr>
        <w:ilvl w:val="8"/>
        <w:numId w:val="41"/>
      </w:numPr>
    </w:pPr>
  </w:style>
  <w:style w:type="paragraph" w:customStyle="1" w:styleId="Bullet0">
    <w:name w:val="Bullet 0"/>
    <w:basedOn w:val="Normal"/>
    <w:pPr>
      <w:numPr>
        <w:numId w:val="42"/>
      </w:numPr>
    </w:pPr>
  </w:style>
  <w:style w:type="paragraph" w:customStyle="1" w:styleId="Bullet1">
    <w:name w:val="Bullet 1"/>
    <w:basedOn w:val="Normal"/>
    <w:pPr>
      <w:numPr>
        <w:numId w:val="43"/>
      </w:numPr>
    </w:pPr>
  </w:style>
  <w:style w:type="paragraph" w:customStyle="1" w:styleId="Bullet2">
    <w:name w:val="Bullet 2"/>
    <w:basedOn w:val="Normal"/>
    <w:pPr>
      <w:numPr>
        <w:numId w:val="44"/>
      </w:numPr>
    </w:pPr>
  </w:style>
  <w:style w:type="paragraph" w:customStyle="1" w:styleId="Bullet3">
    <w:name w:val="Bullet 3"/>
    <w:basedOn w:val="Normal"/>
    <w:pPr>
      <w:numPr>
        <w:numId w:val="45"/>
      </w:numPr>
    </w:pPr>
  </w:style>
  <w:style w:type="paragraph" w:customStyle="1" w:styleId="Bullet4">
    <w:name w:val="Bullet 4"/>
    <w:basedOn w:val="Normal"/>
    <w:pPr>
      <w:numPr>
        <w:numId w:val="4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Number">
    <w:name w:val="List Number"/>
    <w:basedOn w:val="Normal"/>
    <w:pPr>
      <w:numPr>
        <w:numId w:val="1"/>
      </w:numPr>
      <w:spacing w:before="0" w:after="240"/>
    </w:pPr>
    <w:rPr>
      <w:rFonts w:eastAsia="Times New Roman"/>
      <w:szCs w:val="20"/>
    </w:rPr>
  </w:style>
  <w:style w:type="paragraph" w:customStyle="1" w:styleId="ListNumberLevel2">
    <w:name w:val="List Number (Level 2)"/>
    <w:basedOn w:val="Normal"/>
    <w:pPr>
      <w:numPr>
        <w:ilvl w:val="1"/>
        <w:numId w:val="1"/>
      </w:numPr>
      <w:spacing w:before="0" w:after="240"/>
    </w:pPr>
    <w:rPr>
      <w:rFonts w:eastAsia="Times New Roman"/>
      <w:szCs w:val="20"/>
    </w:rPr>
  </w:style>
  <w:style w:type="paragraph" w:customStyle="1" w:styleId="ListNumberLevel3">
    <w:name w:val="List Number (Level 3)"/>
    <w:basedOn w:val="Normal"/>
    <w:pPr>
      <w:numPr>
        <w:ilvl w:val="2"/>
        <w:numId w:val="1"/>
      </w:numPr>
      <w:spacing w:before="0" w:after="240"/>
    </w:pPr>
    <w:rPr>
      <w:rFonts w:eastAsia="Times New Roman"/>
      <w:szCs w:val="20"/>
    </w:rPr>
  </w:style>
  <w:style w:type="paragraph" w:customStyle="1" w:styleId="ListNumberLevel4">
    <w:name w:val="List Number (Level 4)"/>
    <w:basedOn w:val="Normal"/>
    <w:pPr>
      <w:numPr>
        <w:ilvl w:val="3"/>
        <w:numId w:val="1"/>
      </w:numPr>
      <w:spacing w:before="0" w:after="240"/>
    </w:pPr>
    <w:rPr>
      <w:rFonts w:eastAsia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240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ListDash">
    <w:name w:val="List Dash"/>
    <w:basedOn w:val="Normal"/>
    <w:pPr>
      <w:numPr>
        <w:numId w:val="2"/>
      </w:numPr>
      <w:spacing w:before="0" w:after="240"/>
    </w:pPr>
    <w:rPr>
      <w:rFonts w:eastAsia="Times New Roman"/>
      <w:szCs w:val="20"/>
    </w:rPr>
  </w:style>
  <w:style w:type="paragraph" w:customStyle="1" w:styleId="ListNumber1">
    <w:name w:val="List Number 1"/>
    <w:basedOn w:val="Text1"/>
    <w:pPr>
      <w:numPr>
        <w:numId w:val="3"/>
      </w:numPr>
      <w:spacing w:before="0" w:after="240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pPr>
      <w:numPr>
        <w:ilvl w:val="1"/>
        <w:numId w:val="3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pPr>
      <w:numPr>
        <w:ilvl w:val="2"/>
        <w:numId w:val="3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pPr>
      <w:numPr>
        <w:ilvl w:val="3"/>
        <w:numId w:val="3"/>
      </w:numPr>
      <w:spacing w:before="0" w:after="240"/>
    </w:pPr>
    <w:rPr>
      <w:rFonts w:eastAsia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ubject">
    <w:name w:val="Subject"/>
    <w:basedOn w:val="Normal"/>
    <w:next w:val="Normal"/>
    <w:uiPriority w:val="99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styleId="ListParagraph">
    <w:name w:val="List Paragraph"/>
    <w:basedOn w:val="Normal"/>
    <w:uiPriority w:val="34"/>
    <w:qFormat/>
    <w:pPr>
      <w:spacing w:before="840"/>
      <w:ind w:left="720"/>
    </w:pPr>
    <w:rPr>
      <w:rFonts w:eastAsia="Times New Roman"/>
      <w:szCs w:val="20"/>
    </w:rPr>
  </w:style>
  <w:style w:type="paragraph" w:styleId="Date">
    <w:name w:val="Date"/>
    <w:basedOn w:val="Normal"/>
    <w:next w:val="Normal"/>
    <w:link w:val="DateChar"/>
    <w:uiPriority w:val="99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ListNumber4">
    <w:name w:val="List Number 4"/>
    <w:basedOn w:val="Text4"/>
    <w:pPr>
      <w:numPr>
        <w:numId w:val="4"/>
      </w:numPr>
      <w:spacing w:before="0" w:after="240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pPr>
      <w:numPr>
        <w:ilvl w:val="1"/>
        <w:numId w:val="4"/>
      </w:numPr>
      <w:spacing w:before="0" w:after="240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pPr>
      <w:numPr>
        <w:ilvl w:val="2"/>
        <w:numId w:val="4"/>
      </w:numPr>
      <w:spacing w:before="0" w:after="240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pPr>
      <w:numPr>
        <w:ilvl w:val="3"/>
        <w:numId w:val="4"/>
      </w:numPr>
      <w:spacing w:before="0" w:after="240"/>
    </w:pPr>
    <w:rPr>
      <w:rFonts w:eastAsia="Times New Roman"/>
      <w:szCs w:val="20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Pa9">
    <w:name w:val="Pa9"/>
    <w:basedOn w:val="Normal"/>
    <w:next w:val="Normal"/>
    <w:uiPriority w:val="99"/>
    <w:pPr>
      <w:autoSpaceDE w:val="0"/>
      <w:autoSpaceDN w:val="0"/>
      <w:adjustRightInd w:val="0"/>
      <w:spacing w:before="0" w:after="0" w:line="241" w:lineRule="atLeast"/>
      <w:jc w:val="left"/>
    </w:pPr>
    <w:rPr>
      <w:rFonts w:ascii="Bernino Sans" w:hAnsi="Bernino Sans" w:cstheme="minorBidi"/>
      <w:szCs w:val="24"/>
    </w:rPr>
  </w:style>
  <w:style w:type="character" w:customStyle="1" w:styleId="A3">
    <w:name w:val="A3"/>
    <w:uiPriority w:val="99"/>
    <w:rPr>
      <w:rFonts w:cs="Bernino Sans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8650F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8650F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B8650F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4"/>
      </w:numPr>
    </w:pPr>
  </w:style>
  <w:style w:type="paragraph" w:customStyle="1" w:styleId="Tiret1">
    <w:name w:val="Tiret 1"/>
    <w:basedOn w:val="Point1"/>
    <w:pPr>
      <w:numPr>
        <w:numId w:val="35"/>
      </w:numPr>
    </w:pPr>
  </w:style>
  <w:style w:type="paragraph" w:customStyle="1" w:styleId="Tiret2">
    <w:name w:val="Tiret 2"/>
    <w:basedOn w:val="Point2"/>
    <w:pPr>
      <w:numPr>
        <w:numId w:val="36"/>
      </w:numPr>
    </w:pPr>
  </w:style>
  <w:style w:type="paragraph" w:customStyle="1" w:styleId="Tiret3">
    <w:name w:val="Tiret 3"/>
    <w:basedOn w:val="Point3"/>
    <w:pPr>
      <w:numPr>
        <w:numId w:val="37"/>
      </w:numPr>
    </w:pPr>
  </w:style>
  <w:style w:type="paragraph" w:customStyle="1" w:styleId="Tiret4">
    <w:name w:val="Tiret 4"/>
    <w:basedOn w:val="Point4"/>
    <w:pPr>
      <w:numPr>
        <w:numId w:val="3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1"/>
      </w:numPr>
    </w:pPr>
  </w:style>
  <w:style w:type="paragraph" w:customStyle="1" w:styleId="Point1number">
    <w:name w:val="Point 1 (number)"/>
    <w:basedOn w:val="Normal"/>
    <w:pPr>
      <w:numPr>
        <w:ilvl w:val="2"/>
        <w:numId w:val="41"/>
      </w:numPr>
    </w:pPr>
  </w:style>
  <w:style w:type="paragraph" w:customStyle="1" w:styleId="Point2number">
    <w:name w:val="Point 2 (number)"/>
    <w:basedOn w:val="Normal"/>
    <w:pPr>
      <w:numPr>
        <w:ilvl w:val="4"/>
        <w:numId w:val="41"/>
      </w:numPr>
    </w:pPr>
  </w:style>
  <w:style w:type="paragraph" w:customStyle="1" w:styleId="Point3number">
    <w:name w:val="Point 3 (number)"/>
    <w:basedOn w:val="Normal"/>
    <w:pPr>
      <w:numPr>
        <w:ilvl w:val="6"/>
        <w:numId w:val="41"/>
      </w:numPr>
    </w:pPr>
  </w:style>
  <w:style w:type="paragraph" w:customStyle="1" w:styleId="Point0letter">
    <w:name w:val="Point 0 (letter)"/>
    <w:basedOn w:val="Normal"/>
    <w:pPr>
      <w:numPr>
        <w:ilvl w:val="1"/>
        <w:numId w:val="41"/>
      </w:numPr>
    </w:pPr>
  </w:style>
  <w:style w:type="paragraph" w:customStyle="1" w:styleId="Point1letter">
    <w:name w:val="Point 1 (letter)"/>
    <w:basedOn w:val="Normal"/>
    <w:pPr>
      <w:numPr>
        <w:ilvl w:val="3"/>
        <w:numId w:val="41"/>
      </w:numPr>
    </w:pPr>
  </w:style>
  <w:style w:type="paragraph" w:customStyle="1" w:styleId="Point2letter">
    <w:name w:val="Point 2 (letter)"/>
    <w:basedOn w:val="Normal"/>
    <w:pPr>
      <w:numPr>
        <w:ilvl w:val="5"/>
        <w:numId w:val="41"/>
      </w:numPr>
    </w:pPr>
  </w:style>
  <w:style w:type="paragraph" w:customStyle="1" w:styleId="Point3letter">
    <w:name w:val="Point 3 (letter)"/>
    <w:basedOn w:val="Normal"/>
    <w:pPr>
      <w:numPr>
        <w:ilvl w:val="7"/>
        <w:numId w:val="41"/>
      </w:numPr>
    </w:pPr>
  </w:style>
  <w:style w:type="paragraph" w:customStyle="1" w:styleId="Point4letter">
    <w:name w:val="Point 4 (letter)"/>
    <w:basedOn w:val="Normal"/>
    <w:pPr>
      <w:numPr>
        <w:ilvl w:val="8"/>
        <w:numId w:val="41"/>
      </w:numPr>
    </w:pPr>
  </w:style>
  <w:style w:type="paragraph" w:customStyle="1" w:styleId="Bullet0">
    <w:name w:val="Bullet 0"/>
    <w:basedOn w:val="Normal"/>
    <w:pPr>
      <w:numPr>
        <w:numId w:val="42"/>
      </w:numPr>
    </w:pPr>
  </w:style>
  <w:style w:type="paragraph" w:customStyle="1" w:styleId="Bullet1">
    <w:name w:val="Bullet 1"/>
    <w:basedOn w:val="Normal"/>
    <w:pPr>
      <w:numPr>
        <w:numId w:val="43"/>
      </w:numPr>
    </w:pPr>
  </w:style>
  <w:style w:type="paragraph" w:customStyle="1" w:styleId="Bullet2">
    <w:name w:val="Bullet 2"/>
    <w:basedOn w:val="Normal"/>
    <w:pPr>
      <w:numPr>
        <w:numId w:val="44"/>
      </w:numPr>
    </w:pPr>
  </w:style>
  <w:style w:type="paragraph" w:customStyle="1" w:styleId="Bullet3">
    <w:name w:val="Bullet 3"/>
    <w:basedOn w:val="Normal"/>
    <w:pPr>
      <w:numPr>
        <w:numId w:val="45"/>
      </w:numPr>
    </w:pPr>
  </w:style>
  <w:style w:type="paragraph" w:customStyle="1" w:styleId="Bullet4">
    <w:name w:val="Bullet 4"/>
    <w:basedOn w:val="Normal"/>
    <w:pPr>
      <w:numPr>
        <w:numId w:val="4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3A2D-EFDB-40B1-B7FC-C43A4A40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8</Pages>
  <Words>1967</Words>
  <Characters>12316</Characters>
  <Application>Microsoft Office Word</Application>
  <DocSecurity>0</DocSecurity>
  <Lines>246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2017-10-02T08:00:00Z</dcterms:created>
  <dcterms:modified xsi:type="dcterms:W3CDTF">2017-10-03T11:07:00Z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LWTemplateID">
    <vt:lpwstr>SJ-014</vt:lpwstr>
  </property>
  <property fmtid="{D5CDD505-2E9C-101B-9397-08002B2CF9AE}" pid="6" name="Classification">
    <vt:lpwstr> </vt:lpwstr>
  </property>
  <property fmtid="{D5CDD505-2E9C-101B-9397-08002B2CF9AE}" pid="7" name="Last edited using">
    <vt:lpwstr>LW 5.8.4, Build 20150407</vt:lpwstr>
  </property>
  <property fmtid="{D5CDD505-2E9C-101B-9397-08002B2CF9AE}" pid="8" name="DQCStatus">
    <vt:lpwstr>Yellow (DQC version 03)</vt:lpwstr>
  </property>
</Properties>
</file>