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71D" w:rsidRDefault="00A16169" w:rsidP="00A16169">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A8D7F66A50124320A914A9A8BD96A247" style="width:450.7pt;height:392.75pt">
            <v:imagedata r:id="rId9" o:title=""/>
          </v:shape>
        </w:pict>
      </w:r>
    </w:p>
    <w:bookmarkEnd w:id="0"/>
    <w:p w:rsidR="00BF571D" w:rsidRDefault="00BF571D">
      <w:pPr>
        <w:rPr>
          <w:noProof/>
        </w:rPr>
        <w:sectPr w:rsidR="00BF571D" w:rsidSect="00A1616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rsidR="00BF571D" w:rsidRDefault="00E549BA">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ANNEXE </w:t>
      </w:r>
    </w:p>
    <w:p w:rsidR="00BF571D" w:rsidRDefault="00E549BA">
      <w:pPr>
        <w:jc w:val="center"/>
        <w:rPr>
          <w:rFonts w:ascii="Times New Roman" w:hAnsi="Times New Roman" w:cs="Times New Roman"/>
          <w:b/>
          <w:noProof/>
          <w:sz w:val="24"/>
          <w:szCs w:val="24"/>
        </w:rPr>
      </w:pPr>
      <w:r>
        <w:rPr>
          <w:rFonts w:ascii="Times New Roman" w:hAnsi="Times New Roman"/>
          <w:b/>
          <w:noProof/>
          <w:sz w:val="24"/>
        </w:rPr>
        <w:t xml:space="preserve">PROPOSITION RÉDACTIONNELLE </w:t>
      </w:r>
    </w:p>
    <w:tbl>
      <w:tblPr>
        <w:tblStyle w:val="TableGrid"/>
        <w:tblW w:w="0" w:type="auto"/>
        <w:tblLook w:val="04A0" w:firstRow="1" w:lastRow="0" w:firstColumn="1" w:lastColumn="0" w:noHBand="0" w:noVBand="1"/>
      </w:tblPr>
      <w:tblGrid>
        <w:gridCol w:w="4644"/>
        <w:gridCol w:w="4644"/>
      </w:tblGrid>
      <w:tr w:rsidR="00BF571D">
        <w:tc>
          <w:tcPr>
            <w:tcW w:w="4644" w:type="dxa"/>
          </w:tcPr>
          <w:p w:rsidR="00BF571D" w:rsidRDefault="00E549BA">
            <w:pPr>
              <w:jc w:val="both"/>
              <w:rPr>
                <w:rFonts w:ascii="Times New Roman" w:hAnsi="Times New Roman" w:cs="Times New Roman"/>
                <w:b/>
                <w:noProof/>
                <w:sz w:val="24"/>
                <w:szCs w:val="24"/>
              </w:rPr>
            </w:pPr>
            <w:r>
              <w:rPr>
                <w:rFonts w:ascii="Times New Roman" w:hAnsi="Times New Roman"/>
                <w:b/>
                <w:noProof/>
                <w:sz w:val="24"/>
              </w:rPr>
              <w:t>Texte recommandé par la BCE</w:t>
            </w:r>
          </w:p>
        </w:tc>
        <w:tc>
          <w:tcPr>
            <w:tcW w:w="4644" w:type="dxa"/>
          </w:tcPr>
          <w:p w:rsidR="00BF571D" w:rsidRDefault="00E549BA">
            <w:pPr>
              <w:jc w:val="both"/>
              <w:rPr>
                <w:rFonts w:ascii="Times New Roman" w:hAnsi="Times New Roman" w:cs="Times New Roman"/>
                <w:b/>
                <w:noProof/>
                <w:sz w:val="24"/>
                <w:szCs w:val="24"/>
              </w:rPr>
            </w:pPr>
            <w:r>
              <w:rPr>
                <w:rFonts w:ascii="Times New Roman" w:hAnsi="Times New Roman"/>
                <w:b/>
                <w:noProof/>
                <w:sz w:val="24"/>
              </w:rPr>
              <w:t>Modification proposée par la Commission</w:t>
            </w:r>
          </w:p>
          <w:p w:rsidR="00BF571D" w:rsidRDefault="00BF571D">
            <w:pPr>
              <w:jc w:val="both"/>
              <w:rPr>
                <w:rFonts w:ascii="Times New Roman" w:hAnsi="Times New Roman" w:cs="Times New Roman"/>
                <w:b/>
                <w:noProof/>
                <w:sz w:val="24"/>
                <w:szCs w:val="24"/>
              </w:rPr>
            </w:pPr>
          </w:p>
          <w:p w:rsidR="00BF571D" w:rsidRDefault="00BF571D">
            <w:pPr>
              <w:jc w:val="both"/>
              <w:rPr>
                <w:rFonts w:ascii="Times New Roman" w:hAnsi="Times New Roman" w:cs="Times New Roman"/>
                <w:b/>
                <w:noProof/>
                <w:sz w:val="24"/>
                <w:szCs w:val="24"/>
              </w:rPr>
            </w:pPr>
          </w:p>
        </w:tc>
      </w:tr>
      <w:tr w:rsidR="00BF571D">
        <w:tc>
          <w:tcPr>
            <w:tcW w:w="9288" w:type="dxa"/>
            <w:gridSpan w:val="2"/>
          </w:tcPr>
          <w:p w:rsidR="00BF571D" w:rsidRDefault="00BF571D">
            <w:pPr>
              <w:jc w:val="both"/>
              <w:rPr>
                <w:rFonts w:ascii="Times New Roman" w:hAnsi="Times New Roman" w:cs="Times New Roman"/>
                <w:noProof/>
                <w:sz w:val="24"/>
                <w:szCs w:val="24"/>
              </w:rPr>
            </w:pPr>
          </w:p>
          <w:p w:rsidR="00BF571D" w:rsidRDefault="00E549BA">
            <w:pPr>
              <w:jc w:val="center"/>
              <w:rPr>
                <w:rFonts w:ascii="Times New Roman" w:hAnsi="Times New Roman" w:cs="Times New Roman"/>
                <w:noProof/>
                <w:sz w:val="24"/>
                <w:szCs w:val="24"/>
              </w:rPr>
            </w:pPr>
            <w:r>
              <w:rPr>
                <w:rFonts w:ascii="Times New Roman" w:hAnsi="Times New Roman"/>
                <w:noProof/>
                <w:sz w:val="24"/>
              </w:rPr>
              <w:t xml:space="preserve">Modification </w:t>
            </w:r>
          </w:p>
          <w:p w:rsidR="00BF571D" w:rsidRDefault="00BF571D">
            <w:pPr>
              <w:jc w:val="center"/>
              <w:rPr>
                <w:rFonts w:ascii="Times New Roman" w:hAnsi="Times New Roman" w:cs="Times New Roman"/>
                <w:noProof/>
                <w:sz w:val="24"/>
                <w:szCs w:val="24"/>
              </w:rPr>
            </w:pPr>
          </w:p>
          <w:p w:rsidR="00BF571D" w:rsidRDefault="00E549BA">
            <w:pPr>
              <w:jc w:val="center"/>
              <w:rPr>
                <w:rFonts w:ascii="Times New Roman" w:hAnsi="Times New Roman" w:cs="Times New Roman"/>
                <w:noProof/>
                <w:sz w:val="24"/>
                <w:szCs w:val="24"/>
              </w:rPr>
            </w:pPr>
            <w:r>
              <w:rPr>
                <w:rFonts w:ascii="Times New Roman" w:hAnsi="Times New Roman"/>
                <w:noProof/>
                <w:sz w:val="24"/>
              </w:rPr>
              <w:t xml:space="preserve">Article 22 </w:t>
            </w:r>
          </w:p>
          <w:p w:rsidR="00BF571D" w:rsidRDefault="00BF571D">
            <w:pPr>
              <w:jc w:val="both"/>
              <w:rPr>
                <w:rFonts w:ascii="Times New Roman" w:hAnsi="Times New Roman" w:cs="Times New Roman"/>
                <w:noProof/>
                <w:sz w:val="24"/>
                <w:szCs w:val="24"/>
              </w:rPr>
            </w:pPr>
          </w:p>
        </w:tc>
      </w:tr>
      <w:tr w:rsidR="00BF571D">
        <w:tc>
          <w:tcPr>
            <w:tcW w:w="4644" w:type="dxa"/>
          </w:tcPr>
          <w:p w:rsidR="00BF571D" w:rsidRDefault="00BF571D">
            <w:pPr>
              <w:jc w:val="both"/>
              <w:rPr>
                <w:rFonts w:ascii="Times New Roman" w:hAnsi="Times New Roman" w:cs="Times New Roman"/>
                <w:noProof/>
                <w:sz w:val="24"/>
                <w:szCs w:val="24"/>
              </w:rPr>
            </w:pPr>
          </w:p>
          <w:p w:rsidR="00BF571D" w:rsidRDefault="00E549BA">
            <w:pPr>
              <w:jc w:val="both"/>
              <w:rPr>
                <w:rFonts w:ascii="Times New Roman" w:hAnsi="Times New Roman" w:cs="Times New Roman"/>
                <w:noProof/>
                <w:sz w:val="24"/>
                <w:szCs w:val="24"/>
              </w:rPr>
            </w:pPr>
            <w:r>
              <w:rPr>
                <w:rFonts w:ascii="Times New Roman" w:hAnsi="Times New Roman"/>
                <w:noProof/>
                <w:sz w:val="24"/>
              </w:rPr>
              <w:t>«Article 22</w:t>
            </w:r>
          </w:p>
          <w:p w:rsidR="00BF571D" w:rsidRDefault="00BF571D">
            <w:pPr>
              <w:jc w:val="both"/>
              <w:rPr>
                <w:rFonts w:ascii="Times New Roman" w:hAnsi="Times New Roman" w:cs="Times New Roman"/>
                <w:noProof/>
                <w:sz w:val="24"/>
                <w:szCs w:val="24"/>
              </w:rPr>
            </w:pPr>
          </w:p>
          <w:p w:rsidR="00BF571D" w:rsidRDefault="00E549BA">
            <w:pPr>
              <w:jc w:val="both"/>
              <w:rPr>
                <w:rFonts w:ascii="Times New Roman" w:hAnsi="Times New Roman" w:cs="Times New Roman"/>
                <w:noProof/>
                <w:sz w:val="24"/>
                <w:szCs w:val="24"/>
              </w:rPr>
            </w:pPr>
            <w:r>
              <w:rPr>
                <w:rFonts w:ascii="Times New Roman" w:hAnsi="Times New Roman"/>
                <w:noProof/>
                <w:sz w:val="24"/>
              </w:rPr>
              <w:t xml:space="preserve">Systèmes de compensation et de paiements </w:t>
            </w:r>
          </w:p>
          <w:p w:rsidR="00BF571D" w:rsidRDefault="00BF571D">
            <w:pPr>
              <w:jc w:val="both"/>
              <w:rPr>
                <w:rFonts w:ascii="Times New Roman" w:hAnsi="Times New Roman" w:cs="Times New Roman"/>
                <w:noProof/>
                <w:sz w:val="24"/>
                <w:szCs w:val="24"/>
              </w:rPr>
            </w:pPr>
          </w:p>
          <w:p w:rsidR="00BF571D" w:rsidRDefault="00E549BA">
            <w:pPr>
              <w:jc w:val="both"/>
              <w:rPr>
                <w:rFonts w:ascii="Times New Roman" w:hAnsi="Times New Roman" w:cs="Times New Roman"/>
                <w:noProof/>
                <w:sz w:val="24"/>
                <w:szCs w:val="24"/>
              </w:rPr>
            </w:pPr>
            <w:r>
              <w:rPr>
                <w:rFonts w:ascii="Times New Roman" w:hAnsi="Times New Roman"/>
                <w:noProof/>
                <w:sz w:val="24"/>
              </w:rPr>
              <w:t>La BCE et les banques centrales nationales peuvent accorder des facilités, et la BCE peut arrêter des règlements, en vue d’assurer l’efficacité et la solidité des systèmes de compensation et de paiements, et des systèmes de compensation pour les instruments financiers, au sein de l’Union et avec les pays tiers.»</w:t>
            </w:r>
          </w:p>
          <w:p w:rsidR="00BF571D" w:rsidRDefault="00BF571D">
            <w:pPr>
              <w:jc w:val="both"/>
              <w:rPr>
                <w:rFonts w:ascii="Times New Roman" w:hAnsi="Times New Roman" w:cs="Times New Roman"/>
                <w:noProof/>
                <w:sz w:val="24"/>
                <w:szCs w:val="24"/>
              </w:rPr>
            </w:pPr>
          </w:p>
          <w:p w:rsidR="00BF571D" w:rsidRDefault="00BF571D">
            <w:pPr>
              <w:jc w:val="both"/>
              <w:rPr>
                <w:rFonts w:ascii="Times New Roman" w:hAnsi="Times New Roman" w:cs="Times New Roman"/>
                <w:noProof/>
                <w:sz w:val="24"/>
                <w:szCs w:val="24"/>
              </w:rPr>
            </w:pPr>
          </w:p>
          <w:p w:rsidR="00BF571D" w:rsidRDefault="00BF571D">
            <w:pPr>
              <w:jc w:val="both"/>
              <w:rPr>
                <w:rFonts w:ascii="Times New Roman" w:hAnsi="Times New Roman" w:cs="Times New Roman"/>
                <w:noProof/>
                <w:sz w:val="24"/>
                <w:szCs w:val="24"/>
              </w:rPr>
            </w:pPr>
          </w:p>
        </w:tc>
        <w:tc>
          <w:tcPr>
            <w:tcW w:w="4644" w:type="dxa"/>
          </w:tcPr>
          <w:p w:rsidR="00BF571D" w:rsidRDefault="00BF571D">
            <w:pPr>
              <w:jc w:val="both"/>
              <w:rPr>
                <w:rFonts w:ascii="Times New Roman" w:hAnsi="Times New Roman" w:cs="Times New Roman"/>
                <w:noProof/>
                <w:sz w:val="24"/>
                <w:szCs w:val="24"/>
              </w:rPr>
            </w:pPr>
          </w:p>
          <w:p w:rsidR="00BF571D" w:rsidRDefault="00E549BA">
            <w:pPr>
              <w:jc w:val="both"/>
              <w:rPr>
                <w:rFonts w:ascii="Times New Roman" w:hAnsi="Times New Roman" w:cs="Times New Roman"/>
                <w:noProof/>
                <w:sz w:val="24"/>
                <w:szCs w:val="24"/>
              </w:rPr>
            </w:pPr>
            <w:r>
              <w:rPr>
                <w:rFonts w:ascii="Times New Roman" w:hAnsi="Times New Roman"/>
                <w:noProof/>
                <w:sz w:val="24"/>
              </w:rPr>
              <w:t xml:space="preserve">«Article 22 </w:t>
            </w:r>
          </w:p>
          <w:p w:rsidR="00BF571D" w:rsidRDefault="00BF571D">
            <w:pPr>
              <w:jc w:val="both"/>
              <w:rPr>
                <w:rFonts w:ascii="Times New Roman" w:hAnsi="Times New Roman" w:cs="Times New Roman"/>
                <w:noProof/>
                <w:sz w:val="24"/>
                <w:szCs w:val="24"/>
              </w:rPr>
            </w:pPr>
          </w:p>
          <w:p w:rsidR="00BF571D" w:rsidRDefault="00E549BA">
            <w:pPr>
              <w:jc w:val="both"/>
              <w:rPr>
                <w:rFonts w:ascii="Times New Roman" w:hAnsi="Times New Roman" w:cs="Times New Roman"/>
                <w:noProof/>
                <w:sz w:val="24"/>
                <w:szCs w:val="24"/>
              </w:rPr>
            </w:pPr>
            <w:r>
              <w:rPr>
                <w:rFonts w:ascii="Times New Roman" w:hAnsi="Times New Roman"/>
                <w:noProof/>
                <w:sz w:val="24"/>
              </w:rPr>
              <w:t>Systèmes de paiement et systèmes de compensation</w:t>
            </w:r>
          </w:p>
          <w:p w:rsidR="00BF571D" w:rsidRDefault="00BF571D">
            <w:pPr>
              <w:jc w:val="both"/>
              <w:rPr>
                <w:rFonts w:ascii="Times New Roman" w:hAnsi="Times New Roman" w:cs="Times New Roman"/>
                <w:noProof/>
                <w:sz w:val="24"/>
                <w:szCs w:val="24"/>
              </w:rPr>
            </w:pPr>
          </w:p>
          <w:p w:rsidR="00BF571D" w:rsidRDefault="00E549BA">
            <w:pPr>
              <w:jc w:val="both"/>
              <w:rPr>
                <w:rFonts w:ascii="Times New Roman" w:hAnsi="Times New Roman" w:cs="Times New Roman"/>
                <w:noProof/>
                <w:sz w:val="24"/>
                <w:szCs w:val="24"/>
              </w:rPr>
            </w:pPr>
            <w:r>
              <w:rPr>
                <w:rFonts w:ascii="Times New Roman" w:hAnsi="Times New Roman"/>
                <w:noProof/>
                <w:sz w:val="24"/>
              </w:rPr>
              <w:t>22.1. La BCE et les banques centrales nationales peuvent accorder des facilités, et la BCE peut arrêter des règlements, en vue d'assurer l'efficacité et la solidité des systèmes de compensation et de paiements au sein de l'Union et avec les pays tiers.</w:t>
            </w:r>
          </w:p>
          <w:p w:rsidR="00BF571D" w:rsidRDefault="00BF571D">
            <w:pPr>
              <w:jc w:val="both"/>
              <w:rPr>
                <w:rFonts w:ascii="Times New Roman" w:hAnsi="Times New Roman" w:cs="Times New Roman"/>
                <w:noProof/>
                <w:sz w:val="24"/>
                <w:szCs w:val="24"/>
              </w:rPr>
            </w:pPr>
          </w:p>
          <w:p w:rsidR="00BF571D" w:rsidRDefault="00E549BA">
            <w:pPr>
              <w:jc w:val="both"/>
              <w:rPr>
                <w:rFonts w:ascii="Times New Roman" w:hAnsi="Times New Roman"/>
                <w:noProof/>
                <w:sz w:val="24"/>
                <w:szCs w:val="24"/>
              </w:rPr>
            </w:pPr>
            <w:r>
              <w:rPr>
                <w:rFonts w:ascii="Times New Roman" w:hAnsi="Times New Roman"/>
                <w:noProof/>
                <w:sz w:val="24"/>
              </w:rPr>
              <w:t>22.2. Afin d’atteindre les objectifs du SEBC et d’accomplir les missions qui relèvent de celui-ci, la BCE peut, en ce qui concerne les systèmes de compensation pour les instruments financiers au sein de l’Union et avec les pays tiers, arrêter des règlements qui soient compatibles avec les actes adoptés par le Parlement européen et le Conseil et avec les mesures adoptées au titre de tels actes.»</w:t>
            </w:r>
          </w:p>
          <w:p w:rsidR="00BF571D" w:rsidRDefault="00BF571D">
            <w:pPr>
              <w:jc w:val="both"/>
              <w:rPr>
                <w:rFonts w:ascii="Times New Roman" w:hAnsi="Times New Roman" w:cs="Times New Roman"/>
                <w:noProof/>
                <w:sz w:val="24"/>
                <w:szCs w:val="24"/>
              </w:rPr>
            </w:pPr>
          </w:p>
        </w:tc>
      </w:tr>
    </w:tbl>
    <w:p w:rsidR="00BF571D" w:rsidRPr="00A16169" w:rsidRDefault="00BF571D">
      <w:pPr>
        <w:jc w:val="both"/>
        <w:rPr>
          <w:rFonts w:ascii="Times New Roman" w:hAnsi="Times New Roman" w:cs="Times New Roman"/>
          <w:noProof/>
          <w:sz w:val="24"/>
          <w:szCs w:val="24"/>
        </w:rPr>
      </w:pPr>
    </w:p>
    <w:sectPr w:rsidR="00BF571D" w:rsidRPr="00A16169">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71D" w:rsidRDefault="00E549BA">
      <w:pPr>
        <w:spacing w:after="0" w:line="240" w:lineRule="auto"/>
      </w:pPr>
      <w:r>
        <w:separator/>
      </w:r>
    </w:p>
  </w:endnote>
  <w:endnote w:type="continuationSeparator" w:id="0">
    <w:p w:rsidR="00BF571D" w:rsidRDefault="00E549BA">
      <w:pPr>
        <w:spacing w:after="0" w:line="240" w:lineRule="auto"/>
      </w:pPr>
      <w:r>
        <w:continuationSeparator/>
      </w:r>
    </w:p>
  </w:endnote>
  <w:endnote w:type="continuationNotice" w:id="1">
    <w:p w:rsidR="00BF571D" w:rsidRDefault="00BF5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69" w:rsidRPr="00A16169" w:rsidRDefault="00A16169" w:rsidP="00A16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69" w:rsidRPr="00A16169" w:rsidRDefault="00A16169" w:rsidP="00A16169">
    <w:pPr>
      <w:pStyle w:val="FooterCoverPage"/>
      <w:rPr>
        <w:rFonts w:ascii="Arial" w:hAnsi="Arial" w:cs="Arial"/>
        <w:b/>
        <w:sz w:val="48"/>
      </w:rPr>
    </w:pPr>
    <w:r w:rsidRPr="00A16169">
      <w:rPr>
        <w:rFonts w:ascii="Arial" w:hAnsi="Arial" w:cs="Arial"/>
        <w:b/>
        <w:sz w:val="48"/>
      </w:rPr>
      <w:t>FR</w:t>
    </w:r>
    <w:r w:rsidRPr="00A16169">
      <w:rPr>
        <w:rFonts w:ascii="Arial" w:hAnsi="Arial" w:cs="Arial"/>
        <w:b/>
        <w:sz w:val="48"/>
      </w:rPr>
      <w:tab/>
    </w:r>
    <w:r w:rsidRPr="00A16169">
      <w:rPr>
        <w:rFonts w:ascii="Arial" w:hAnsi="Arial" w:cs="Arial"/>
        <w:b/>
        <w:sz w:val="48"/>
      </w:rPr>
      <w:tab/>
    </w:r>
    <w:fldSimple w:instr=" DOCVARIABLE &quot;LW_Confidence&quot; \* MERGEFORMAT ">
      <w:r>
        <w:t xml:space="preserve"> </w:t>
      </w:r>
    </w:fldSimple>
    <w:r w:rsidRPr="00A16169">
      <w:tab/>
    </w:r>
    <w:proofErr w:type="spellStart"/>
    <w:r w:rsidRPr="00A16169">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69" w:rsidRPr="00A16169" w:rsidRDefault="00A16169" w:rsidP="00A1616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1D" w:rsidRDefault="00BF571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15196"/>
      <w:docPartObj>
        <w:docPartGallery w:val="Page Numbers (Bottom of Page)"/>
        <w:docPartUnique/>
      </w:docPartObj>
    </w:sdtPr>
    <w:sdtEndPr>
      <w:rPr>
        <w:noProof/>
      </w:rPr>
    </w:sdtEndPr>
    <w:sdtContent>
      <w:p w:rsidR="00BF571D" w:rsidRDefault="00E549BA">
        <w:pPr>
          <w:pStyle w:val="Footer"/>
          <w:jc w:val="center"/>
        </w:pPr>
        <w:r>
          <w:fldChar w:fldCharType="begin"/>
        </w:r>
        <w:r>
          <w:instrText xml:space="preserve"> PAGE   \* MERGEFORMAT </w:instrText>
        </w:r>
        <w:r>
          <w:fldChar w:fldCharType="separate"/>
        </w:r>
        <w:r w:rsidR="00A16169">
          <w:rPr>
            <w:noProof/>
          </w:rPr>
          <w:t>2</w:t>
        </w:r>
        <w:r>
          <w:rPr>
            <w:noProof/>
          </w:rPr>
          <w:fldChar w:fldCharType="end"/>
        </w:r>
      </w:p>
    </w:sdtContent>
  </w:sdt>
  <w:p w:rsidR="00BF571D" w:rsidRDefault="00BF571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1D" w:rsidRDefault="00BF5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71D" w:rsidRDefault="00E549BA">
      <w:pPr>
        <w:spacing w:after="0" w:line="240" w:lineRule="auto"/>
      </w:pPr>
      <w:r>
        <w:separator/>
      </w:r>
    </w:p>
  </w:footnote>
  <w:footnote w:type="continuationSeparator" w:id="0">
    <w:p w:rsidR="00BF571D" w:rsidRDefault="00E549BA">
      <w:pPr>
        <w:spacing w:after="0" w:line="240" w:lineRule="auto"/>
      </w:pPr>
      <w:r>
        <w:continuationSeparator/>
      </w:r>
    </w:p>
  </w:footnote>
  <w:footnote w:type="continuationNotice" w:id="1">
    <w:p w:rsidR="00BF571D" w:rsidRDefault="00BF571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69" w:rsidRPr="00A16169" w:rsidRDefault="00A16169" w:rsidP="00A16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69" w:rsidRPr="00A16169" w:rsidRDefault="00A16169" w:rsidP="00A1616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169" w:rsidRPr="00A16169" w:rsidRDefault="00A16169" w:rsidP="00A1616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1D" w:rsidRDefault="00BF571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1D" w:rsidRDefault="00BF571D">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71D" w:rsidRDefault="00BF57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5DC9"/>
    <w:multiLevelType w:val="multilevel"/>
    <w:tmpl w:val="29DE976E"/>
    <w:lvl w:ilvl="0">
      <w:start w:val="2"/>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1812FC8"/>
    <w:multiLevelType w:val="multilevel"/>
    <w:tmpl w:val="54A2477A"/>
    <w:lvl w:ilvl="0">
      <w:start w:val="1"/>
      <w:numFmt w:val="none"/>
      <w:lvlText w:val="3.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AA0A28"/>
    <w:multiLevelType w:val="hybridMultilevel"/>
    <w:tmpl w:val="98AC6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7854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5920118"/>
    <w:multiLevelType w:val="multilevel"/>
    <w:tmpl w:val="41C47C40"/>
    <w:lvl w:ilvl="0">
      <w:start w:val="1"/>
      <w:numFmt w:val="decimal"/>
      <w:lvlText w:val="2.%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7A72D8C"/>
    <w:multiLevelType w:val="multilevel"/>
    <w:tmpl w:val="65783A46"/>
    <w:lvl w:ilvl="0">
      <w:start w:val="1"/>
      <w:numFmt w:val="none"/>
      <w:lvlText w:val="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6EDB2733"/>
    <w:multiLevelType w:val="hybridMultilevel"/>
    <w:tmpl w:val="49C8F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71586E"/>
    <w:multiLevelType w:val="hybridMultilevel"/>
    <w:tmpl w:val="521C71E8"/>
    <w:lvl w:ilvl="0" w:tplc="07A80DD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744D7F02"/>
    <w:multiLevelType w:val="multilevel"/>
    <w:tmpl w:val="E1F045F2"/>
    <w:lvl w:ilvl="0">
      <w:start w:val="2"/>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4"/>
  </w:num>
  <w:num w:numId="4">
    <w:abstractNumId w:val="1"/>
  </w:num>
  <w:num w:numId="5">
    <w:abstractNumId w:val="3"/>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proofState w:spelling="clean" w:grammar="clean"/>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de"/>
    <w:docVar w:name="LW_ANNEX_NBR_FIRST" w:val="1"/>
    <w:docVar w:name="LW_ANNEX_NBR_LAST" w:val="1"/>
    <w:docVar w:name="LW_CONFIDENCE" w:val=" "/>
    <w:docVar w:name="LW_CONST_RESTREINT_UE" w:val="RESTREINT UE/EU RESTRICTED"/>
    <w:docVar w:name="LW_CORRIGENDUM" w:val="&lt;UNUSED&gt;"/>
    <w:docVar w:name="LW_COVERPAGE_GUID" w:val="A8D7F66A50124320A914A9A8BD96A247"/>
    <w:docVar w:name="LW_CROSSREFERENCE" w:val="&lt;UNUSED&gt;"/>
    <w:docVar w:name="LW_DocType" w:val="NORMAL"/>
    <w:docVar w:name="LW_EMISSION" w:val="3.10.2017"/>
    <w:docVar w:name="LW_EMISSION_ISODATE" w:val="2017-10-03"/>
    <w:docVar w:name="LW_EMISSION_LOCATION" w:val="STR"/>
    <w:docVar w:name="LW_EMISSION_PREFIX" w:val="Strasbourg,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sur la recommandation de la Banque centrale européenne en vue d'une décision du Parlement européen et du Conseil portant modification de l'article 22 des statuts du Système européen et de banques centrales et de la Banque centrale européenne"/>
    <w:docVar w:name="LW_PART_NBR" w:val="1"/>
    <w:docVar w:name="LW_PART_NBR_TOTAL" w:val="1"/>
    <w:docVar w:name="LW_REF.INST.NEW" w:val="C"/>
    <w:docVar w:name="LW_REF.INST.NEW_ADOPTED" w:val="final"/>
    <w:docVar w:name="LW_REF.INST.NEW_TEXT" w:val="(2017) 6810"/>
    <w:docVar w:name="LW_REF.INTERNE" w:val="&lt;UNUSED&gt;"/>
    <w:docVar w:name="LW_SUPERTITRE" w:val="&lt;UNUSED&gt;"/>
    <w:docVar w:name="LW_TITRE.OBJ.CP" w:val="&lt;UNUSED&gt;"/>
    <w:docVar w:name="LW_TYPE.DOC.CP" w:val="ANNEXE_x000b_"/>
    <w:docVar w:name="LW_TYPEACTEPRINCIPAL.CP" w:val="l'avis de la Commission"/>
  </w:docVars>
  <w:rsids>
    <w:rsidRoot w:val="00BF571D"/>
    <w:rsid w:val="00A16169"/>
    <w:rsid w:val="00BF571D"/>
    <w:rsid w:val="00E54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bumpedfont15">
    <w:name w:val="bumpedfont15"/>
    <w:basedOn w:val="DefaultParagraphFont"/>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bumpedfont15">
    <w:name w:val="bumpedfont15"/>
    <w:basedOn w:val="DefaultParagraphFont"/>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867867">
      <w:bodyDiv w:val="1"/>
      <w:marLeft w:val="0"/>
      <w:marRight w:val="0"/>
      <w:marTop w:val="0"/>
      <w:marBottom w:val="0"/>
      <w:divBdr>
        <w:top w:val="none" w:sz="0" w:space="0" w:color="auto"/>
        <w:left w:val="none" w:sz="0" w:space="0" w:color="auto"/>
        <w:bottom w:val="none" w:sz="0" w:space="0" w:color="auto"/>
        <w:right w:val="none" w:sz="0" w:space="0" w:color="auto"/>
      </w:divBdr>
      <w:divsChild>
        <w:div w:id="70350979">
          <w:marLeft w:val="0"/>
          <w:marRight w:val="0"/>
          <w:marTop w:val="0"/>
          <w:marBottom w:val="0"/>
          <w:divBdr>
            <w:top w:val="none" w:sz="0" w:space="0" w:color="auto"/>
            <w:left w:val="none" w:sz="0" w:space="0" w:color="auto"/>
            <w:bottom w:val="none" w:sz="0" w:space="0" w:color="auto"/>
            <w:right w:val="none" w:sz="0" w:space="0" w:color="auto"/>
          </w:divBdr>
          <w:divsChild>
            <w:div w:id="1645886835">
              <w:marLeft w:val="0"/>
              <w:marRight w:val="0"/>
              <w:marTop w:val="0"/>
              <w:marBottom w:val="0"/>
              <w:divBdr>
                <w:top w:val="none" w:sz="0" w:space="0" w:color="auto"/>
                <w:left w:val="none" w:sz="0" w:space="0" w:color="auto"/>
                <w:bottom w:val="none" w:sz="0" w:space="0" w:color="auto"/>
                <w:right w:val="none" w:sz="0" w:space="0" w:color="auto"/>
              </w:divBdr>
              <w:divsChild>
                <w:div w:id="1694309454">
                  <w:marLeft w:val="0"/>
                  <w:marRight w:val="0"/>
                  <w:marTop w:val="0"/>
                  <w:marBottom w:val="0"/>
                  <w:divBdr>
                    <w:top w:val="none" w:sz="0" w:space="0" w:color="auto"/>
                    <w:left w:val="none" w:sz="0" w:space="0" w:color="auto"/>
                    <w:bottom w:val="none" w:sz="0" w:space="0" w:color="auto"/>
                    <w:right w:val="none" w:sz="0" w:space="0" w:color="auto"/>
                  </w:divBdr>
                  <w:divsChild>
                    <w:div w:id="178159037">
                      <w:marLeft w:val="1"/>
                      <w:marRight w:val="1"/>
                      <w:marTop w:val="0"/>
                      <w:marBottom w:val="0"/>
                      <w:divBdr>
                        <w:top w:val="none" w:sz="0" w:space="0" w:color="auto"/>
                        <w:left w:val="none" w:sz="0" w:space="0" w:color="auto"/>
                        <w:bottom w:val="none" w:sz="0" w:space="0" w:color="auto"/>
                        <w:right w:val="none" w:sz="0" w:space="0" w:color="auto"/>
                      </w:divBdr>
                      <w:divsChild>
                        <w:div w:id="1399866299">
                          <w:marLeft w:val="0"/>
                          <w:marRight w:val="0"/>
                          <w:marTop w:val="0"/>
                          <w:marBottom w:val="0"/>
                          <w:divBdr>
                            <w:top w:val="none" w:sz="0" w:space="0" w:color="auto"/>
                            <w:left w:val="none" w:sz="0" w:space="0" w:color="auto"/>
                            <w:bottom w:val="none" w:sz="0" w:space="0" w:color="auto"/>
                            <w:right w:val="none" w:sz="0" w:space="0" w:color="auto"/>
                          </w:divBdr>
                          <w:divsChild>
                            <w:div w:id="1308239950">
                              <w:marLeft w:val="0"/>
                              <w:marRight w:val="0"/>
                              <w:marTop w:val="0"/>
                              <w:marBottom w:val="360"/>
                              <w:divBdr>
                                <w:top w:val="none" w:sz="0" w:space="0" w:color="auto"/>
                                <w:left w:val="none" w:sz="0" w:space="0" w:color="auto"/>
                                <w:bottom w:val="none" w:sz="0" w:space="0" w:color="auto"/>
                                <w:right w:val="none" w:sz="0" w:space="0" w:color="auto"/>
                              </w:divBdr>
                              <w:divsChild>
                                <w:div w:id="382096208">
                                  <w:marLeft w:val="0"/>
                                  <w:marRight w:val="0"/>
                                  <w:marTop w:val="0"/>
                                  <w:marBottom w:val="0"/>
                                  <w:divBdr>
                                    <w:top w:val="none" w:sz="0" w:space="0" w:color="auto"/>
                                    <w:left w:val="none" w:sz="0" w:space="0" w:color="auto"/>
                                    <w:bottom w:val="none" w:sz="0" w:space="0" w:color="auto"/>
                                    <w:right w:val="none" w:sz="0" w:space="0" w:color="auto"/>
                                  </w:divBdr>
                                  <w:divsChild>
                                    <w:div w:id="478808342">
                                      <w:marLeft w:val="0"/>
                                      <w:marRight w:val="0"/>
                                      <w:marTop w:val="0"/>
                                      <w:marBottom w:val="0"/>
                                      <w:divBdr>
                                        <w:top w:val="none" w:sz="0" w:space="0" w:color="auto"/>
                                        <w:left w:val="none" w:sz="0" w:space="0" w:color="auto"/>
                                        <w:bottom w:val="none" w:sz="0" w:space="0" w:color="auto"/>
                                        <w:right w:val="none" w:sz="0" w:space="0" w:color="auto"/>
                                      </w:divBdr>
                                      <w:divsChild>
                                        <w:div w:id="552161456">
                                          <w:marLeft w:val="0"/>
                                          <w:marRight w:val="0"/>
                                          <w:marTop w:val="0"/>
                                          <w:marBottom w:val="0"/>
                                          <w:divBdr>
                                            <w:top w:val="none" w:sz="0" w:space="0" w:color="auto"/>
                                            <w:left w:val="none" w:sz="0" w:space="0" w:color="auto"/>
                                            <w:bottom w:val="none" w:sz="0" w:space="0" w:color="auto"/>
                                            <w:right w:val="none" w:sz="0" w:space="0" w:color="auto"/>
                                          </w:divBdr>
                                          <w:divsChild>
                                            <w:div w:id="589387883">
                                              <w:marLeft w:val="0"/>
                                              <w:marRight w:val="0"/>
                                              <w:marTop w:val="0"/>
                                              <w:marBottom w:val="0"/>
                                              <w:divBdr>
                                                <w:top w:val="none" w:sz="0" w:space="0" w:color="auto"/>
                                                <w:left w:val="none" w:sz="0" w:space="0" w:color="auto"/>
                                                <w:bottom w:val="none" w:sz="0" w:space="0" w:color="auto"/>
                                                <w:right w:val="none" w:sz="0" w:space="0" w:color="auto"/>
                                              </w:divBdr>
                                              <w:divsChild>
                                                <w:div w:id="13026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0EBD8-6A07-4B67-9B08-5C94516F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1054</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2017-10-03T09:33:00Z</dcterms:created>
  <dcterms:modified xsi:type="dcterms:W3CDTF">2017-10-03T09:33:00Z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First annex">
    <vt:lpwstr>1</vt:lpwstr>
  </property>
  <property fmtid="{D5CDD505-2E9C-101B-9397-08002B2CF9AE}" pid="4" name="Last annex">
    <vt:lpwstr>1</vt:lpwstr>
  </property>
  <property fmtid="{D5CDD505-2E9C-101B-9397-08002B2CF9AE}" pid="5" name="Part">
    <vt:lpwstr>1</vt:lpwstr>
  </property>
  <property fmtid="{D5CDD505-2E9C-101B-9397-08002B2CF9AE}" pid="6" name="Total parts">
    <vt:lpwstr>1</vt:lpwstr>
  </property>
  <property fmtid="{D5CDD505-2E9C-101B-9397-08002B2CF9AE}" pid="7" name="Classification">
    <vt:lpwstr> </vt:lpwstr>
  </property>
</Properties>
</file>