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6F0A5DDFCC34809BE6BFF6B6E269B69"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objective of the proposal is to adapt the amounts of resources available for the Investment for growth and jobs goal and for the European territorial cooperation goal set out in Articles 91(1) and 92(1) and (5) of Regulation (EU) No 1303/2013</w:t>
      </w:r>
      <w:r>
        <w:rPr>
          <w:rStyle w:val="FootnoteReference"/>
          <w:noProof/>
        </w:rPr>
        <w:footnoteReference w:id="2"/>
      </w:r>
      <w:r>
        <w:rPr>
          <w:noProof/>
        </w:rPr>
        <w:t xml:space="preserve"> and the annual breakdown of commitment appropriations reflected in Annex VI to decisions adopted since the adoption of that Regulation. Firstly, to adapt the amounts to the result of the technical adjustment exercise in accordance with Article 92(3) of that Regulation; secondly, to reflect the different transfers decided on the basis of Articles 25, 93 and 94 of that Regulation affecting the global amounts per year; thirdly, to include the increase of the Youth Employment Initiative ('YEI') until 2020 by an total amount of EUR 1.2 billion in current prices for the specific allocation for the YEI, which needs to be complemented by at least EUR 1.2 billion from targeted ESF investment; and fourthly to reflect the transfer of some of the 2014 commitment appropriations to subsequent years because of the adoption of new programmes after 1 January 2015. The results of the technical adjustment and the transfers decided on the basis of Articles 25, 93 and 94 of that Regulation were already addressed in Commission Implementing Decision (EU) 2016/1941</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The proposal also reflects that Cyprus was to become newly eligible for support from the Cohesion Fund and was no longer to receive support from the Cohesion Fund on a transitional and specific basis as of 1 January 2017. This had already been addressed in Commission Implementing Decision (EU) 2016/1916</w:t>
      </w:r>
      <w:r>
        <w:rPr>
          <w:rStyle w:val="FootnoteReference"/>
          <w:noProof/>
        </w:rPr>
        <w:footnoteReference w:id="4"/>
      </w:r>
      <w:r>
        <w:rPr>
          <w:noProof/>
        </w:rPr>
        <w:t>.</w:t>
      </w:r>
    </w:p>
    <w:p>
      <w:pPr>
        <w:pBdr>
          <w:top w:val="nil"/>
          <w:left w:val="nil"/>
          <w:bottom w:val="nil"/>
          <w:right w:val="nil"/>
          <w:between w:val="nil"/>
          <w:bar w:val="nil"/>
        </w:pBdr>
        <w:spacing w:before="0" w:after="240"/>
        <w:rPr>
          <w:noProof/>
        </w:rPr>
      </w:pPr>
      <w:r>
        <w:rPr>
          <w:noProof/>
        </w:rPr>
        <w:t>The technical adjustment exercise has its origin in Article 7 of Council Regulation (EU) No 1311/2013</w:t>
      </w:r>
      <w:r>
        <w:rPr>
          <w:rStyle w:val="FootnoteReference"/>
          <w:noProof/>
        </w:rPr>
        <w:footnoteReference w:id="5"/>
      </w:r>
      <w:r>
        <w:rPr>
          <w:noProof/>
        </w:rPr>
        <w:t xml:space="preserve"> to take account of the particularly difficult situation of Member States suffering from the crisis and to review in 2016 the total allocation for the Investment for growth and jobs goal.</w:t>
      </w:r>
    </w:p>
    <w:p>
      <w:pPr>
        <w:pBdr>
          <w:top w:val="nil"/>
          <w:left w:val="nil"/>
          <w:bottom w:val="nil"/>
          <w:right w:val="nil"/>
          <w:between w:val="nil"/>
          <w:bar w:val="nil"/>
        </w:pBdr>
        <w:spacing w:before="0" w:after="240"/>
        <w:rPr>
          <w:noProof/>
        </w:rPr>
      </w:pPr>
      <w:r>
        <w:rPr>
          <w:noProof/>
        </w:rPr>
        <w:t>Article 25 sets out a mechanism regarding the management of technical assistance for Member States with temporary budgetary difficulties, i.e. the transfer of part of that technical assistance to the technical assistance at the initiative of the Commission.</w:t>
      </w:r>
    </w:p>
    <w:p>
      <w:pPr>
        <w:pBdr>
          <w:top w:val="nil"/>
          <w:left w:val="nil"/>
          <w:bottom w:val="nil"/>
          <w:right w:val="nil"/>
          <w:between w:val="nil"/>
          <w:bar w:val="nil"/>
        </w:pBdr>
        <w:spacing w:before="0" w:after="240"/>
        <w:rPr>
          <w:noProof/>
        </w:rPr>
      </w:pPr>
      <w:r>
        <w:rPr>
          <w:noProof/>
        </w:rPr>
        <w:t>Under certain conditions, Article 93 allows for the transfer of resources between categories of regions and Article 94 for the transfer of resources between goals.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This proposal is the result of the provisions of Article 92(3) regarding the review of the allocations of cohesion policy for the years 2017-2020, the decisions to transfer resources between categories and goals under Articles 93 and 94, the decision to extend the YEI to the years 2017 to 2020 and the decision to transfer some commitment appropriations of 2014 to subsequent years.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consistent with other proposals and initiatives adopted by the European Commission as a response to the financial crisis.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92(3) of Regulation (EU) No 1303/2013 provides that, in 2016, the Commission shall, in its technical adjustment for the year 2017 and in accordance with Articles 4 and 5 of Regulation (EU, Euratom) No 1311/2013, review the total allocations under the Investment for growth and jobs goal of each Member State for 2017-2020, applying the allocation method set out in paragraphs 1 to 16 of Annex VII on the basis of the most recent statistics available.</w:t>
      </w:r>
    </w:p>
    <w:p>
      <w:pPr>
        <w:pBdr>
          <w:top w:val="nil"/>
          <w:left w:val="nil"/>
          <w:bottom w:val="nil"/>
          <w:right w:val="nil"/>
          <w:between w:val="nil"/>
          <w:bar w:val="nil"/>
        </w:pBdr>
        <w:spacing w:before="0" w:after="240"/>
        <w:rPr>
          <w:noProof/>
        </w:rPr>
      </w:pPr>
      <w:r>
        <w:rPr>
          <w:noProof/>
        </w:rPr>
        <w:t>That review of the total allocations also reflects the results of a number of transfers:</w:t>
      </w:r>
    </w:p>
    <w:p>
      <w:pPr>
        <w:pBdr>
          <w:top w:val="nil"/>
          <w:left w:val="nil"/>
          <w:bottom w:val="nil"/>
          <w:right w:val="nil"/>
          <w:between w:val="nil"/>
          <w:bar w:val="nil"/>
        </w:pBdr>
        <w:spacing w:before="0" w:after="240"/>
        <w:rPr>
          <w:noProof/>
        </w:rPr>
      </w:pPr>
      <w:r>
        <w:rPr>
          <w:noProof/>
        </w:rPr>
        <w:t>Article 25 sets out a mechanism regarding the management of technical assistance for Member States with temporary budgetary difficulties, i.e. the transfer of part of that technical assistance to the technical assistance at the initiative of the Commission.</w:t>
      </w:r>
    </w:p>
    <w:p>
      <w:pPr>
        <w:pBdr>
          <w:top w:val="nil"/>
          <w:left w:val="nil"/>
          <w:bottom w:val="nil"/>
          <w:right w:val="nil"/>
          <w:between w:val="nil"/>
          <w:bar w:val="nil"/>
        </w:pBdr>
        <w:spacing w:before="0" w:after="240"/>
        <w:rPr>
          <w:noProof/>
        </w:rPr>
      </w:pPr>
      <w:r>
        <w:rPr>
          <w:noProof/>
        </w:rPr>
        <w:t>Under certain conditions, Article 93 allows for the transfer of resources between categories of regions and Article 94 for the transfer of resources between goals.</w:t>
      </w:r>
    </w:p>
    <w:p>
      <w:pPr>
        <w:pBdr>
          <w:top w:val="nil"/>
          <w:left w:val="nil"/>
          <w:bottom w:val="nil"/>
          <w:right w:val="nil"/>
          <w:between w:val="nil"/>
          <w:bar w:val="nil"/>
        </w:pBdr>
        <w:spacing w:before="0" w:after="240"/>
        <w:rPr>
          <w:noProof/>
        </w:rPr>
      </w:pPr>
      <w:r>
        <w:rPr>
          <w:noProof/>
        </w:rPr>
        <w:t>The review of the total allocations also reflects the extension of the YEI to 2017-2020.</w:t>
      </w:r>
    </w:p>
    <w:p>
      <w:pPr>
        <w:pBdr>
          <w:top w:val="nil"/>
          <w:left w:val="nil"/>
          <w:bottom w:val="nil"/>
          <w:right w:val="nil"/>
          <w:between w:val="nil"/>
          <w:bar w:val="nil"/>
        </w:pBdr>
        <w:spacing w:before="0" w:after="240"/>
        <w:rPr>
          <w:noProof/>
        </w:rPr>
      </w:pPr>
      <w:r>
        <w:rPr>
          <w:noProof/>
        </w:rPr>
        <w:t>Finally, the revised annual breakdown of Annex VI reflects the amendment of the Council Regulation (EU, Euratom) No 1311/2013 to transfer some commitment appropriations of 2014 to subsequent years.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complies with the subsidiarity principle to the extent that this is a technical result of the implementation of the provisions set out in Article 92(3) of Regulation (EU) No 1303/2013, of the application of Articles 93 and 94 and of the decision to extend the YEI to the period 2017 to 2020.</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is limited to the technical adjustments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Proposed instrument: amendment of the current regulation.</w:t>
      </w:r>
    </w:p>
    <w:p>
      <w:pPr>
        <w:pBdr>
          <w:top w:val="nil"/>
          <w:left w:val="nil"/>
          <w:bottom w:val="nil"/>
          <w:right w:val="nil"/>
          <w:between w:val="nil"/>
          <w:bar w:val="nil"/>
        </w:pBdr>
        <w:spacing w:before="0" w:after="240"/>
        <w:rPr>
          <w:rFonts w:eastAsia="Arial Unicode MS"/>
          <w:noProof/>
        </w:rPr>
      </w:pPr>
      <w:r>
        <w:rPr>
          <w:noProof/>
        </w:rPr>
        <w:t>The Commission has explored the scope for manoeuvre provided by the legal framework and considers it necessary to propose amendments to Regulation (EU) No 1303/2013.</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There was no ex-post evaluation/or fitness checks of the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There was no consultation of external stakeholders.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Use of external expertise has not been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ind w:left="0"/>
        <w:rPr>
          <w:noProof/>
          <w:lang w:val="en-US" w:eastAsia="en-GB"/>
        </w:rPr>
      </w:pPr>
      <w:r>
        <w:rPr>
          <w:noProof/>
          <w:lang w:val="en-US" w:eastAsia="en-GB"/>
        </w:rPr>
        <w:t>There is not an initiative within the Regulatory Fitness Programme (REFIT)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There is an impact on commitment appropriations resulting from the positive net effect equal to EUR 4 billion (in 2011 prices) of the technical adjustment provided by Article 92(3) and by the decision to extend the YEI to the years from 2017 to 2020 by a total amount of EUR 1.2 billion in current prices for the specific allocation for the YEI, which needs to be complemented by at least EUR 1.2 billion from targeted ESF investment. These additional resources will also generate needs for additional payment appropriations for the years 2018 to 2020.</w:t>
      </w:r>
    </w:p>
    <w:p>
      <w:pPr>
        <w:pBdr>
          <w:top w:val="nil"/>
          <w:left w:val="nil"/>
          <w:bottom w:val="nil"/>
          <w:right w:val="nil"/>
          <w:between w:val="nil"/>
          <w:bar w:val="nil"/>
        </w:pBdr>
        <w:spacing w:before="0" w:after="240"/>
        <w:rPr>
          <w:noProof/>
        </w:rPr>
      </w:pPr>
      <w:r>
        <w:rPr>
          <w:noProof/>
        </w:rPr>
        <w:t>The ceilings for commitment appropriations and payment appropriations for heading 1B are therefore increased as expressed in the Communication to the Council and the European Parliament [COM(2016) 311 final] on the Technical adjustment of the financial framework for 2017 in line with movements in GNI and adjustment of cohesion policy envelopes. Given that most of the payments related to this increase in commitments are expected to occur post-2020, the increase in the payment ceilings remains limited.</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ind w:hanging="850"/>
        <w:rPr>
          <w:noProof/>
          <w:lang w:val="en-US" w:eastAsia="en-GB"/>
        </w:rPr>
      </w:pPr>
      <w:r>
        <w:rPr>
          <w:noProof/>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Based on Article 7 of Council Regulation (EU, Euratom) No 1311/2013, the Commission had to review in 2016 all Member States’ total allocations for the “Investment for Growth and Jobs” goal of cohesion policy for 2017-2020, applying the allocation method laid down in the relevant basic act (Annex VII of the Regulation (EU) No 1303/2013) on the basis of the most recent statistics available and of the comparison, for the capped Member States, between the cumulated national GDP observed for the years 2014-2015 and the cumulated national GDP estimated in 2012. The allocations were adjusted whenever there was a cumulative divergence of more than +/- 5%. Moreover, at the same time, Cohesion Fund eligibility was reviewed and in case a Member State becomes newly eligible for the Cohesion Fund these amounts would be added to the funds allocated to the Member State concerned for the years 2017 to 2020.</w:t>
      </w:r>
    </w:p>
    <w:p>
      <w:pPr>
        <w:pBdr>
          <w:top w:val="nil"/>
          <w:left w:val="nil"/>
          <w:bottom w:val="nil"/>
          <w:right w:val="nil"/>
          <w:between w:val="nil"/>
          <w:bar w:val="nil"/>
        </w:pBdr>
        <w:spacing w:before="0" w:after="240"/>
        <w:rPr>
          <w:rFonts w:eastAsia="Arial Unicode MS"/>
          <w:noProof/>
        </w:rPr>
      </w:pPr>
      <w:r>
        <w:rPr>
          <w:rFonts w:eastAsia="Arial Unicode MS"/>
          <w:noProof/>
        </w:rPr>
        <w:t>The review covers the following elements:</w:t>
      </w:r>
    </w:p>
    <w:p>
      <w:pPr>
        <w:pBdr>
          <w:top w:val="nil"/>
          <w:left w:val="nil"/>
          <w:bottom w:val="nil"/>
          <w:right w:val="nil"/>
          <w:between w:val="nil"/>
          <w:bar w:val="nil"/>
        </w:pBdr>
        <w:spacing w:before="0" w:after="240"/>
        <w:ind w:left="360" w:hanging="360"/>
        <w:rPr>
          <w:rFonts w:eastAsia="Arial Unicode MS"/>
          <w:noProof/>
        </w:rPr>
      </w:pPr>
      <w:r>
        <w:rPr>
          <w:rFonts w:eastAsia="Arial Unicode MS"/>
          <w:noProof/>
        </w:rPr>
        <w:t>a)</w:t>
      </w:r>
      <w:r>
        <w:rPr>
          <w:rFonts w:eastAsia="Arial Unicode MS"/>
          <w:noProof/>
        </w:rPr>
        <w:tab/>
        <w:t>For all Member States, the review of allocations for 2017-2020 based on the latest available statistics and applying the same method as for the establishment of the original allocations described in paragraphs 1 to 16 of Annex VII of Regulation (EU) No 1303/2013;</w:t>
      </w:r>
    </w:p>
    <w:p>
      <w:pPr>
        <w:pBdr>
          <w:top w:val="nil"/>
          <w:left w:val="nil"/>
          <w:bottom w:val="nil"/>
          <w:right w:val="nil"/>
          <w:between w:val="nil"/>
          <w:bar w:val="nil"/>
        </w:pBdr>
        <w:spacing w:before="0" w:after="240"/>
        <w:ind w:left="360" w:hanging="360"/>
        <w:rPr>
          <w:rFonts w:eastAsia="Arial Unicode MS"/>
          <w:noProof/>
        </w:rPr>
      </w:pPr>
      <w:r>
        <w:rPr>
          <w:rFonts w:eastAsia="Arial Unicode MS"/>
          <w:noProof/>
        </w:rPr>
        <w:t>b)</w:t>
      </w:r>
      <w:r>
        <w:rPr>
          <w:rFonts w:eastAsia="Arial Unicode MS"/>
          <w:noProof/>
        </w:rPr>
        <w:tab/>
        <w:t>For the capped Member States (Bulgaria, Estonia, Croatia, Hungary, Lithuania, Latvia, Poland, Romania, Slovakia), the comparison of the observed GDP levels for 2014 and 2015 to the ones forecasted for the same two years in 2012;</w:t>
      </w:r>
    </w:p>
    <w:p>
      <w:pPr>
        <w:pBdr>
          <w:top w:val="nil"/>
          <w:left w:val="nil"/>
          <w:bottom w:val="nil"/>
          <w:right w:val="nil"/>
          <w:between w:val="nil"/>
          <w:bar w:val="nil"/>
        </w:pBdr>
        <w:spacing w:before="0" w:after="240"/>
        <w:ind w:left="360" w:hanging="360"/>
        <w:rPr>
          <w:rFonts w:eastAsia="Arial Unicode MS"/>
          <w:noProof/>
        </w:rPr>
      </w:pPr>
      <w:r>
        <w:rPr>
          <w:rFonts w:eastAsia="Arial Unicode MS"/>
          <w:noProof/>
        </w:rPr>
        <w:t>c)</w:t>
      </w:r>
      <w:r>
        <w:rPr>
          <w:rFonts w:eastAsia="Arial Unicode MS"/>
          <w:noProof/>
        </w:rPr>
        <w:tab/>
        <w:t>The review of the Cohesion Fund eligibility on the basis of GNI/head data for the period 2012-2014 in comparison to the EU-27 average.</w:t>
      </w:r>
    </w:p>
    <w:p>
      <w:pPr>
        <w:pBdr>
          <w:top w:val="nil"/>
          <w:left w:val="nil"/>
          <w:bottom w:val="nil"/>
          <w:right w:val="nil"/>
          <w:between w:val="nil"/>
          <w:bar w:val="nil"/>
        </w:pBdr>
        <w:spacing w:before="0" w:after="240"/>
        <w:rPr>
          <w:rFonts w:eastAsia="Arial Unicode MS"/>
          <w:noProof/>
        </w:rPr>
      </w:pPr>
      <w:r>
        <w:rPr>
          <w:rFonts w:eastAsia="Arial Unicode MS"/>
          <w:noProof/>
        </w:rPr>
        <w:t>The exercise resulted in a cumulative divergence of more than +/– 5 % between the total and the revised allocations in Belgium, the Czech Republic, Denmark, Estonia, Ireland, Greece, Spain, Croatia, Italy, Cyprus, the Netherlands, Slovenia, Slovakia, Finland, Sweden and the United Kingdom. The adjustment in the respective resources were published in the Communication to the Council and the European Parliament [COM(2016) 311 final] on the Technical adjustment of the financial framework for 2017 in line with movements in GNI and adjustment of cohesion policy envelopes.</w:t>
      </w:r>
    </w:p>
    <w:p>
      <w:pPr>
        <w:pBdr>
          <w:top w:val="nil"/>
          <w:left w:val="nil"/>
          <w:bottom w:val="nil"/>
          <w:right w:val="nil"/>
          <w:between w:val="nil"/>
          <w:bar w:val="nil"/>
        </w:pBdr>
        <w:spacing w:before="0" w:after="240"/>
        <w:rPr>
          <w:rFonts w:eastAsia="Arial Unicode MS"/>
          <w:noProof/>
        </w:rPr>
      </w:pPr>
      <w:r>
        <w:rPr>
          <w:rFonts w:eastAsia="Arial Unicode MS"/>
          <w:noProof/>
        </w:rPr>
        <w:t>The review of the Cohesion Fund eligibility results in one case of eligibility change with Cyprus becoming fully eligible for Cohesion Fund support in 2017-2020, resulting in an additional amount of EUR 19.4 million.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94(2) of Regulation (EU) No 1303/2013 the Commission accepted a proposal submitted by Denmark to transfer a part of its appropriations for the European territorial cooperation goal to the Investment for growth and jobs goal.</w:t>
      </w:r>
    </w:p>
    <w:p>
      <w:pPr>
        <w:pBdr>
          <w:top w:val="nil"/>
          <w:left w:val="nil"/>
          <w:bottom w:val="nil"/>
          <w:right w:val="nil"/>
          <w:between w:val="nil"/>
          <w:bar w:val="nil"/>
        </w:pBdr>
        <w:spacing w:before="0" w:after="240"/>
        <w:rPr>
          <w:rFonts w:eastAsia="Arial Unicode MS"/>
          <w:noProof/>
        </w:rPr>
      </w:pPr>
      <w:r>
        <w:rPr>
          <w:rFonts w:eastAsia="Arial Unicode MS"/>
          <w:noProof/>
        </w:rPr>
        <w:t>Lastly, the Council decided on 20 June 2017 to extend the YEI until 2020 with an amount of EUR 1.2 billion in current prices for the specific allocation for the YEI broken down as follows: EUR 500 million in 2017 and then EUR 233.3 million per year for the period 2018-2020.</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1303/2013 as regards the changes to the resources for economic, social and territorial cohesion and to the resources for the investment for growth and jobs goal and for the European territorial cooperation goal</w:t>
      </w:r>
    </w:p>
    <w:p>
      <w:pPr>
        <w:pStyle w:val="Institutionquiagit"/>
        <w:rPr>
          <w:noProof/>
          <w:szCs w:val="24"/>
        </w:rPr>
      </w:pPr>
      <w:r>
        <w:rPr>
          <w:noProof/>
          <w:szCs w:val="24"/>
        </w:rPr>
        <w:t>THE EUROPEAN PARLIAMENT AND THE COUNCIL OF THE EUROPEAN UNION,</w:t>
      </w:r>
    </w:p>
    <w:p>
      <w:pPr>
        <w:rPr>
          <w:noProof/>
          <w:szCs w:val="24"/>
        </w:rPr>
      </w:pPr>
      <w:r>
        <w:rPr>
          <w:noProof/>
          <w:szCs w:val="24"/>
          <w:lang w:val="en"/>
        </w:rPr>
        <w:t>Having regard to the Treaty on the Functioning of the European Union, and in particular Article 177 thereof,</w:t>
      </w:r>
      <w:r>
        <w:rPr>
          <w:noProof/>
          <w:szCs w:val="24"/>
        </w:rPr>
        <w:t xml:space="preserve"> </w:t>
      </w:r>
    </w:p>
    <w:p>
      <w:pPr>
        <w:rPr>
          <w:noProof/>
          <w:szCs w:val="24"/>
          <w:lang w:val="en"/>
        </w:rPr>
      </w:pPr>
      <w:r>
        <w:rPr>
          <w:noProof/>
          <w:szCs w:val="24"/>
          <w:lang w:val="en"/>
        </w:rPr>
        <w:t>Having regard to the proposal from the European Commission,</w:t>
      </w:r>
    </w:p>
    <w:p>
      <w:pPr>
        <w:rPr>
          <w:noProof/>
          <w:szCs w:val="24"/>
          <w:lang w:val="en"/>
        </w:rPr>
      </w:pPr>
      <w:r>
        <w:rPr>
          <w:noProof/>
          <w:szCs w:val="24"/>
          <w:lang w:val="en"/>
        </w:rPr>
        <w:t>After transmission of the draft legislative act to the national parliaments,</w:t>
      </w:r>
    </w:p>
    <w:p>
      <w:pPr>
        <w:rPr>
          <w:noProof/>
          <w:szCs w:val="24"/>
          <w:lang w:val="en"/>
        </w:rPr>
      </w:pPr>
      <w:r>
        <w:rPr>
          <w:noProof/>
          <w:szCs w:val="24"/>
          <w:lang w:val="en"/>
        </w:rPr>
        <w:t>Having regard to the opinion of the European Economic and Social Committee</w:t>
      </w:r>
      <w:r>
        <w:rPr>
          <w:rStyle w:val="FootnoteReference"/>
          <w:noProof/>
          <w:szCs w:val="24"/>
          <w:lang w:val="en"/>
        </w:rPr>
        <w:footnoteReference w:id="6"/>
      </w:r>
      <w:r>
        <w:rPr>
          <w:noProof/>
          <w:szCs w:val="24"/>
          <w:lang w:val="en"/>
        </w:rPr>
        <w:t>,</w:t>
      </w:r>
    </w:p>
    <w:p>
      <w:pPr>
        <w:rPr>
          <w:noProof/>
          <w:szCs w:val="24"/>
          <w:lang w:val="en"/>
        </w:rPr>
      </w:pPr>
      <w:r>
        <w:rPr>
          <w:noProof/>
          <w:szCs w:val="24"/>
          <w:lang w:val="en"/>
        </w:rPr>
        <w:t>After consulting the Committee of the Regions</w:t>
      </w:r>
      <w:r>
        <w:rPr>
          <w:rStyle w:val="FootnoteReference"/>
          <w:noProof/>
          <w:szCs w:val="24"/>
          <w:lang w:val="en"/>
        </w:rPr>
        <w:footnoteReference w:id="7"/>
      </w:r>
      <w:r>
        <w:rPr>
          <w:noProof/>
          <w:szCs w:val="24"/>
          <w:lang w:val="en"/>
        </w:rPr>
        <w:t>,</w:t>
      </w:r>
    </w:p>
    <w:p>
      <w:pPr>
        <w:rPr>
          <w:noProof/>
          <w:szCs w:val="24"/>
          <w:lang w:val="en"/>
        </w:rPr>
      </w:pPr>
      <w:r>
        <w:rPr>
          <w:noProof/>
          <w:szCs w:val="24"/>
          <w:lang w:val="en"/>
        </w:rPr>
        <w:t>Acting in accordance with the ordinary legislative procedure,</w:t>
      </w:r>
    </w:p>
    <w:p>
      <w:pPr>
        <w:rPr>
          <w:noProof/>
          <w:szCs w:val="24"/>
        </w:rPr>
      </w:pPr>
      <w:r>
        <w:rPr>
          <w:noProof/>
          <w:szCs w:val="24"/>
        </w:rPr>
        <w:t>Whereas:</w:t>
      </w:r>
    </w:p>
    <w:p>
      <w:pPr>
        <w:pStyle w:val="ManualConsidrant"/>
        <w:rPr>
          <w:noProof/>
        </w:rPr>
      </w:pPr>
      <w:r>
        <w:t>(1)</w:t>
      </w:r>
      <w:r>
        <w:tab/>
      </w:r>
      <w:r>
        <w:rPr>
          <w:noProof/>
        </w:rPr>
        <w:t>Regulation (EU) No 1303/2013 of the European Parliament and of the Council</w:t>
      </w:r>
      <w:r>
        <w:rPr>
          <w:rStyle w:val="FootnoteReference"/>
          <w:noProof/>
          <w:szCs w:val="24"/>
        </w:rPr>
        <w:footnoteReference w:id="8"/>
      </w:r>
      <w:r>
        <w:rPr>
          <w:noProof/>
        </w:rPr>
        <w:t xml:space="preserve"> lays down the common and general rules applicable to the European Structural and Investment Funds. </w:t>
      </w:r>
    </w:p>
    <w:p>
      <w:pPr>
        <w:pStyle w:val="ManualConsidrant"/>
        <w:rPr>
          <w:noProof/>
        </w:rPr>
      </w:pPr>
      <w:r>
        <w:t>(2)</w:t>
      </w:r>
      <w:r>
        <w:tab/>
      </w:r>
      <w:r>
        <w:rPr>
          <w:noProof/>
        </w:rPr>
        <w:t>In accordance with Article 7(1) of Council Regulation (EU, Euratom) No 1311/2013</w:t>
      </w:r>
      <w:r>
        <w:rPr>
          <w:rStyle w:val="FootnoteReference"/>
          <w:noProof/>
          <w:szCs w:val="24"/>
        </w:rPr>
        <w:footnoteReference w:id="9"/>
      </w:r>
      <w:r>
        <w:rPr>
          <w:noProof/>
        </w:rPr>
        <w:t xml:space="preserve"> and Article 92(3) of Regulation (EU) No 1303/2013 the Commission reviewed in 2016 the total allocations of all Member States under the Investment for growth and jobs goal of cohesion policy for the years 2017 to 2020.</w:t>
      </w:r>
    </w:p>
    <w:p>
      <w:pPr>
        <w:pStyle w:val="ManualConsidrant"/>
        <w:rPr>
          <w:noProof/>
        </w:rPr>
      </w:pPr>
      <w:r>
        <w:t>(3)</w:t>
      </w:r>
      <w:r>
        <w:tab/>
      </w:r>
      <w:r>
        <w:rPr>
          <w:noProof/>
        </w:rPr>
        <w:t>In accordance with Article 7(3) of Regulation (EU, Euratom) No 1311/2013 and Article 92(3) of Regulation (EU) No 1303/2013 the Commission presented the results of the review to the Council and the European Parliament</w:t>
      </w:r>
      <w:r>
        <w:rPr>
          <w:rStyle w:val="FootnoteReference"/>
          <w:noProof/>
          <w:szCs w:val="24"/>
        </w:rPr>
        <w:footnoteReference w:id="10"/>
      </w:r>
      <w:r>
        <w:rPr>
          <w:noProof/>
        </w:rPr>
        <w:t xml:space="preserve">. In the Communication it is mentioned that, on the basis of the most recent statistics, there is a cumulative divergence of more than +/– 5 % between the total and the revised allocations in Belgium, the Czech Republic, Denmark, Estonia, Ireland, Greece, Spain, Croatia, Italy, Cyprus, the Netherlands, Slovenia, Slovakia, Finland, Sweden and the United Kingdom. In addition, it is mentioned that, on the basis of its gross national income (GNI) per capita figures of 2012-2014, Cyprus will become fully eligible for support from the Cohesion Fund as of 1 January 2017. </w:t>
      </w:r>
    </w:p>
    <w:p>
      <w:pPr>
        <w:pStyle w:val="ManualConsidrant"/>
        <w:rPr>
          <w:noProof/>
        </w:rPr>
      </w:pPr>
      <w:r>
        <w:t>(4)</w:t>
      </w:r>
      <w:r>
        <w:tab/>
      </w:r>
      <w:r>
        <w:rPr>
          <w:noProof/>
        </w:rPr>
        <w:t>In accordance with Article 7(4) and (5) of Regulation (EU, Euratom) No 1311/2013 and Article 92(3) of Regulation (EU) No 1303/2013 the allocations of those Member States are to be adjusted accordingly, provided that the total net effect of those adjustments does not exceed EUR 4 billion.</w:t>
      </w:r>
    </w:p>
    <w:p>
      <w:pPr>
        <w:pStyle w:val="ManualConsidrant"/>
        <w:rPr>
          <w:noProof/>
        </w:rPr>
      </w:pPr>
      <w:r>
        <w:t>(5)</w:t>
      </w:r>
      <w:r>
        <w:tab/>
      </w:r>
      <w:r>
        <w:rPr>
          <w:noProof/>
        </w:rPr>
        <w:t xml:space="preserve">Insofar as the revision had an impact on the annual breakdown of the allocations for the </w:t>
      </w:r>
      <w:r>
        <w:rPr>
          <w:rStyle w:val="bold"/>
          <w:b w:val="0"/>
          <w:bCs w:val="0"/>
          <w:noProof/>
          <w:szCs w:val="24"/>
          <w:lang w:val="en"/>
        </w:rPr>
        <w:t>global resources by Member State under the Investment for growth and jobs goal and under the European Territorial Cooperation Goal as well as on the Youth Employment Initiative (hereinafter referred to as 'YEI')</w:t>
      </w:r>
      <w:r>
        <w:rPr>
          <w:noProof/>
        </w:rPr>
        <w:t>, it was implemented by Commission Implementing Decision (EU) 2016/1941</w:t>
      </w:r>
      <w:r>
        <w:rPr>
          <w:rStyle w:val="FootnoteReference"/>
          <w:noProof/>
          <w:szCs w:val="24"/>
        </w:rPr>
        <w:footnoteReference w:id="11"/>
      </w:r>
      <w:r>
        <w:rPr>
          <w:noProof/>
        </w:rPr>
        <w:t>.</w:t>
      </w:r>
    </w:p>
    <w:p>
      <w:pPr>
        <w:pStyle w:val="ManualConsidrant"/>
        <w:rPr>
          <w:noProof/>
        </w:rPr>
      </w:pPr>
      <w:r>
        <w:t>(6)</w:t>
      </w:r>
      <w:r>
        <w:tab/>
      </w:r>
      <w:r>
        <w:rPr>
          <w:noProof/>
        </w:rPr>
        <w:t>The total net effect of those adjustments is to increase the resources for economic, social and territorial cohesion by EUR 4 billion. This increase should be reflected in Article 91(1) of Regulation (EU) No 1303/2013, which should therefore be adjusted accordingly.</w:t>
      </w:r>
      <w:r>
        <w:rPr>
          <w:noProof/>
          <w:highlight w:val="yellow"/>
        </w:rPr>
        <w:t xml:space="preserve"> </w:t>
      </w:r>
    </w:p>
    <w:p>
      <w:pPr>
        <w:pStyle w:val="ManualConsidrant"/>
        <w:rPr>
          <w:noProof/>
        </w:rPr>
      </w:pPr>
      <w:r>
        <w:t>(7)</w:t>
      </w:r>
      <w:r>
        <w:tab/>
      </w:r>
      <w:r>
        <w:rPr>
          <w:noProof/>
        </w:rPr>
        <w:t>The resources for the Investment for growth and jobs goal and their allocation between less developed regions, transition regions, more developed regions, Member States supported by the Cohesion Fund and outermost regions as set out in Article 92(1) of Regulation (EU) No 1303/2013 should be adjusted accordingly.</w:t>
      </w:r>
      <w:r>
        <w:rPr>
          <w:noProof/>
          <w:highlight w:val="yellow"/>
        </w:rPr>
        <w:t xml:space="preserve"> </w:t>
      </w:r>
    </w:p>
    <w:p>
      <w:pPr>
        <w:pStyle w:val="ManualConsidrant"/>
        <w:rPr>
          <w:noProof/>
          <w:szCs w:val="24"/>
        </w:rPr>
      </w:pPr>
      <w:r>
        <w:t>(8)</w:t>
      </w:r>
      <w:r>
        <w:tab/>
      </w:r>
      <w:r>
        <w:rPr>
          <w:noProof/>
          <w:szCs w:val="24"/>
        </w:rPr>
        <w:t>In accordance with Article 14(1) of Regulation (EU, Euratom) No 1311/2013, the m</w:t>
      </w:r>
      <w:r>
        <w:rPr>
          <w:noProof/>
        </w:rPr>
        <w:t>argins left available below the ceilings for commitment appropriations of the multiannual financial framework (hereinafter referred to as 'MFF') are to constitute the Global MFF Margin for commitments, to be made available over and above the ceilings established in the MFF for the years 2016 to 2020 for policy objectives related to growth and employment, in particular youth employment. By Council Regulation (EU, Euratom) No 2017/1123</w:t>
      </w:r>
      <w:r>
        <w:rPr>
          <w:rStyle w:val="FootnoteReference"/>
          <w:noProof/>
        </w:rPr>
        <w:footnoteReference w:id="12"/>
      </w:r>
      <w:r>
        <w:rPr>
          <w:noProof/>
        </w:rPr>
        <w:t xml:space="preserve"> the limitation of the margins left available below the MFF ceilings for commitment appropriations to the years 2014 to 2017 was deleted thus allowing that </w:t>
      </w:r>
      <w:r>
        <w:rPr>
          <w:noProof/>
          <w:szCs w:val="24"/>
        </w:rPr>
        <w:t>the YEI could be extended to 2020 and that the specific allocation for the YEI could be increased by an amount of EUR 1.2 billion in current prices for the period 2017-2020. The specific allocation for the YEI as set out in Articles 91(1) and 92(5) of Regulation (EU) No 1303/2013 should therefore be adjusted accordingly.</w:t>
      </w:r>
    </w:p>
    <w:p>
      <w:pPr>
        <w:pStyle w:val="ManualConsidrant"/>
        <w:rPr>
          <w:noProof/>
        </w:rPr>
      </w:pPr>
      <w:r>
        <w:t>(9)</w:t>
      </w:r>
      <w:r>
        <w:tab/>
      </w:r>
      <w:r>
        <w:rPr>
          <w:noProof/>
        </w:rPr>
        <w:t xml:space="preserve">In accordance with Article 94(2) of Regulation (EU) No 1303/2013 the Commission accepted a proposal submitted by Denmark to transfer a part of its appropriations for the European territorial cooperation goal to the investment for growth and jobs goal. This transfer should be reflected in an amendment of the global resources available for the European territorial cooperation goal in Article 92(9) of that Regulation. </w:t>
      </w:r>
    </w:p>
    <w:p>
      <w:pPr>
        <w:pStyle w:val="ManualConsidrant"/>
        <w:rPr>
          <w:noProof/>
        </w:rPr>
      </w:pPr>
      <w:r>
        <w:t>(10)</w:t>
      </w:r>
      <w:r>
        <w:tab/>
      </w:r>
      <w:r>
        <w:rPr>
          <w:noProof/>
        </w:rPr>
        <w:t>Pursuant to the procedure set out in Article 19(1) of Regulation (EU, Euratom) No 1311/2013, Council Regulation (EU, Euratom) 2015/623</w:t>
      </w:r>
      <w:r>
        <w:rPr>
          <w:rStyle w:val="FootnoteReference"/>
          <w:noProof/>
          <w:szCs w:val="24"/>
        </w:rPr>
        <w:footnoteReference w:id="13"/>
      </w:r>
      <w:r>
        <w:rPr>
          <w:noProof/>
        </w:rPr>
        <w:t xml:space="preserve"> transferred to subsequent years an amount of EUR 11 216 187 326 in current prices of the allocation provided for the Structural Funds and the Cohesion Fund. An amount of EUR 9 446 050 652 in current prices of the allocation provided for the European Agricultural Fund for Rural Development and the European Maritime and Fisheries Fund which could not be committed in 2014 nor carried over to 2015 was transferred to subsequent years. That transfer should be reflected in Annex VI of Regulation (EU) No 1303/2013 setting out the global annual breakdown of commitment appropriations for 2014 to 2020,</w:t>
      </w:r>
    </w:p>
    <w:p>
      <w:pPr>
        <w:pStyle w:val="ManualConsidrant"/>
        <w:rPr>
          <w:noProof/>
        </w:rPr>
      </w:pPr>
      <w:r>
        <w:t>(11)</w:t>
      </w:r>
      <w:r>
        <w:tab/>
      </w:r>
      <w:r>
        <w:rPr>
          <w:noProof/>
        </w:rPr>
        <w:t xml:space="preserve">Given the urgency of extending the programmes supporting the YEI this Regulation should enter into force on the day following that of its publication in the </w:t>
      </w:r>
      <w:r>
        <w:rPr>
          <w:i/>
          <w:iCs/>
          <w:noProof/>
        </w:rPr>
        <w:t>Official Journal of the European Union</w:t>
      </w:r>
      <w:r>
        <w:rPr>
          <w:noProof/>
        </w:rPr>
        <w:t>.</w:t>
      </w:r>
    </w:p>
    <w:p>
      <w:pPr>
        <w:pStyle w:val="ManualConsidrant"/>
        <w:rPr>
          <w:noProof/>
        </w:rPr>
      </w:pPr>
      <w:r>
        <w:t>(12)</w:t>
      </w:r>
      <w:r>
        <w:tab/>
      </w:r>
      <w:r>
        <w:rPr>
          <w:noProof/>
        </w:rPr>
        <w:t xml:space="preserve">Regulation (EU) No 1303/2013 should therefore be amended, </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No 1303/2013 is amended as follows:</w:t>
      </w:r>
    </w:p>
    <w:p>
      <w:pPr>
        <w:pStyle w:val="ManualNumPar1"/>
        <w:rPr>
          <w:noProof/>
        </w:rPr>
      </w:pPr>
      <w:r>
        <w:t>1.</w:t>
      </w:r>
      <w:r>
        <w:tab/>
      </w:r>
      <w:r>
        <w:rPr>
          <w:noProof/>
        </w:rPr>
        <w:t>Article 91(1) is replaced by the following:</w:t>
      </w:r>
    </w:p>
    <w:p>
      <w:pPr>
        <w:pStyle w:val="Text1"/>
        <w:rPr>
          <w:noProof/>
        </w:rPr>
      </w:pPr>
      <w:r>
        <w:rPr>
          <w:noProof/>
        </w:rPr>
        <w:t>'1. The resources for economic, social and territorial cohesion available for budgetary commitment for the period 2014 - 2020 shall be EUR 329 978 401 458 in 2011 prices, in accordance with the annual breakdown set out in Annex VI, of which EUR 325 938 694 233 represents the global resources allocated to the ERDF, the ESF and the Cohesion Fund and EUR 4 039 707 225 represents a specific allocation for the YEI. For the purposes of programming and subsequent inclusion in the budget of the Union, the amount of resources for economic, social and territorial cohesion shall be indexed at 2% per year.';</w:t>
      </w:r>
    </w:p>
    <w:p>
      <w:pPr>
        <w:pStyle w:val="ManualNumPar1"/>
        <w:rPr>
          <w:noProof/>
        </w:rPr>
      </w:pPr>
      <w:r>
        <w:t>2.</w:t>
      </w:r>
      <w:r>
        <w:tab/>
      </w:r>
      <w:r>
        <w:rPr>
          <w:noProof/>
        </w:rPr>
        <w:t>Article 92 is amended as follows:</w:t>
      </w:r>
    </w:p>
    <w:p>
      <w:pPr>
        <w:pStyle w:val="Point1letter"/>
        <w:numPr>
          <w:ilvl w:val="3"/>
          <w:numId w:val="14"/>
        </w:numPr>
        <w:rPr>
          <w:noProof/>
        </w:rPr>
      </w:pPr>
      <w:r>
        <w:rPr>
          <w:noProof/>
        </w:rPr>
        <w:t>paragraph 1 is replaced by the following:</w:t>
      </w:r>
    </w:p>
    <w:p>
      <w:pPr>
        <w:pStyle w:val="Text2"/>
        <w:rPr>
          <w:noProof/>
        </w:rPr>
      </w:pPr>
      <w:r>
        <w:rPr>
          <w:noProof/>
        </w:rPr>
        <w:t>'1. Resources for the Investment for growth and jobs goal shall amount to 96.09% of the global resources (i.e., a total of EUR 317 103 114 309) and shall be allocated as follows:</w:t>
      </w:r>
    </w:p>
    <w:p>
      <w:pPr>
        <w:pStyle w:val="Text2"/>
        <w:rPr>
          <w:noProof/>
        </w:rPr>
      </w:pPr>
      <w:r>
        <w:rPr>
          <w:noProof/>
        </w:rPr>
        <w:t>(a) 48.64% (i.e., a total of EUR 160 498 028 177) for less developed regions;</w:t>
      </w:r>
    </w:p>
    <w:p>
      <w:pPr>
        <w:pStyle w:val="Text2"/>
        <w:rPr>
          <w:noProof/>
        </w:rPr>
      </w:pPr>
      <w:r>
        <w:rPr>
          <w:noProof/>
        </w:rPr>
        <w:t>(b) 10.19%  (i.e., a total of EUR 33 621 675 154) for transition regions;</w:t>
      </w:r>
    </w:p>
    <w:p>
      <w:pPr>
        <w:pStyle w:val="Text2"/>
        <w:rPr>
          <w:noProof/>
        </w:rPr>
      </w:pPr>
      <w:r>
        <w:rPr>
          <w:noProof/>
        </w:rPr>
        <w:t>(c) 15.43% (i.e., a total of EUR 50 914 723 304) for more developed regions;</w:t>
      </w:r>
    </w:p>
    <w:p>
      <w:pPr>
        <w:pStyle w:val="Text2"/>
        <w:rPr>
          <w:noProof/>
        </w:rPr>
      </w:pPr>
      <w:r>
        <w:rPr>
          <w:noProof/>
        </w:rPr>
        <w:t>(d) 20.01% (i.e., a total of EUR 66 029 882 135) for Member States supported by the Cohesion Fund;</w:t>
      </w:r>
    </w:p>
    <w:p>
      <w:pPr>
        <w:pStyle w:val="Text2"/>
        <w:rPr>
          <w:noProof/>
        </w:rPr>
      </w:pPr>
      <w:r>
        <w:rPr>
          <w:noProof/>
        </w:rPr>
        <w:t>(e) 0.42% (i.e., a total of EUR 1 378 882 914) as additional funding for the outermost regions identified in Article 349 TFEU and the NUTS level 2 regions fulfilling the criteria laid down in Article 2 of Protocol No 6 to the 1994 Act of Accession.';</w:t>
      </w:r>
    </w:p>
    <w:p>
      <w:pPr>
        <w:pStyle w:val="Point1letter"/>
        <w:rPr>
          <w:noProof/>
        </w:rPr>
      </w:pPr>
      <w:r>
        <w:rPr>
          <w:noProof/>
        </w:rPr>
        <w:t>paragraph 5 is replaced by the following:</w:t>
      </w:r>
    </w:p>
    <w:p>
      <w:pPr>
        <w:pStyle w:val="Text2"/>
        <w:rPr>
          <w:noProof/>
        </w:rPr>
      </w:pPr>
      <w:r>
        <w:rPr>
          <w:noProof/>
        </w:rPr>
        <w:t>'5. Resources for the YEI shall amount to EUR 4 039 707 225 from the specific allocation for the YEI and at least EUR 4 039 707 225 from ESF targeted investment.';</w:t>
      </w:r>
    </w:p>
    <w:p>
      <w:pPr>
        <w:pStyle w:val="Point1letter"/>
        <w:rPr>
          <w:noProof/>
        </w:rPr>
      </w:pPr>
      <w:r>
        <w:rPr>
          <w:noProof/>
        </w:rPr>
        <w:t>paragraph 9 is replaced by the following:</w:t>
      </w:r>
    </w:p>
    <w:p>
      <w:pPr>
        <w:pStyle w:val="Text2"/>
        <w:rPr>
          <w:noProof/>
        </w:rPr>
      </w:pPr>
      <w:r>
        <w:rPr>
          <w:noProof/>
        </w:rPr>
        <w:t>'9. Resources for the European territorial cooperation goal shall amount to 2.69% of the global resources available for budgetary commitment from the Funds for the period 2014-2020 (i.e., a total of EUR 8 865 148 841).';</w:t>
      </w:r>
    </w:p>
    <w:p>
      <w:pPr>
        <w:pStyle w:val="ManualNumPar1"/>
        <w:rPr>
          <w:noProof/>
        </w:rPr>
      </w:pPr>
      <w:r>
        <w:rPr>
          <w:noProof/>
        </w:rPr>
        <w:t>3.</w:t>
      </w:r>
      <w:r>
        <w:rPr>
          <w:noProof/>
        </w:rPr>
        <w:tab/>
        <w:t>Annex VI is replaced by the text set out in the Annex to this Regulation.</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sectPr>
          <w:pgSz w:w="11907" w:h="16839"/>
          <w:pgMar w:top="1134" w:right="1417" w:bottom="1134" w:left="1417" w:header="709" w:footer="709" w:gutter="0"/>
          <w:cols w:space="708"/>
          <w:docGrid w:linePitch="360"/>
        </w:sectPr>
      </w:pPr>
      <w:r>
        <w:rPr>
          <w:noProof/>
        </w:rPr>
        <w:t>The President</w:t>
      </w:r>
      <w:r>
        <w:rPr>
          <w:noProof/>
        </w:rPr>
        <w:tab/>
        <w:t>The President</w:t>
      </w:r>
    </w:p>
    <w:p>
      <w:pPr>
        <w:pStyle w:val="Fichefinanciretitre"/>
        <w:rPr>
          <w:noProof/>
        </w:rPr>
      </w:pPr>
      <w:r>
        <w:rPr>
          <w:noProof/>
        </w:rPr>
        <w:t xml:space="preserve">LEGISLATIVE FINANCIAL STATEMENT </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w:t>
      </w:r>
    </w:p>
    <w:p>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w:t>
      </w:r>
    </w:p>
    <w:p>
      <w:pPr>
        <w:pStyle w:val="Text1"/>
        <w:pBdr>
          <w:top w:val="single" w:sz="4" w:space="1" w:color="auto"/>
          <w:left w:val="single" w:sz="4" w:space="4" w:color="auto"/>
          <w:bottom w:val="single" w:sz="4" w:space="1" w:color="auto"/>
          <w:right w:val="single" w:sz="4" w:space="4" w:color="auto"/>
        </w:pBdr>
        <w:rPr>
          <w:noProof/>
        </w:rPr>
      </w:pPr>
      <w:r>
        <w:rPr>
          <w:noProof/>
        </w:rPr>
        <w:t>amending Regulation (EU) No 1303/2013 as regards the changes to the resources for economic, social and territorial cohesion and to the resources for the Investment for growth and jobs goal and for the European territorial cooperation goal</w:t>
      </w:r>
    </w:p>
    <w:p>
      <w:pPr>
        <w:pStyle w:val="ManualHeading2"/>
        <w:rPr>
          <w:noProof/>
          <w:szCs w:val="24"/>
        </w:rPr>
      </w:pPr>
      <w:r>
        <w:rPr>
          <w:noProof/>
        </w:rPr>
        <w:t>1.2.</w:t>
      </w:r>
      <w:r>
        <w:rPr>
          <w:noProof/>
        </w:rPr>
        <w:tab/>
        <w:t>Policy area(s) concerned in the ABM/ABB structure</w:t>
      </w:r>
      <w:r>
        <w:rPr>
          <w:rStyle w:val="FootnoteReference"/>
          <w:bCs/>
          <w:noProof/>
        </w:rPr>
        <w:footnoteReference w:id="1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Employment, social affairs and inclusion</w:t>
      </w:r>
    </w:p>
    <w:p>
      <w:pPr>
        <w:pStyle w:val="Text1"/>
        <w:pBdr>
          <w:top w:val="single" w:sz="4" w:space="1" w:color="auto"/>
          <w:left w:val="single" w:sz="4" w:space="4" w:color="auto"/>
          <w:bottom w:val="single" w:sz="4" w:space="1" w:color="auto"/>
          <w:right w:val="single" w:sz="4" w:space="4" w:color="auto"/>
        </w:pBdr>
        <w:rPr>
          <w:noProof/>
        </w:rPr>
      </w:pPr>
      <w:r>
        <w:rPr>
          <w:noProof/>
        </w:rPr>
        <w:t>04 02 60 – European Social Fund – Less developed regions -Investment for growth and jobs goal</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61 – European Social Fund – Transition regions - -Investment for growth and jobs goal</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04 02 62 – European Social Fund – More developed regions – Investment for growth and jobs goal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64 – Youth Employment Initiative (YEI)</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Regional and Urban policy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60 – European regional Development Fund (ERDF) – Less developed regions –Investment for growth and jobs goal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61 – European Regional Development Fund (ERDF) – Transition regions – Investment for growth and jobs goal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62 – European Regional Development Fund (ERDF) – More developed regions- Investment for growth and jobs goal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63 - European Regional Development Fund (ERDF) — Additional allocation for outermost and sparsely populated regions — Investment for growth and jobs goal</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64 01 - European Regional Development Fund (ERDF) — European territorial cooperation</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04 60 — Cohesion Fund — Investment for growth and jobs goal</w:t>
      </w:r>
    </w:p>
    <w:p>
      <w:pPr>
        <w:pStyle w:val="ManualHeading2"/>
        <w:rPr>
          <w:bCs/>
          <w:noProof/>
          <w:szCs w:val="24"/>
        </w:rPr>
      </w:pPr>
      <w:r>
        <w:rPr>
          <w:noProof/>
        </w:rPr>
        <w:t>1.3.</w:t>
      </w:r>
      <w:r>
        <w:rPr>
          <w:noProof/>
        </w:rPr>
        <w:tab/>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5"/>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78"/>
      </w:r>
      <w:r>
        <w:rPr>
          <w:noProof/>
        </w:rPr>
        <w:tab/>
        <w:t>Proposal/initiative in effect from 01/01/2017 to 31/12/2023</w:t>
      </w:r>
    </w:p>
    <w:p>
      <w:pPr>
        <w:pStyle w:val="ListDash2"/>
        <w:rPr>
          <w:noProof/>
        </w:rPr>
      </w:pPr>
      <w:r>
        <w:rPr>
          <w:noProof/>
        </w:rPr>
        <w:sym w:font="Wingdings" w:char="F078"/>
      </w:r>
      <w:r>
        <w:rPr>
          <w:noProof/>
        </w:rPr>
        <w:tab/>
        <w:t>Financial impact in 2017 - 2020</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bCs/>
          <w:noProof/>
        </w:rPr>
        <w:footnoteReference w:id="16"/>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N/A</w:t>
      </w: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rPr>
              <w:br/>
            </w: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17"/>
            </w:r>
          </w:p>
        </w:tc>
        <w:tc>
          <w:tcPr>
            <w:tcW w:w="956" w:type="dxa"/>
            <w:vAlign w:val="center"/>
          </w:tcPr>
          <w:p>
            <w:pPr>
              <w:jc w:val="center"/>
              <w:rPr>
                <w:noProof/>
              </w:rPr>
            </w:pPr>
            <w:r>
              <w:rPr>
                <w:noProof/>
                <w:sz w:val="18"/>
              </w:rPr>
              <w:t>from EFTA countries</w:t>
            </w:r>
            <w:r>
              <w:rPr>
                <w:rStyle w:val="FootnoteReference"/>
                <w:noProof/>
                <w:sz w:val="18"/>
              </w:rPr>
              <w:footnoteReference w:id="18"/>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19"/>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shd w:val="clear" w:color="auto" w:fill="auto"/>
            <w:vAlign w:val="center"/>
          </w:tcPr>
          <w:p>
            <w:pPr>
              <w:jc w:val="center"/>
              <w:rPr>
                <w:noProof/>
              </w:rPr>
            </w:pPr>
            <w:r>
              <w:rPr>
                <w:noProof/>
              </w:rPr>
              <w:t>1 Smart and Inclusive Growth</w:t>
            </w:r>
          </w:p>
        </w:tc>
        <w:tc>
          <w:tcPr>
            <w:tcW w:w="3960" w:type="dxa"/>
            <w:vAlign w:val="center"/>
          </w:tcPr>
          <w:p>
            <w:pPr>
              <w:spacing w:after="60"/>
              <w:rPr>
                <w:noProof/>
              </w:rPr>
            </w:pPr>
            <w:r>
              <w:rPr>
                <w:noProof/>
              </w:rPr>
              <w:t>04 02 60 – European Social Fund – Less developed regions -Investment for growth and jobs goal</w:t>
            </w:r>
          </w:p>
          <w:p>
            <w:pPr>
              <w:spacing w:after="60"/>
              <w:rPr>
                <w:noProof/>
              </w:rPr>
            </w:pPr>
          </w:p>
          <w:p>
            <w:pPr>
              <w:spacing w:after="60"/>
              <w:rPr>
                <w:noProof/>
              </w:rPr>
            </w:pPr>
            <w:r>
              <w:rPr>
                <w:noProof/>
              </w:rPr>
              <w:t>04 02 61 – European Social Fund – Transition regions - -Investment for growth and jobs goal</w:t>
            </w:r>
          </w:p>
          <w:p>
            <w:pPr>
              <w:spacing w:after="60"/>
              <w:rPr>
                <w:noProof/>
              </w:rPr>
            </w:pPr>
          </w:p>
          <w:p>
            <w:pPr>
              <w:spacing w:after="60"/>
              <w:rPr>
                <w:noProof/>
              </w:rPr>
            </w:pPr>
            <w:r>
              <w:rPr>
                <w:noProof/>
              </w:rPr>
              <w:t>04 02 62 – European Social Fund – More developed regions – Investment for growth and jobs goal</w:t>
            </w:r>
          </w:p>
          <w:p>
            <w:pPr>
              <w:spacing w:after="60"/>
              <w:rPr>
                <w:noProof/>
              </w:rPr>
            </w:pPr>
          </w:p>
          <w:p>
            <w:pPr>
              <w:spacing w:after="60"/>
              <w:rPr>
                <w:noProof/>
              </w:rPr>
            </w:pPr>
            <w:r>
              <w:rPr>
                <w:noProof/>
              </w:rPr>
              <w:t>04 02 64 – Youth Employment Initiative (YEI)</w:t>
            </w:r>
          </w:p>
          <w:p>
            <w:pPr>
              <w:spacing w:after="60"/>
              <w:rPr>
                <w:noProof/>
              </w:rPr>
            </w:pPr>
          </w:p>
          <w:p>
            <w:pPr>
              <w:spacing w:after="60"/>
              <w:rPr>
                <w:noProof/>
              </w:rPr>
            </w:pPr>
            <w:r>
              <w:rPr>
                <w:noProof/>
              </w:rPr>
              <w:t xml:space="preserve">13 03 60 – European regional Development Fund (ERDF) – Less developed regions –Investment for growth and jobs goal </w:t>
            </w:r>
          </w:p>
          <w:p>
            <w:pPr>
              <w:spacing w:after="60"/>
              <w:rPr>
                <w:noProof/>
              </w:rPr>
            </w:pPr>
          </w:p>
          <w:p>
            <w:pPr>
              <w:spacing w:after="60"/>
              <w:rPr>
                <w:noProof/>
              </w:rPr>
            </w:pPr>
            <w:r>
              <w:rPr>
                <w:noProof/>
              </w:rPr>
              <w:t xml:space="preserve">13 03 61 – European Regional Development Fund (ERDF) – Transition regions – Investment for growth and jobs goal </w:t>
            </w:r>
          </w:p>
          <w:p>
            <w:pPr>
              <w:spacing w:after="60"/>
              <w:rPr>
                <w:noProof/>
              </w:rPr>
            </w:pPr>
          </w:p>
          <w:p>
            <w:pPr>
              <w:spacing w:after="60"/>
              <w:rPr>
                <w:noProof/>
              </w:rPr>
            </w:pPr>
            <w:r>
              <w:rPr>
                <w:noProof/>
              </w:rPr>
              <w:t xml:space="preserve">13 03 62 – European Regional Development Fund (ERDF) – More developed regions- Investment for growth and jobs goal </w:t>
            </w:r>
          </w:p>
          <w:p>
            <w:pPr>
              <w:spacing w:after="60"/>
              <w:rPr>
                <w:noProof/>
              </w:rPr>
            </w:pPr>
          </w:p>
          <w:p>
            <w:pPr>
              <w:spacing w:after="60"/>
              <w:rPr>
                <w:bCs/>
                <w:iCs/>
                <w:noProof/>
              </w:rPr>
            </w:pPr>
            <w:r>
              <w:rPr>
                <w:bCs/>
                <w:iCs/>
                <w:noProof/>
              </w:rPr>
              <w:t>13 03 63 - European Regional Development Fund (ERDF) — Additional allocation for outermost and sparsely populated regions — Investment for growth and jobs goal</w:t>
            </w:r>
          </w:p>
          <w:p>
            <w:pPr>
              <w:spacing w:after="60"/>
              <w:rPr>
                <w:bCs/>
                <w:iCs/>
                <w:noProof/>
              </w:rPr>
            </w:pPr>
          </w:p>
          <w:p>
            <w:pPr>
              <w:spacing w:after="60"/>
              <w:rPr>
                <w:bCs/>
                <w:iCs/>
                <w:noProof/>
              </w:rPr>
            </w:pPr>
            <w:r>
              <w:rPr>
                <w:bCs/>
                <w:iCs/>
                <w:noProof/>
              </w:rPr>
              <w:t>13 03 64 01 - European Regional Development Fund (ERDF) — European territorial cooperation</w:t>
            </w:r>
          </w:p>
          <w:p>
            <w:pPr>
              <w:spacing w:after="60"/>
              <w:rPr>
                <w:noProof/>
              </w:rPr>
            </w:pPr>
          </w:p>
          <w:p>
            <w:pPr>
              <w:spacing w:after="60"/>
              <w:rPr>
                <w:noProof/>
              </w:rPr>
            </w:pPr>
            <w:r>
              <w:rPr>
                <w:bCs/>
                <w:iCs/>
                <w:noProof/>
              </w:rPr>
              <w:t>13 04 60 — Cohesion Fund — Investment for growth and jobs goal</w:t>
            </w:r>
          </w:p>
        </w:tc>
        <w:tc>
          <w:tcPr>
            <w:tcW w:w="1080" w:type="dxa"/>
            <w:vAlign w:val="center"/>
          </w:tcPr>
          <w:p>
            <w:pPr>
              <w:jc w:val="center"/>
              <w:rPr>
                <w:noProof/>
              </w:rPr>
            </w:pPr>
            <w:r>
              <w:rPr>
                <w:noProof/>
              </w:rPr>
              <w:t>Diff.</w:t>
            </w:r>
          </w:p>
        </w:tc>
        <w:tc>
          <w:tcPr>
            <w:tcW w:w="956" w:type="dxa"/>
            <w:vAlign w:val="center"/>
          </w:tcPr>
          <w:p>
            <w:pPr>
              <w:jc w:val="center"/>
              <w:rPr>
                <w:noProof/>
              </w:rPr>
            </w:pPr>
            <w:r>
              <w:rPr>
                <w:noProof/>
              </w:rPr>
              <w:t>NO</w:t>
            </w:r>
          </w:p>
        </w:tc>
        <w:tc>
          <w:tcPr>
            <w:tcW w:w="1080" w:type="dxa"/>
            <w:vAlign w:val="center"/>
          </w:tcPr>
          <w:p>
            <w:pPr>
              <w:jc w:val="center"/>
              <w:rPr>
                <w:noProof/>
              </w:rPr>
            </w:pPr>
            <w:r>
              <w:rPr>
                <w:noProof/>
              </w:rPr>
              <w:t>NO</w:t>
            </w:r>
          </w:p>
        </w:tc>
        <w:tc>
          <w:tcPr>
            <w:tcW w:w="956" w:type="dxa"/>
            <w:vAlign w:val="center"/>
          </w:tcPr>
          <w:p>
            <w:pPr>
              <w:jc w:val="center"/>
              <w:rPr>
                <w:noProof/>
              </w:rPr>
            </w:pPr>
            <w:r>
              <w:rPr>
                <w:noProof/>
              </w:rPr>
              <w:t>NO</w:t>
            </w:r>
          </w:p>
        </w:tc>
        <w:tc>
          <w:tcPr>
            <w:tcW w:w="1448" w:type="dxa"/>
            <w:vAlign w:val="center"/>
          </w:tcPr>
          <w:p>
            <w:pPr>
              <w:jc w:val="center"/>
              <w:rPr>
                <w:noProof/>
              </w:rPr>
            </w:pPr>
            <w:r>
              <w:rPr>
                <w:noProof/>
              </w:rPr>
              <w:t>NO</w:t>
            </w:r>
          </w:p>
        </w:tc>
      </w:tr>
    </w:tbl>
    <w:p>
      <w:pPr>
        <w:rPr>
          <w:noProof/>
        </w:rPr>
      </w:pPr>
    </w:p>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rPr>
              <w:br/>
            </w:r>
            <w:r>
              <w:rPr>
                <w:noProof/>
                <w:sz w:val="20"/>
              </w:rPr>
              <w:t>[Heading………………………………………]</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rPr>
            </w:pPr>
          </w:p>
        </w:tc>
        <w:tc>
          <w:tcPr>
            <w:tcW w:w="956" w:type="dxa"/>
            <w:vAlign w:val="center"/>
          </w:tcPr>
          <w:p>
            <w:pPr>
              <w:jc w:val="center"/>
              <w:rPr>
                <w:noProof/>
              </w:rPr>
            </w:pPr>
            <w:r>
              <w:rPr>
                <w:noProof/>
              </w:rPr>
              <w:t>YES/NO</w:t>
            </w:r>
          </w:p>
        </w:tc>
        <w:tc>
          <w:tcPr>
            <w:tcW w:w="1080" w:type="dxa"/>
            <w:vAlign w:val="center"/>
          </w:tcPr>
          <w:p>
            <w:pPr>
              <w:jc w:val="center"/>
              <w:rPr>
                <w:noProof/>
                <w:sz w:val="18"/>
              </w:rPr>
            </w:pPr>
            <w:r>
              <w:rPr>
                <w:noProof/>
              </w:rPr>
              <w:t>YES/NO</w:t>
            </w:r>
          </w:p>
        </w:tc>
        <w:tc>
          <w:tcPr>
            <w:tcW w:w="956" w:type="dxa"/>
            <w:vAlign w:val="center"/>
          </w:tcPr>
          <w:p>
            <w:pPr>
              <w:jc w:val="center"/>
              <w:rPr>
                <w:noProof/>
                <w:sz w:val="18"/>
              </w:rPr>
            </w:pPr>
            <w:r>
              <w:rPr>
                <w:noProof/>
              </w:rPr>
              <w:t>YES/NO</w:t>
            </w:r>
          </w:p>
        </w:tc>
        <w:tc>
          <w:tcPr>
            <w:tcW w:w="1448" w:type="dxa"/>
            <w:vAlign w:val="center"/>
          </w:tcPr>
          <w:p>
            <w:pPr>
              <w:jc w:val="center"/>
              <w:rPr>
                <w:noProof/>
              </w:rPr>
            </w:pPr>
            <w:r>
              <w:rPr>
                <w:noProof/>
              </w:rPr>
              <w:t>YES/NO</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Estimated impact on expenditure </w:t>
      </w:r>
    </w:p>
    <w:p>
      <w:pPr>
        <w:rPr>
          <w:noProof/>
        </w:rPr>
      </w:pPr>
      <w:r>
        <w:rPr>
          <w:noProof/>
        </w:rPr>
        <w:t xml:space="preserve">For both commitment and payment appropriations, the proposed modification will imply changes to the title economic, social and territorial cohesion of the Multiannual Financial Framework (MFF) 2014-2020.  </w:t>
      </w:r>
    </w:p>
    <w:p>
      <w:pPr>
        <w:rPr>
          <w:noProof/>
        </w:rPr>
      </w:pPr>
      <w:r>
        <w:rPr>
          <w:noProof/>
        </w:rPr>
        <w:t>First, as regards commitment appropriations, the resources for economic, social and territorial cohesion available for budgetary commitment for the period 2017 - 2020 will increase by EUR 5 841 600 033  in current prices. Out of the total, EUR 14 200 000 000 represents the specific allocation for the YEI.</w:t>
      </w:r>
    </w:p>
    <w:p>
      <w:pPr>
        <w:pStyle w:val="Text1"/>
        <w:ind w:left="0"/>
        <w:rPr>
          <w:noProof/>
        </w:rPr>
      </w:pPr>
      <w:r>
        <w:rPr>
          <w:noProof/>
        </w:rPr>
        <w:t>Second, as regards  payment appropriations, the additional needs have been caculated in accordance with the following assumptions:</w:t>
      </w:r>
    </w:p>
    <w:p>
      <w:pPr>
        <w:pStyle w:val="Bullet1"/>
        <w:numPr>
          <w:ilvl w:val="0"/>
          <w:numId w:val="17"/>
        </w:numPr>
        <w:rPr>
          <w:noProof/>
        </w:rPr>
      </w:pPr>
      <w:r>
        <w:rPr>
          <w:noProof/>
        </w:rPr>
        <w:t>Since the adoption of the modified Operational Programmes will be completed only in the second half of 2017, the annual pre-financing needs are included in 2018-2020</w:t>
      </w:r>
    </w:p>
    <w:p>
      <w:pPr>
        <w:pStyle w:val="Bullet1"/>
        <w:rPr>
          <w:noProof/>
        </w:rPr>
      </w:pPr>
      <w:r>
        <w:rPr>
          <w:noProof/>
        </w:rPr>
        <w:t xml:space="preserve">Interim payments linked to the additional resources provided by the Article 7 technical adjustments  are estimated to follow the pattern observed at the beginning of this programming period. </w:t>
      </w:r>
    </w:p>
    <w:p>
      <w:pPr>
        <w:pStyle w:val="Bullet1"/>
        <w:rPr>
          <w:noProof/>
        </w:rPr>
      </w:pPr>
      <w:r>
        <w:rPr>
          <w:noProof/>
        </w:rPr>
        <w:t>Interim payments linked to the YEI specific allocation extension are estimated to follow a faster profile since all administrative bottlenecks are now removed and the implementation on the ground is progressing at a faster pace than for other ESIF.</w:t>
      </w:r>
    </w:p>
    <w:p>
      <w:pPr>
        <w:pStyle w:val="ManualHeading3"/>
        <w:rPr>
          <w:noProof/>
          <w:u w:val="single"/>
        </w:rPr>
      </w:pPr>
      <w:r>
        <w:rPr>
          <w:noProof/>
        </w:rPr>
        <w:t>3.2.1.</w:t>
      </w:r>
      <w:r>
        <w:rPr>
          <w:noProof/>
        </w:rPr>
        <w:tab/>
        <w:t xml:space="preserve">Summary of estimated impact on expenditure </w:t>
      </w:r>
    </w:p>
    <w:p>
      <w:pPr>
        <w:jc w:val="right"/>
        <w:rPr>
          <w:noProof/>
          <w:sz w:val="20"/>
        </w:rPr>
      </w:pPr>
      <w:r>
        <w:rPr>
          <w:noProof/>
          <w:sz w:val="20"/>
        </w:rPr>
        <w:t>EUR million in current prices (to three decimal places)</w:t>
      </w:r>
    </w:p>
    <w:tbl>
      <w:tblPr>
        <w:tblW w:w="0" w:type="auto"/>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 xml:space="preserve">Heading of multiannual financial </w:t>
            </w:r>
            <w:r>
              <w:rPr>
                <w:noProof/>
              </w:rPr>
              <w:br/>
            </w:r>
            <w:r>
              <w:rPr>
                <w:b/>
                <w:noProof/>
              </w:rPr>
              <w:t xml:space="preserve">framework </w:t>
            </w:r>
          </w:p>
        </w:tc>
        <w:tc>
          <w:tcPr>
            <w:tcW w:w="1080" w:type="dxa"/>
            <w:vAlign w:val="center"/>
          </w:tcPr>
          <w:p>
            <w:pPr>
              <w:spacing w:before="60" w:after="60"/>
              <w:jc w:val="center"/>
              <w:rPr>
                <w:noProof/>
              </w:rPr>
            </w:pPr>
            <w:r>
              <w:rPr>
                <w:noProof/>
                <w:sz w:val="22"/>
              </w:rPr>
              <w:t>Number</w:t>
            </w:r>
          </w:p>
          <w:p>
            <w:pPr>
              <w:spacing w:before="60" w:after="60"/>
              <w:jc w:val="center"/>
              <w:rPr>
                <w:noProof/>
              </w:rPr>
            </w:pPr>
            <w:r>
              <w:rPr>
                <w:noProof/>
                <w:sz w:val="22"/>
              </w:rPr>
              <w:t>1</w:t>
            </w:r>
          </w:p>
        </w:tc>
        <w:tc>
          <w:tcPr>
            <w:tcW w:w="7817" w:type="dxa"/>
            <w:vAlign w:val="center"/>
          </w:tcPr>
          <w:p>
            <w:pPr>
              <w:spacing w:before="60" w:after="60"/>
              <w:rPr>
                <w:noProof/>
              </w:rPr>
            </w:pPr>
            <w:r>
              <w:rPr>
                <w:noProof/>
              </w:rPr>
              <w:t>Smart and Inclusive Growth</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DG: </w:t>
            </w:r>
            <w:r>
              <w:rPr>
                <w:noProof/>
              </w:rPr>
              <w:t xml:space="preserve">EMPL, REGIO </w:t>
            </w:r>
          </w:p>
        </w:tc>
        <w:tc>
          <w:tcPr>
            <w:tcW w:w="3119" w:type="dxa"/>
          </w:tcPr>
          <w:p>
            <w:pPr>
              <w:rPr>
                <w:noProof/>
                <w:sz w:val="20"/>
              </w:rPr>
            </w:pPr>
          </w:p>
        </w:tc>
        <w:tc>
          <w:tcPr>
            <w:tcW w:w="425" w:type="dxa"/>
          </w:tcPr>
          <w:p>
            <w:pPr>
              <w:jc w:val="center"/>
              <w:rPr>
                <w:noProof/>
                <w:sz w:val="20"/>
              </w:rPr>
            </w:pPr>
          </w:p>
        </w:tc>
        <w:tc>
          <w:tcPr>
            <w:tcW w:w="709" w:type="dxa"/>
          </w:tcPr>
          <w:p>
            <w:pPr>
              <w:rPr>
                <w:noProof/>
              </w:rPr>
            </w:pPr>
            <w:r>
              <w:rPr>
                <w:noProof/>
              </w:rPr>
              <w:t>2014</w:t>
            </w:r>
          </w:p>
        </w:tc>
        <w:tc>
          <w:tcPr>
            <w:tcW w:w="708" w:type="dxa"/>
          </w:tcPr>
          <w:p>
            <w:pPr>
              <w:rPr>
                <w:noProof/>
              </w:rPr>
            </w:pPr>
            <w:r>
              <w:rPr>
                <w:noProof/>
              </w:rPr>
              <w:t>2015</w:t>
            </w:r>
          </w:p>
        </w:tc>
        <w:tc>
          <w:tcPr>
            <w:tcW w:w="709" w:type="dxa"/>
          </w:tcPr>
          <w:p>
            <w:pPr>
              <w:rPr>
                <w:noProof/>
              </w:rPr>
            </w:pPr>
            <w:r>
              <w:rPr>
                <w:noProof/>
              </w:rPr>
              <w:t>2016</w:t>
            </w:r>
          </w:p>
        </w:tc>
        <w:tc>
          <w:tcPr>
            <w:tcW w:w="1276" w:type="dxa"/>
          </w:tcPr>
          <w:p>
            <w:pPr>
              <w:rPr>
                <w:noProof/>
              </w:rPr>
            </w:pPr>
            <w:r>
              <w:rPr>
                <w:noProof/>
              </w:rPr>
              <w:t>2017</w:t>
            </w:r>
          </w:p>
        </w:tc>
        <w:tc>
          <w:tcPr>
            <w:tcW w:w="1276" w:type="dxa"/>
          </w:tcPr>
          <w:p>
            <w:pPr>
              <w:rPr>
                <w:noProof/>
              </w:rPr>
            </w:pPr>
            <w:r>
              <w:rPr>
                <w:noProof/>
              </w:rPr>
              <w:t>2018</w:t>
            </w:r>
            <w:r>
              <w:rPr>
                <w:rStyle w:val="FootnoteReference"/>
                <w:noProof/>
              </w:rPr>
              <w:footnoteReference w:id="20"/>
            </w:r>
          </w:p>
        </w:tc>
        <w:tc>
          <w:tcPr>
            <w:tcW w:w="1275" w:type="dxa"/>
          </w:tcPr>
          <w:p>
            <w:pPr>
              <w:rPr>
                <w:noProof/>
              </w:rPr>
            </w:pPr>
            <w:r>
              <w:rPr>
                <w:noProof/>
              </w:rPr>
              <w:t>2019</w:t>
            </w:r>
          </w:p>
        </w:tc>
        <w:tc>
          <w:tcPr>
            <w:tcW w:w="1276" w:type="dxa"/>
          </w:tcPr>
          <w:p>
            <w:pPr>
              <w:rPr>
                <w:noProof/>
              </w:rPr>
            </w:pPr>
            <w:r>
              <w:rPr>
                <w:noProof/>
              </w:rPr>
              <w:t>2020</w:t>
            </w:r>
          </w:p>
        </w:tc>
        <w:tc>
          <w:tcPr>
            <w:tcW w:w="1518" w:type="dxa"/>
            <w:vAlign w:val="center"/>
          </w:tcPr>
          <w:p>
            <w:pPr>
              <w:jc w:val="center"/>
              <w:rPr>
                <w:b/>
                <w:noProof/>
                <w:sz w:val="20"/>
              </w:rPr>
            </w:pPr>
            <w:r>
              <w:rPr>
                <w:b/>
                <w:noProof/>
                <w:sz w:val="20"/>
              </w:rPr>
              <w:t>TOTAL</w:t>
            </w:r>
          </w:p>
        </w:tc>
      </w:tr>
      <w:tr>
        <w:trPr>
          <w:trHeight w:val="213"/>
        </w:trPr>
        <w:tc>
          <w:tcPr>
            <w:tcW w:w="5747" w:type="dxa"/>
            <w:gridSpan w:val="3"/>
            <w:vAlign w:val="center"/>
          </w:tcPr>
          <w:p>
            <w:pPr>
              <w:spacing w:before="20" w:after="20"/>
              <w:rPr>
                <w:noProof/>
                <w:sz w:val="21"/>
              </w:rPr>
            </w:pPr>
            <w:r>
              <w:rPr>
                <w:noProof/>
                <w:sz w:val="21"/>
              </w:rPr>
              <w:sym w:font="Wingdings" w:char="F09F"/>
            </w:r>
            <w:r>
              <w:rPr>
                <w:noProof/>
                <w:sz w:val="21"/>
              </w:rPr>
              <w:t xml:space="preserve"> Operational appropriations </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spacing w:before="60"/>
              <w:rPr>
                <w:noProof/>
                <w:sz w:val="21"/>
              </w:rPr>
            </w:pPr>
            <w:r>
              <w:rPr>
                <w:noProof/>
                <w:sz w:val="21"/>
              </w:rPr>
              <w:t>1b: Economic, social and territorial cohesion</w:t>
            </w:r>
          </w:p>
          <w:p>
            <w:pPr>
              <w:spacing w:before="60"/>
              <w:rPr>
                <w:noProof/>
              </w:rPr>
            </w:pPr>
            <w:r>
              <w:rPr>
                <w:noProof/>
                <w:sz w:val="21"/>
              </w:rPr>
              <w:t>European Regional Development Fund, the European Social Fund, the Cohesion Fund</w:t>
            </w:r>
          </w:p>
        </w:tc>
        <w:tc>
          <w:tcPr>
            <w:tcW w:w="3119" w:type="dxa"/>
            <w:vAlign w:val="center"/>
          </w:tcPr>
          <w:p>
            <w:pPr>
              <w:spacing w:before="20" w:after="20"/>
              <w:rPr>
                <w:noProof/>
                <w:sz w:val="18"/>
              </w:rPr>
            </w:pPr>
            <w:r>
              <w:rPr>
                <w:noProof/>
                <w:sz w:val="18"/>
              </w:rPr>
              <w:t xml:space="preserve">Commitments </w:t>
            </w:r>
          </w:p>
          <w:p>
            <w:pPr>
              <w:spacing w:before="20" w:after="20"/>
              <w:rPr>
                <w:noProof/>
                <w:sz w:val="18"/>
              </w:rPr>
            </w:pPr>
          </w:p>
          <w:p>
            <w:pPr>
              <w:spacing w:before="20" w:after="20"/>
              <w:rPr>
                <w:noProof/>
                <w:sz w:val="18"/>
              </w:rPr>
            </w:pPr>
          </w:p>
          <w:p>
            <w:pPr>
              <w:spacing w:after="60"/>
              <w:rPr>
                <w:noProof/>
              </w:rPr>
            </w:pPr>
            <w:r>
              <w:rPr>
                <w:noProof/>
              </w:rPr>
              <w:t>04 02 60 – European Social Fund – Less developed regions -Investment for growth and jobs goal</w:t>
            </w:r>
          </w:p>
          <w:p>
            <w:pPr>
              <w:spacing w:before="20" w:after="20"/>
              <w:rPr>
                <w:noProof/>
                <w:sz w:val="18"/>
              </w:rPr>
            </w:pPr>
          </w:p>
          <w:p>
            <w:pPr>
              <w:spacing w:after="60"/>
              <w:rPr>
                <w:noProof/>
              </w:rPr>
            </w:pPr>
            <w:r>
              <w:rPr>
                <w:noProof/>
              </w:rPr>
              <w:t>04 02 61 – European Social Fund – Transition regions - -Investment for growth and jobs goal</w:t>
            </w:r>
          </w:p>
          <w:p>
            <w:pPr>
              <w:spacing w:before="20" w:after="20"/>
              <w:rPr>
                <w:noProof/>
                <w:sz w:val="18"/>
              </w:rPr>
            </w:pPr>
          </w:p>
          <w:p>
            <w:pPr>
              <w:spacing w:after="60"/>
              <w:rPr>
                <w:noProof/>
              </w:rPr>
            </w:pPr>
            <w:r>
              <w:rPr>
                <w:noProof/>
              </w:rPr>
              <w:t xml:space="preserve">04 02 62 – European Social Fund – More developed regions – Investment for growth and jobs goal </w:t>
            </w:r>
          </w:p>
          <w:p>
            <w:pPr>
              <w:spacing w:after="60"/>
              <w:rPr>
                <w:noProof/>
              </w:rPr>
            </w:pPr>
            <w:r>
              <w:rPr>
                <w:noProof/>
              </w:rPr>
              <w:t>04 02 64 – Youth Employment Initiative (YEI)</w:t>
            </w:r>
          </w:p>
          <w:p>
            <w:pPr>
              <w:spacing w:before="20" w:after="20"/>
              <w:rPr>
                <w:noProof/>
                <w:sz w:val="18"/>
              </w:rPr>
            </w:pPr>
          </w:p>
          <w:p>
            <w:pPr>
              <w:spacing w:after="60"/>
              <w:rPr>
                <w:noProof/>
              </w:rPr>
            </w:pPr>
            <w:r>
              <w:rPr>
                <w:noProof/>
              </w:rPr>
              <w:t xml:space="preserve">13 03 60 – European regional Development Fund (ERDF) – Less developed regions –Investment for growth and jobs goal </w:t>
            </w:r>
          </w:p>
          <w:p>
            <w:pPr>
              <w:spacing w:before="20" w:after="20"/>
              <w:rPr>
                <w:noProof/>
                <w:sz w:val="18"/>
              </w:rPr>
            </w:pPr>
          </w:p>
          <w:p>
            <w:pPr>
              <w:spacing w:after="60"/>
              <w:rPr>
                <w:noProof/>
              </w:rPr>
            </w:pPr>
            <w:r>
              <w:rPr>
                <w:noProof/>
              </w:rPr>
              <w:t xml:space="preserve">13 03 61 – European Regional Development Fund (ERDF) – Transition regions – Investment for growth and jobs goal </w:t>
            </w:r>
          </w:p>
          <w:p>
            <w:pPr>
              <w:spacing w:after="60"/>
              <w:rPr>
                <w:noProof/>
              </w:rPr>
            </w:pPr>
            <w:r>
              <w:rPr>
                <w:noProof/>
              </w:rPr>
              <w:t xml:space="preserve">13 03 62 – European Regional Development Fund (ERDF) – More developed regions- Investment for growth and jobs goal </w:t>
            </w:r>
          </w:p>
          <w:p>
            <w:pPr>
              <w:spacing w:before="20" w:after="20"/>
              <w:rPr>
                <w:noProof/>
                <w:sz w:val="18"/>
              </w:rPr>
            </w:pPr>
          </w:p>
          <w:p>
            <w:pPr>
              <w:spacing w:after="60"/>
              <w:rPr>
                <w:noProof/>
                <w:sz w:val="18"/>
              </w:rPr>
            </w:pPr>
            <w:r>
              <w:rPr>
                <w:bCs/>
                <w:iCs/>
                <w:noProof/>
              </w:rPr>
              <w:t>13 04 60 — Cohesion Fund — Investment for growth and jobs goal</w:t>
            </w:r>
          </w:p>
          <w:p>
            <w:pPr>
              <w:spacing w:before="20" w:after="20"/>
              <w:rPr>
                <w:noProof/>
                <w:sz w:val="18"/>
              </w:rPr>
            </w:pPr>
          </w:p>
          <w:p>
            <w:pPr>
              <w:spacing w:before="20" w:after="20"/>
              <w:rPr>
                <w:noProof/>
                <w:sz w:val="18"/>
              </w:rPr>
            </w:pPr>
          </w:p>
          <w:p>
            <w:pPr>
              <w:spacing w:before="20" w:after="20"/>
              <w:rPr>
                <w:noProof/>
                <w:sz w:val="18"/>
              </w:rPr>
            </w:pPr>
          </w:p>
        </w:tc>
        <w:tc>
          <w:tcPr>
            <w:tcW w:w="425" w:type="dxa"/>
            <w:vAlign w:val="center"/>
          </w:tcPr>
          <w:p>
            <w:pPr>
              <w:spacing w:before="20" w:after="20"/>
              <w:jc w:val="center"/>
              <w:rPr>
                <w:noProof/>
                <w:sz w:val="14"/>
              </w:rPr>
            </w:pPr>
            <w:r>
              <w:rPr>
                <w:noProof/>
                <w:sz w:val="14"/>
              </w:rPr>
              <w:t>(1)</w:t>
            </w:r>
          </w:p>
        </w:tc>
        <w:tc>
          <w:tcPr>
            <w:tcW w:w="709" w:type="dxa"/>
            <w:vAlign w:val="center"/>
          </w:tcPr>
          <w:p>
            <w:pPr>
              <w:spacing w:before="20" w:after="20"/>
              <w:jc w:val="right"/>
              <w:rPr>
                <w:noProof/>
                <w:sz w:val="20"/>
              </w:rPr>
            </w:pPr>
          </w:p>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 xml:space="preserve">237,320,881 </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251,466,089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87,329,881</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500,000,000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237,320,880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251,466,089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87,329,881</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-26,071,285</w:t>
            </w:r>
          </w:p>
        </w:tc>
        <w:tc>
          <w:tcPr>
            <w:tcW w:w="1276" w:type="dxa"/>
            <w:vAlign w:val="center"/>
          </w:tcPr>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242,067,299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256,495,412</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89,076,479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233,333,333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242,067,299</w:t>
            </w:r>
          </w:p>
          <w:p>
            <w:pPr>
              <w:spacing w:before="20" w:after="20"/>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256,495,411</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89,076,479</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-26,592,711</w:t>
            </w:r>
          </w:p>
        </w:tc>
        <w:tc>
          <w:tcPr>
            <w:tcW w:w="1275" w:type="dxa"/>
            <w:vAlign w:val="center"/>
          </w:tcPr>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 xml:space="preserve">246,908,645 </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261,625,320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90,858,008</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233.333.333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246,908,645</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261,625,320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90,858,009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-27,124,565</w:t>
            </w:r>
          </w:p>
        </w:tc>
        <w:tc>
          <w:tcPr>
            <w:tcW w:w="1276" w:type="dxa"/>
            <w:vAlign w:val="center"/>
          </w:tcPr>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251,846,817</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266,857,826</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92,675,169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233.333.333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251,846,645</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266,857,826</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92,675,168</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-27,667,056</w:t>
            </w:r>
          </w:p>
        </w:tc>
        <w:tc>
          <w:tcPr>
            <w:tcW w:w="1518" w:type="dxa"/>
            <w:vAlign w:val="center"/>
          </w:tcPr>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978,143,642</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1,036,444,647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359,939,537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1,200,000,000</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978,143,642</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1,036,444,646</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359,939,537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-107,455,617</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Payments </w:t>
            </w:r>
          </w:p>
          <w:p>
            <w:pPr>
              <w:spacing w:after="60"/>
              <w:rPr>
                <w:noProof/>
              </w:rPr>
            </w:pPr>
            <w:r>
              <w:rPr>
                <w:noProof/>
              </w:rPr>
              <w:t>04 02 60 – European Social Fund – Less developed regions -Investment for growth and jobs goal</w:t>
            </w:r>
          </w:p>
          <w:p>
            <w:pPr>
              <w:spacing w:after="60"/>
              <w:rPr>
                <w:noProof/>
              </w:rPr>
            </w:pPr>
          </w:p>
          <w:p>
            <w:pPr>
              <w:spacing w:after="60"/>
              <w:rPr>
                <w:noProof/>
              </w:rPr>
            </w:pPr>
            <w:r>
              <w:rPr>
                <w:noProof/>
              </w:rPr>
              <w:t>04 02 61 – European Social Fund – Transition regions - -Investment for growth and jobs goal</w:t>
            </w:r>
          </w:p>
          <w:p>
            <w:pPr>
              <w:spacing w:after="60"/>
              <w:rPr>
                <w:noProof/>
              </w:rPr>
            </w:pPr>
          </w:p>
          <w:p>
            <w:pPr>
              <w:spacing w:after="60"/>
              <w:rPr>
                <w:noProof/>
              </w:rPr>
            </w:pPr>
            <w:r>
              <w:rPr>
                <w:noProof/>
              </w:rPr>
              <w:t xml:space="preserve">04 02 62 – European Social Fund – More developed regions – Investment for growth and jobs goal </w:t>
            </w:r>
          </w:p>
          <w:p>
            <w:pPr>
              <w:spacing w:after="60"/>
              <w:rPr>
                <w:noProof/>
              </w:rPr>
            </w:pPr>
          </w:p>
          <w:p>
            <w:pPr>
              <w:spacing w:after="60"/>
              <w:rPr>
                <w:noProof/>
              </w:rPr>
            </w:pPr>
            <w:r>
              <w:rPr>
                <w:noProof/>
              </w:rPr>
              <w:t>04 02 64 – Youth Employment Initiative (YEI)</w:t>
            </w:r>
          </w:p>
          <w:p>
            <w:pPr>
              <w:spacing w:after="60"/>
              <w:rPr>
                <w:noProof/>
              </w:rPr>
            </w:pPr>
          </w:p>
          <w:p>
            <w:pPr>
              <w:spacing w:after="60"/>
              <w:rPr>
                <w:noProof/>
              </w:rPr>
            </w:pPr>
            <w:r>
              <w:rPr>
                <w:noProof/>
              </w:rPr>
              <w:t xml:space="preserve"> 13 03 60 – European regional Development Fund (ERDF) – Less developed regions –Investment for growth and jobs goal </w:t>
            </w:r>
          </w:p>
          <w:p>
            <w:pPr>
              <w:spacing w:after="60"/>
              <w:rPr>
                <w:noProof/>
              </w:rPr>
            </w:pPr>
          </w:p>
          <w:p>
            <w:pPr>
              <w:spacing w:after="60"/>
              <w:rPr>
                <w:noProof/>
              </w:rPr>
            </w:pPr>
            <w:r>
              <w:rPr>
                <w:noProof/>
              </w:rPr>
              <w:t xml:space="preserve">13 03 61 – European Regional Development Fund (ERDF) – Transition regions – Investment for growth and jobs goal </w:t>
            </w:r>
          </w:p>
          <w:p>
            <w:pPr>
              <w:spacing w:after="60"/>
              <w:rPr>
                <w:noProof/>
              </w:rPr>
            </w:pPr>
          </w:p>
          <w:p>
            <w:pPr>
              <w:spacing w:after="60"/>
              <w:rPr>
                <w:noProof/>
              </w:rPr>
            </w:pPr>
            <w:r>
              <w:rPr>
                <w:noProof/>
              </w:rPr>
              <w:t xml:space="preserve">13 03 62 – European Regional Development Fund (ERDF) – More developed regions- Investment for growth and jobs goal </w:t>
            </w:r>
          </w:p>
          <w:p>
            <w:pPr>
              <w:spacing w:after="60"/>
              <w:rPr>
                <w:noProof/>
              </w:rPr>
            </w:pPr>
          </w:p>
          <w:p>
            <w:pPr>
              <w:spacing w:after="60"/>
              <w:rPr>
                <w:bCs/>
                <w:iCs/>
                <w:noProof/>
              </w:rPr>
            </w:pPr>
            <w:r>
              <w:rPr>
                <w:bCs/>
                <w:iCs/>
                <w:noProof/>
              </w:rPr>
              <w:t>13 03 63 - European Regional Development Fund (ERDF) — Additional allocation for outermost and sparsely populated regions — Investment for growth and jobs goal</w:t>
            </w:r>
          </w:p>
          <w:p>
            <w:pPr>
              <w:spacing w:after="60"/>
              <w:rPr>
                <w:bCs/>
                <w:iCs/>
                <w:noProof/>
              </w:rPr>
            </w:pPr>
          </w:p>
          <w:p>
            <w:pPr>
              <w:spacing w:after="60"/>
              <w:rPr>
                <w:bCs/>
                <w:iCs/>
                <w:noProof/>
              </w:rPr>
            </w:pPr>
            <w:r>
              <w:rPr>
                <w:bCs/>
                <w:iCs/>
                <w:noProof/>
              </w:rPr>
              <w:t>13 03 64 01 - European Regional Development Fund (ERDF) — European territorial cooperation</w:t>
            </w:r>
          </w:p>
          <w:p>
            <w:pPr>
              <w:spacing w:after="60"/>
              <w:rPr>
                <w:bCs/>
                <w:iCs/>
                <w:noProof/>
              </w:rPr>
            </w:pPr>
          </w:p>
          <w:p>
            <w:pPr>
              <w:spacing w:after="60"/>
              <w:rPr>
                <w:noProof/>
                <w:sz w:val="18"/>
              </w:rPr>
            </w:pPr>
            <w:r>
              <w:rPr>
                <w:bCs/>
                <w:iCs/>
                <w:noProof/>
              </w:rPr>
              <w:t>13 04 60 — Cohesion Fund — Investment for growth and jobs goal</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vAlign w:val="center"/>
          </w:tcPr>
          <w:p>
            <w:pPr>
              <w:spacing w:before="20" w:after="20"/>
              <w:rPr>
                <w:noProof/>
                <w:sz w:val="20"/>
              </w:rPr>
            </w:pPr>
          </w:p>
        </w:tc>
        <w:tc>
          <w:tcPr>
            <w:tcW w:w="709" w:type="dxa"/>
            <w:vAlign w:val="center"/>
          </w:tcPr>
          <w:p>
            <w:pPr>
              <w:spacing w:before="20" w:after="20"/>
              <w:rPr>
                <w:noProof/>
                <w:sz w:val="20"/>
              </w:rPr>
            </w:pPr>
          </w:p>
        </w:tc>
        <w:tc>
          <w:tcPr>
            <w:tcW w:w="1276"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85,000,000</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tc>
        <w:tc>
          <w:tcPr>
            <w:tcW w:w="1276"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25,285,013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26,792,094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9,304,437</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220,000,000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25,285,013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26,792,094</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9,304,437</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-2,777,728</w:t>
            </w:r>
          </w:p>
          <w:p>
            <w:pPr>
              <w:spacing w:before="20" w:after="20"/>
              <w:rPr>
                <w:noProof/>
                <w:sz w:val="20"/>
              </w:rPr>
            </w:pPr>
          </w:p>
          <w:p>
            <w:pPr>
              <w:spacing w:before="20" w:after="20"/>
              <w:rPr>
                <w:noProof/>
                <w:sz w:val="20"/>
              </w:rPr>
            </w:pPr>
          </w:p>
        </w:tc>
        <w:tc>
          <w:tcPr>
            <w:tcW w:w="1275"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50,887,923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53,921,033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18,725,854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231,000,000</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50,887,923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53,921,033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18,725,854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-5,590,378</w:t>
            </w:r>
          </w:p>
        </w:tc>
        <w:tc>
          <w:tcPr>
            <w:tcW w:w="1276" w:type="dxa"/>
            <w:vAlign w:val="center"/>
          </w:tcPr>
          <w:p>
            <w:pPr>
              <w:spacing w:before="20" w:after="20"/>
              <w:jc w:val="right"/>
              <w:rPr>
                <w:b/>
                <w:noProof/>
                <w:sz w:val="20"/>
              </w:rPr>
            </w:pPr>
          </w:p>
          <w:p>
            <w:pPr>
              <w:spacing w:before="20" w:after="20"/>
              <w:jc w:val="right"/>
              <w:rPr>
                <w:b/>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108,495,693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114,962,440</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noProof/>
                <w:sz w:val="20"/>
              </w:rPr>
            </w:pPr>
            <w:r>
              <w:rPr>
                <w:noProof/>
                <w:sz w:val="20"/>
              </w:rPr>
              <w:t>39,924,494</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noProof/>
                <w:sz w:val="20"/>
              </w:rPr>
            </w:pPr>
            <w:r>
              <w:rPr>
                <w:noProof/>
                <w:sz w:val="20"/>
              </w:rPr>
              <w:t>349,000,000</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noProof/>
                <w:sz w:val="20"/>
              </w:rPr>
            </w:pPr>
            <w:r>
              <w:rPr>
                <w:noProof/>
                <w:sz w:val="20"/>
              </w:rPr>
              <w:t>108,495,693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114,962,440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39,924,493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-11,918,977</w:t>
            </w:r>
          </w:p>
        </w:tc>
        <w:tc>
          <w:tcPr>
            <w:tcW w:w="1518" w:type="dxa"/>
            <w:vAlign w:val="center"/>
          </w:tcPr>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b/>
                <w:noProof/>
                <w:sz w:val="20"/>
              </w:rPr>
            </w:pPr>
            <w:r>
              <w:rPr>
                <w:b/>
                <w:noProof/>
                <w:sz w:val="20"/>
              </w:rPr>
              <w:t>184,668,629</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center"/>
              <w:rPr>
                <w:b/>
                <w:noProof/>
                <w:sz w:val="20"/>
              </w:rPr>
            </w:pPr>
            <w:r>
              <w:rPr>
                <w:b/>
                <w:noProof/>
                <w:sz w:val="20"/>
              </w:rPr>
              <w:t>195,675,567</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center"/>
              <w:rPr>
                <w:b/>
                <w:noProof/>
                <w:sz w:val="20"/>
              </w:rPr>
            </w:pPr>
            <w:r>
              <w:rPr>
                <w:b/>
                <w:noProof/>
                <w:sz w:val="20"/>
              </w:rPr>
              <w:t>67,954,785</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b/>
                <w:noProof/>
                <w:sz w:val="20"/>
              </w:rPr>
            </w:pPr>
            <w:r>
              <w:rPr>
                <w:b/>
                <w:noProof/>
                <w:sz w:val="20"/>
              </w:rPr>
              <w:t>885,000,000</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184,668,629</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195,675,567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67,954,785</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-20,287,083</w:t>
            </w:r>
          </w:p>
        </w:tc>
      </w:tr>
      <w:tr>
        <w:trPr>
          <w:trHeight w:val="231"/>
        </w:trPr>
        <w:tc>
          <w:tcPr>
            <w:tcW w:w="5747"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21"/>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N/A</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TOTAL appropriations</w:t>
            </w:r>
            <w:r>
              <w:rPr>
                <w:noProof/>
              </w:rPr>
              <w:br/>
            </w:r>
            <w:r>
              <w:rPr>
                <w:b/>
                <w:noProof/>
                <w:sz w:val="22"/>
              </w:rPr>
              <w:t xml:space="preserve">for DG </w:t>
            </w:r>
            <w:r>
              <w:rPr>
                <w:noProof/>
              </w:rPr>
              <w:t xml:space="preserve">EMPL, REGIO </w:t>
            </w:r>
          </w:p>
        </w:tc>
        <w:tc>
          <w:tcPr>
            <w:tcW w:w="3197" w:type="dxa"/>
            <w:gridSpan w:val="2"/>
            <w:vAlign w:val="center"/>
          </w:tcPr>
          <w:p>
            <w:pPr>
              <w:rPr>
                <w:noProof/>
                <w:sz w:val="18"/>
              </w:rPr>
            </w:pPr>
            <w:r>
              <w:rPr>
                <w:noProof/>
                <w:sz w:val="18"/>
              </w:rPr>
              <w:t>Commitments</w:t>
            </w:r>
          </w:p>
        </w:tc>
        <w:tc>
          <w:tcPr>
            <w:tcW w:w="347" w:type="dxa"/>
            <w:vAlign w:val="center"/>
          </w:tcPr>
          <w:p>
            <w:pPr>
              <w:jc w:val="center"/>
              <w:rPr>
                <w:noProof/>
                <w:sz w:val="14"/>
              </w:rPr>
            </w:pPr>
            <w:r>
              <w:rPr>
                <w:noProof/>
                <w:sz w:val="14"/>
              </w:rPr>
              <w:t>=1+1a +3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rPr>
              <w:t>1,626,162,416</w:t>
            </w:r>
          </w:p>
        </w:tc>
        <w:tc>
          <w:tcPr>
            <w:tcW w:w="1276" w:type="dxa"/>
            <w:vAlign w:val="center"/>
          </w:tcPr>
          <w:p>
            <w:pPr>
              <w:spacing w:before="20" w:after="20"/>
              <w:jc w:val="right"/>
              <w:rPr>
                <w:noProof/>
                <w:sz w:val="20"/>
              </w:rPr>
            </w:pPr>
            <w:r>
              <w:rPr>
                <w:noProof/>
                <w:sz w:val="20"/>
              </w:rPr>
              <w:t>1,382,019,001</w:t>
            </w:r>
          </w:p>
        </w:tc>
        <w:tc>
          <w:tcPr>
            <w:tcW w:w="1275" w:type="dxa"/>
            <w:vAlign w:val="center"/>
          </w:tcPr>
          <w:p>
            <w:pPr>
              <w:spacing w:before="20" w:after="20"/>
              <w:jc w:val="right"/>
              <w:rPr>
                <w:noProof/>
                <w:sz w:val="20"/>
              </w:rPr>
            </w:pPr>
            <w:r>
              <w:rPr>
                <w:noProof/>
                <w:sz w:val="20"/>
              </w:rPr>
              <w:t>1,404,992,715</w:t>
            </w:r>
          </w:p>
        </w:tc>
        <w:tc>
          <w:tcPr>
            <w:tcW w:w="1276" w:type="dxa"/>
            <w:vAlign w:val="center"/>
          </w:tcPr>
          <w:p>
            <w:pPr>
              <w:spacing w:before="20" w:after="20"/>
              <w:jc w:val="right"/>
              <w:rPr>
                <w:b/>
                <w:noProof/>
                <w:sz w:val="20"/>
              </w:rPr>
            </w:pPr>
            <w:r>
              <w:rPr>
                <w:noProof/>
                <w:sz w:val="20"/>
              </w:rPr>
              <w:t>1,428,425,901</w:t>
            </w:r>
          </w:p>
        </w:tc>
        <w:tc>
          <w:tcPr>
            <w:tcW w:w="1518" w:type="dxa"/>
            <w:vAlign w:val="center"/>
          </w:tcPr>
          <w:p>
            <w:pPr>
              <w:spacing w:before="20" w:after="20"/>
              <w:jc w:val="right"/>
              <w:rPr>
                <w:b/>
                <w:noProof/>
                <w:sz w:val="20"/>
              </w:rPr>
            </w:pPr>
            <w:r>
              <w:rPr>
                <w:b/>
                <w:noProof/>
                <w:sz w:val="20"/>
              </w:rPr>
              <w:t>5,841,600,033</w:t>
            </w:r>
          </w:p>
        </w:tc>
      </w:tr>
      <w:tr>
        <w:tc>
          <w:tcPr>
            <w:tcW w:w="2203" w:type="dxa"/>
            <w:vMerge/>
          </w:tcPr>
          <w:p>
            <w:pPr>
              <w:rPr>
                <w:noProof/>
                <w:sz w:val="20"/>
              </w:rPr>
            </w:pPr>
          </w:p>
        </w:tc>
        <w:tc>
          <w:tcPr>
            <w:tcW w:w="3197" w:type="dxa"/>
            <w:gridSpan w:val="2"/>
            <w:vAlign w:val="center"/>
          </w:tcPr>
          <w:p>
            <w:pPr>
              <w:rPr>
                <w:noProof/>
                <w:sz w:val="18"/>
              </w:rPr>
            </w:pPr>
            <w:r>
              <w:rPr>
                <w:noProof/>
                <w:sz w:val="18"/>
              </w:rPr>
              <w:t>Payments</w:t>
            </w:r>
          </w:p>
        </w:tc>
        <w:tc>
          <w:tcPr>
            <w:tcW w:w="347" w:type="dxa"/>
            <w:vAlign w:val="center"/>
          </w:tcPr>
          <w:p>
            <w:pPr>
              <w:jc w:val="center"/>
              <w:rPr>
                <w:noProof/>
                <w:sz w:val="14"/>
              </w:rPr>
            </w:pPr>
            <w:r>
              <w:rPr>
                <w:noProof/>
                <w:sz w:val="14"/>
              </w:rPr>
              <w:t>=2+2a</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rPr>
              <w:t>85,000,000</w:t>
            </w:r>
          </w:p>
        </w:tc>
        <w:tc>
          <w:tcPr>
            <w:tcW w:w="1276" w:type="dxa"/>
            <w:vAlign w:val="center"/>
          </w:tcPr>
          <w:p>
            <w:pPr>
              <w:spacing w:before="20" w:after="20"/>
              <w:jc w:val="right"/>
              <w:rPr>
                <w:noProof/>
                <w:sz w:val="20"/>
              </w:rPr>
            </w:pPr>
            <w:r>
              <w:rPr>
                <w:noProof/>
                <w:sz w:val="20"/>
              </w:rPr>
              <w:t>339,985,361</w:t>
            </w:r>
          </w:p>
        </w:tc>
        <w:tc>
          <w:tcPr>
            <w:tcW w:w="1275" w:type="dxa"/>
            <w:vAlign w:val="center"/>
          </w:tcPr>
          <w:p>
            <w:pPr>
              <w:spacing w:before="20" w:after="20"/>
              <w:jc w:val="right"/>
              <w:rPr>
                <w:noProof/>
                <w:sz w:val="20"/>
              </w:rPr>
            </w:pPr>
            <w:r>
              <w:rPr>
                <w:noProof/>
                <w:sz w:val="20"/>
              </w:rPr>
              <w:t>472,479,242</w:t>
            </w:r>
          </w:p>
        </w:tc>
        <w:tc>
          <w:tcPr>
            <w:tcW w:w="1276" w:type="dxa"/>
            <w:vAlign w:val="center"/>
          </w:tcPr>
          <w:p>
            <w:pPr>
              <w:spacing w:before="20" w:after="20"/>
              <w:jc w:val="right"/>
              <w:rPr>
                <w:noProof/>
                <w:sz w:val="20"/>
              </w:rPr>
            </w:pPr>
            <w:r>
              <w:rPr>
                <w:noProof/>
                <w:sz w:val="20"/>
              </w:rPr>
              <w:t>863,846,276</w:t>
            </w:r>
          </w:p>
        </w:tc>
        <w:tc>
          <w:tcPr>
            <w:tcW w:w="1518" w:type="dxa"/>
            <w:vAlign w:val="center"/>
          </w:tcPr>
          <w:p>
            <w:pPr>
              <w:spacing w:before="20" w:after="20"/>
              <w:jc w:val="center"/>
              <w:rPr>
                <w:b/>
                <w:noProof/>
                <w:sz w:val="20"/>
              </w:rPr>
            </w:pPr>
            <w:r>
              <w:rPr>
                <w:b/>
                <w:noProof/>
                <w:sz w:val="20"/>
              </w:rPr>
              <w:t>1,761,310,878</w:t>
            </w:r>
          </w:p>
        </w:tc>
      </w:tr>
    </w:tbl>
    <w:p>
      <w:pPr>
        <w:rPr>
          <w:noProof/>
          <w:sz w:val="16"/>
        </w:rPr>
      </w:pPr>
    </w:p>
    <w:p>
      <w:pPr>
        <w:rPr>
          <w:noProof/>
          <w:sz w:val="16"/>
        </w:rPr>
      </w:pPr>
    </w:p>
    <w:p>
      <w:pPr>
        <w:rPr>
          <w:noProof/>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26"/>
        <w:gridCol w:w="1320"/>
        <w:gridCol w:w="891"/>
        <w:gridCol w:w="1066"/>
        <w:gridCol w:w="1200"/>
        <w:gridCol w:w="480"/>
        <w:gridCol w:w="1173"/>
        <w:gridCol w:w="1214"/>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noProof/>
                <w:sz w:val="20"/>
              </w:rPr>
            </w:pPr>
          </w:p>
        </w:tc>
        <w:tc>
          <w:tcPr>
            <w:tcW w:w="1214"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1026" w:type="dxa"/>
            <w:vAlign w:val="center"/>
          </w:tcPr>
          <w:p>
            <w:pPr>
              <w:spacing w:before="20" w:after="20"/>
              <w:jc w:val="right"/>
              <w:rPr>
                <w:b/>
                <w:noProof/>
                <w:sz w:val="20"/>
              </w:rPr>
            </w:pPr>
            <w:r>
              <w:rPr>
                <w:b/>
                <w:noProof/>
                <w:sz w:val="20"/>
              </w:rPr>
              <w:t>0</w:t>
            </w:r>
          </w:p>
        </w:tc>
        <w:tc>
          <w:tcPr>
            <w:tcW w:w="1320" w:type="dxa"/>
            <w:vAlign w:val="center"/>
          </w:tcPr>
          <w:p>
            <w:pPr>
              <w:spacing w:before="20" w:after="20"/>
              <w:jc w:val="right"/>
              <w:rPr>
                <w:b/>
                <w:noProof/>
                <w:sz w:val="20"/>
              </w:rPr>
            </w:pPr>
            <w:r>
              <w:rPr>
                <w:b/>
                <w:noProof/>
                <w:sz w:val="20"/>
              </w:rPr>
              <w:t>0</w:t>
            </w:r>
          </w:p>
        </w:tc>
        <w:tc>
          <w:tcPr>
            <w:tcW w:w="891" w:type="dxa"/>
            <w:vAlign w:val="center"/>
          </w:tcPr>
          <w:p>
            <w:pPr>
              <w:spacing w:before="20" w:after="20"/>
              <w:jc w:val="right"/>
              <w:rPr>
                <w:b/>
                <w:noProof/>
                <w:sz w:val="20"/>
              </w:rPr>
            </w:pPr>
            <w:r>
              <w:rPr>
                <w:b/>
                <w:noProof/>
                <w:sz w:val="20"/>
              </w:rPr>
              <w:t>0</w:t>
            </w:r>
          </w:p>
        </w:tc>
        <w:tc>
          <w:tcPr>
            <w:tcW w:w="1066" w:type="dxa"/>
            <w:vAlign w:val="center"/>
          </w:tcPr>
          <w:p>
            <w:pPr>
              <w:spacing w:before="20" w:after="20"/>
              <w:jc w:val="right"/>
              <w:rPr>
                <w:b/>
                <w:noProof/>
                <w:sz w:val="20"/>
              </w:rPr>
            </w:pPr>
            <w:r>
              <w:rPr>
                <w:b/>
                <w:noProof/>
                <w:sz w:val="20"/>
              </w:rPr>
              <w:t>0</w:t>
            </w:r>
          </w:p>
        </w:tc>
        <w:tc>
          <w:tcPr>
            <w:tcW w:w="1200" w:type="dxa"/>
            <w:vAlign w:val="center"/>
          </w:tcPr>
          <w:p>
            <w:pPr>
              <w:spacing w:before="20" w:after="20"/>
              <w:jc w:val="right"/>
              <w:rPr>
                <w:b/>
                <w:noProof/>
                <w:sz w:val="20"/>
              </w:rPr>
            </w:pPr>
            <w:r>
              <w:rPr>
                <w:b/>
                <w:noProof/>
                <w:sz w:val="20"/>
              </w:rPr>
              <w:t>0</w:t>
            </w:r>
          </w:p>
        </w:tc>
        <w:tc>
          <w:tcPr>
            <w:tcW w:w="480" w:type="dxa"/>
            <w:vAlign w:val="center"/>
          </w:tcPr>
          <w:p>
            <w:pPr>
              <w:spacing w:before="20" w:after="20"/>
              <w:jc w:val="right"/>
              <w:rPr>
                <w:b/>
                <w:noProof/>
                <w:sz w:val="20"/>
              </w:rPr>
            </w:pPr>
            <w:r>
              <w:rPr>
                <w:b/>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rPr>
              <w:br/>
            </w:r>
            <w:r>
              <w:rPr>
                <w:b/>
                <w:noProof/>
                <w:sz w:val="22"/>
              </w:rPr>
              <w:t>under HEADING 1</w:t>
            </w:r>
            <w:r>
              <w:rPr>
                <w:noProof/>
              </w:rPr>
              <w:br/>
            </w:r>
            <w:r>
              <w:rPr>
                <w:noProof/>
                <w:sz w:val="22"/>
              </w:rP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noProof/>
                <w:sz w:val="20"/>
              </w:rPr>
            </w:pPr>
          </w:p>
        </w:tc>
        <w:tc>
          <w:tcPr>
            <w:tcW w:w="1214" w:type="dxa"/>
            <w:vAlign w:val="center"/>
          </w:tcPr>
          <w:p>
            <w:pPr>
              <w:spacing w:before="20" w:after="20"/>
              <w:jc w:val="right"/>
              <w:rPr>
                <w:b/>
                <w:noProof/>
                <w:sz w:val="20"/>
              </w:rPr>
            </w:pPr>
            <w:r>
              <w:rPr>
                <w:b/>
                <w:noProof/>
                <w:sz w:val="20"/>
              </w:rPr>
              <w:t>0</w:t>
            </w:r>
          </w:p>
        </w:tc>
      </w:tr>
      <w:tr>
        <w:tc>
          <w:tcPr>
            <w:tcW w:w="3960" w:type="dxa"/>
            <w:shd w:val="thinDiagStripe" w:color="C0C0C0" w:fill="auto"/>
          </w:tcPr>
          <w:p>
            <w:pPr>
              <w:rPr>
                <w:noProof/>
                <w:sz w:val="20"/>
              </w:rPr>
            </w:pPr>
          </w:p>
        </w:tc>
        <w:tc>
          <w:tcPr>
            <w:tcW w:w="1440" w:type="dxa"/>
            <w:vAlign w:val="center"/>
          </w:tcPr>
          <w:p>
            <w:pPr>
              <w:rPr>
                <w:noProof/>
                <w:sz w:val="18"/>
              </w:rPr>
            </w:pPr>
          </w:p>
        </w:tc>
        <w:tc>
          <w:tcPr>
            <w:tcW w:w="654" w:type="dxa"/>
            <w:vAlign w:val="center"/>
          </w:tcPr>
          <w:p>
            <w:pPr>
              <w:jc w:val="center"/>
              <w:rPr>
                <w:noProof/>
                <w:sz w:val="14"/>
              </w:rPr>
            </w:pPr>
          </w:p>
        </w:tc>
        <w:tc>
          <w:tcPr>
            <w:tcW w:w="102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b/>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b/>
                <w:noProof/>
                <w:sz w:val="20"/>
              </w:rPr>
            </w:pPr>
          </w:p>
        </w:tc>
        <w:tc>
          <w:tcPr>
            <w:tcW w:w="1214" w:type="dxa"/>
            <w:vAlign w:val="center"/>
          </w:tcPr>
          <w:p>
            <w:pPr>
              <w:spacing w:before="20" w:after="20"/>
              <w:jc w:val="right"/>
              <w:rPr>
                <w:b/>
                <w:noProof/>
                <w:sz w:val="20"/>
              </w:rPr>
            </w:pPr>
          </w:p>
        </w:tc>
      </w:tr>
    </w:tbl>
    <w:p>
      <w:pPr>
        <w:rPr>
          <w:b/>
          <w:noProof/>
          <w:sz w:val="22"/>
          <w:u w:val="single"/>
        </w:rPr>
      </w:pPr>
      <w:r>
        <w:rPr>
          <w:noProof/>
        </w:rPr>
        <w:br/>
      </w:r>
      <w:r>
        <w:rPr>
          <w:noProof/>
        </w:rPr>
        <w:br/>
      </w:r>
    </w:p>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rPr>
              <w:br/>
            </w:r>
            <w:r>
              <w:rPr>
                <w:b/>
                <w:noProof/>
                <w:sz w:val="22"/>
              </w:rPr>
              <w:t>under HEADINGS 1 to 4</w:t>
            </w:r>
            <w:r>
              <w:rPr>
                <w:noProof/>
              </w:rPr>
              <w:br/>
            </w:r>
            <w:r>
              <w:rPr>
                <w:noProof/>
                <w:sz w:val="22"/>
              </w:rPr>
              <w:t>of the multiannual financial framework</w:t>
            </w:r>
            <w:r>
              <w:rPr>
                <w:noProof/>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r>
              <w:rPr>
                <w:b/>
                <w:noProof/>
                <w:sz w:val="20"/>
              </w:rPr>
              <w:t>0</w:t>
            </w:r>
          </w:p>
        </w:tc>
      </w:tr>
    </w:tbl>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Heading of multiannual financial </w:t>
            </w:r>
            <w:r>
              <w:rPr>
                <w:noProof/>
              </w:rPr>
              <w:br/>
            </w:r>
            <w:r>
              <w:rPr>
                <w:b/>
                <w:noProof/>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N</w:t>
            </w:r>
          </w:p>
        </w:tc>
        <w:tc>
          <w:tcPr>
            <w:tcW w:w="868" w:type="dxa"/>
            <w:vAlign w:val="center"/>
          </w:tcPr>
          <w:p>
            <w:pPr>
              <w:jc w:val="center"/>
              <w:rPr>
                <w:noProof/>
                <w:sz w:val="20"/>
              </w:rPr>
            </w:pPr>
            <w:r>
              <w:rPr>
                <w:noProof/>
                <w:sz w:val="20"/>
              </w:rPr>
              <w:t>Year</w:t>
            </w:r>
            <w:r>
              <w:rPr>
                <w:noProof/>
              </w:rPr>
              <w:br/>
            </w:r>
            <w:r>
              <w:rPr>
                <w:b/>
                <w:noProof/>
                <w:sz w:val="20"/>
              </w:rPr>
              <w:t>N+1</w:t>
            </w:r>
          </w:p>
        </w:tc>
        <w:tc>
          <w:tcPr>
            <w:tcW w:w="868" w:type="dxa"/>
            <w:vAlign w:val="center"/>
          </w:tcPr>
          <w:p>
            <w:pPr>
              <w:jc w:val="center"/>
              <w:rPr>
                <w:noProof/>
                <w:sz w:val="20"/>
              </w:rPr>
            </w:pPr>
            <w:r>
              <w:rPr>
                <w:noProof/>
                <w:sz w:val="20"/>
              </w:rPr>
              <w:t>Year</w:t>
            </w:r>
            <w:r>
              <w:rPr>
                <w:noProof/>
              </w:rPr>
              <w:br/>
            </w:r>
            <w:r>
              <w:rPr>
                <w:b/>
                <w:noProof/>
                <w:sz w:val="20"/>
              </w:rPr>
              <w:t>N+2</w:t>
            </w:r>
          </w:p>
        </w:tc>
        <w:tc>
          <w:tcPr>
            <w:tcW w:w="868" w:type="dxa"/>
            <w:vAlign w:val="center"/>
          </w:tcPr>
          <w:p>
            <w:pPr>
              <w:jc w:val="center"/>
              <w:rPr>
                <w:noProof/>
                <w:sz w:val="20"/>
              </w:rPr>
            </w:pPr>
            <w:r>
              <w:rPr>
                <w:noProof/>
                <w:sz w:val="20"/>
              </w:rPr>
              <w:t>Year</w:t>
            </w:r>
            <w:r>
              <w:rPr>
                <w:noProof/>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rPr>
              <w:br/>
            </w:r>
            <w:r>
              <w:rPr>
                <w:b/>
                <w:noProof/>
                <w:sz w:val="22"/>
              </w:rPr>
              <w:t>under HEADING 5</w:t>
            </w:r>
            <w:r>
              <w:rPr>
                <w:noProof/>
              </w:rPr>
              <w:br/>
            </w:r>
            <w:r>
              <w:rPr>
                <w:noProof/>
                <w:sz w:val="22"/>
              </w:rP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N</w:t>
            </w:r>
            <w:r>
              <w:rPr>
                <w:rStyle w:val="FootnoteReference"/>
                <w:b/>
                <w:noProof/>
                <w:sz w:val="20"/>
              </w:rPr>
              <w:footnoteReference w:id="22"/>
            </w:r>
          </w:p>
        </w:tc>
        <w:tc>
          <w:tcPr>
            <w:tcW w:w="868" w:type="dxa"/>
            <w:vAlign w:val="center"/>
          </w:tcPr>
          <w:p>
            <w:pPr>
              <w:jc w:val="center"/>
              <w:rPr>
                <w:noProof/>
                <w:sz w:val="20"/>
              </w:rPr>
            </w:pPr>
            <w:r>
              <w:rPr>
                <w:noProof/>
                <w:sz w:val="20"/>
              </w:rPr>
              <w:t>Year</w:t>
            </w:r>
            <w:r>
              <w:rPr>
                <w:noProof/>
              </w:rPr>
              <w:br/>
            </w:r>
            <w:r>
              <w:rPr>
                <w:b/>
                <w:noProof/>
                <w:sz w:val="20"/>
              </w:rPr>
              <w:t>N+1</w:t>
            </w:r>
          </w:p>
        </w:tc>
        <w:tc>
          <w:tcPr>
            <w:tcW w:w="868" w:type="dxa"/>
            <w:vAlign w:val="center"/>
          </w:tcPr>
          <w:p>
            <w:pPr>
              <w:jc w:val="center"/>
              <w:rPr>
                <w:noProof/>
                <w:sz w:val="20"/>
              </w:rPr>
            </w:pPr>
            <w:r>
              <w:rPr>
                <w:noProof/>
                <w:sz w:val="20"/>
              </w:rPr>
              <w:t>Year</w:t>
            </w:r>
            <w:r>
              <w:rPr>
                <w:noProof/>
              </w:rPr>
              <w:br/>
            </w:r>
            <w:r>
              <w:rPr>
                <w:b/>
                <w:noProof/>
                <w:sz w:val="20"/>
              </w:rPr>
              <w:t>N+2</w:t>
            </w:r>
          </w:p>
        </w:tc>
        <w:tc>
          <w:tcPr>
            <w:tcW w:w="868" w:type="dxa"/>
            <w:vAlign w:val="center"/>
          </w:tcPr>
          <w:p>
            <w:pPr>
              <w:jc w:val="center"/>
              <w:rPr>
                <w:noProof/>
                <w:sz w:val="20"/>
              </w:rPr>
            </w:pPr>
            <w:r>
              <w:rPr>
                <w:noProof/>
                <w:sz w:val="20"/>
              </w:rPr>
              <w:t>Year</w:t>
            </w:r>
            <w:r>
              <w:rPr>
                <w:noProof/>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rPr>
              <w:br/>
            </w:r>
            <w:r>
              <w:rPr>
                <w:b/>
                <w:noProof/>
                <w:sz w:val="22"/>
              </w:rPr>
              <w:t>under HEADINGS 1 to 5</w:t>
            </w:r>
            <w:r>
              <w:rPr>
                <w:noProof/>
              </w:rPr>
              <w:br/>
            </w:r>
            <w:r>
              <w:rPr>
                <w:noProof/>
                <w:sz w:val="22"/>
              </w:rP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7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3"/>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4"/>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7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 xml:space="preserve">N </w:t>
            </w:r>
            <w:r>
              <w:rPr>
                <w:rStyle w:val="FootnoteReference"/>
                <w:b/>
                <w:noProof/>
                <w:sz w:val="16"/>
              </w:rPr>
              <w:footnoteReference w:id="25"/>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6"/>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rPr>
              <w:br/>
            </w:r>
            <w:r>
              <w:rPr>
                <w:b/>
                <w:noProof/>
                <w:sz w:val="16"/>
              </w:rPr>
              <w:t>outside HEADING 5</w:t>
            </w:r>
            <w:r>
              <w:rPr>
                <w:noProof/>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sz w:val="18"/>
        </w:rPr>
        <w:tab/>
      </w:r>
    </w:p>
    <w:p>
      <w:pPr>
        <w:pStyle w:val="ManualHeading4"/>
        <w:rPr>
          <w:bCs/>
          <w:noProof/>
          <w:szCs w:val="24"/>
        </w:rPr>
      </w:pPr>
      <w:r>
        <w:rPr>
          <w:noProof/>
        </w:rPr>
        <w:t>3.2.3.2.</w:t>
      </w:r>
      <w:r>
        <w:rPr>
          <w:noProof/>
        </w:rPr>
        <w:tab/>
        <w:t>Estimated requirements of human resources</w:t>
      </w:r>
    </w:p>
    <w:p>
      <w:pPr>
        <w:pStyle w:val="ListDash1"/>
        <w:rPr>
          <w:noProof/>
        </w:rPr>
      </w:pPr>
      <w:r>
        <w:rPr>
          <w:noProof/>
        </w:rPr>
        <w:sym w:font="Wingdings" w:char="F07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7"/>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8"/>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Compatibility with the current multiannual financial framework </w:t>
      </w:r>
    </w:p>
    <w:p>
      <w:pPr>
        <w:pStyle w:val="ListDash1"/>
        <w:rPr>
          <w:noProof/>
        </w:rPr>
      </w:pPr>
      <w:r>
        <w:rPr>
          <w:noProof/>
        </w:rPr>
        <w:sym w:font="Wingdings" w:char="F07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rPr>
              <w:br/>
            </w:r>
            <w:r>
              <w:rPr>
                <w:b/>
                <w:noProof/>
                <w:sz w:val="20"/>
              </w:rPr>
              <w:t>N</w:t>
            </w:r>
          </w:p>
        </w:tc>
        <w:tc>
          <w:tcPr>
            <w:tcW w:w="964" w:type="dxa"/>
            <w:vAlign w:val="center"/>
          </w:tcPr>
          <w:p>
            <w:pPr>
              <w:jc w:val="center"/>
              <w:rPr>
                <w:noProof/>
                <w:sz w:val="20"/>
              </w:rPr>
            </w:pPr>
            <w:r>
              <w:rPr>
                <w:noProof/>
                <w:sz w:val="20"/>
              </w:rPr>
              <w:t>Year</w:t>
            </w:r>
            <w:r>
              <w:rPr>
                <w:noProof/>
              </w:rPr>
              <w:br/>
            </w:r>
            <w:r>
              <w:rPr>
                <w:b/>
                <w:noProof/>
                <w:sz w:val="20"/>
              </w:rPr>
              <w:t>N+1</w:t>
            </w:r>
          </w:p>
        </w:tc>
        <w:tc>
          <w:tcPr>
            <w:tcW w:w="964" w:type="dxa"/>
            <w:vAlign w:val="center"/>
          </w:tcPr>
          <w:p>
            <w:pPr>
              <w:jc w:val="center"/>
              <w:rPr>
                <w:noProof/>
                <w:sz w:val="20"/>
              </w:rPr>
            </w:pPr>
            <w:r>
              <w:rPr>
                <w:noProof/>
                <w:sz w:val="20"/>
              </w:rPr>
              <w:t>Year</w:t>
            </w:r>
            <w:r>
              <w:rPr>
                <w:noProof/>
              </w:rPr>
              <w:br/>
            </w:r>
            <w:r>
              <w:rPr>
                <w:b/>
                <w:noProof/>
                <w:sz w:val="20"/>
              </w:rPr>
              <w:t>N+2</w:t>
            </w:r>
          </w:p>
        </w:tc>
        <w:tc>
          <w:tcPr>
            <w:tcW w:w="964" w:type="dxa"/>
            <w:vAlign w:val="center"/>
          </w:tcPr>
          <w:p>
            <w:pPr>
              <w:jc w:val="center"/>
              <w:rPr>
                <w:noProof/>
                <w:sz w:val="20"/>
              </w:rPr>
            </w:pPr>
            <w:r>
              <w:rPr>
                <w:noProof/>
                <w:sz w:val="20"/>
              </w:rPr>
              <w:t>Year</w:t>
            </w:r>
            <w:r>
              <w:rPr>
                <w:noProof/>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Estimated impact on revenue </w:t>
      </w:r>
    </w:p>
    <w:p>
      <w:pPr>
        <w:pStyle w:val="ListDash1"/>
        <w:rPr>
          <w:noProof/>
        </w:rPr>
      </w:pPr>
      <w:r>
        <w:rPr>
          <w:noProof/>
        </w:rPr>
        <w:sym w:font="Wingdings" w:char="F07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rPr>
              <w:br/>
            </w:r>
            <w:r>
              <w:rPr>
                <w:b/>
                <w:noProof/>
                <w:sz w:val="18"/>
              </w:rPr>
              <w:t>N</w:t>
            </w:r>
          </w:p>
        </w:tc>
        <w:tc>
          <w:tcPr>
            <w:tcW w:w="900" w:type="dxa"/>
            <w:vAlign w:val="center"/>
          </w:tcPr>
          <w:p>
            <w:pPr>
              <w:jc w:val="center"/>
              <w:rPr>
                <w:noProof/>
                <w:sz w:val="18"/>
              </w:rPr>
            </w:pPr>
            <w:r>
              <w:rPr>
                <w:noProof/>
                <w:sz w:val="18"/>
              </w:rPr>
              <w:t>Year</w:t>
            </w:r>
            <w:r>
              <w:rPr>
                <w:noProof/>
              </w:rPr>
              <w:br/>
            </w:r>
            <w:r>
              <w:rPr>
                <w:b/>
                <w:noProof/>
                <w:sz w:val="18"/>
              </w:rPr>
              <w:t>N+1</w:t>
            </w:r>
          </w:p>
        </w:tc>
        <w:tc>
          <w:tcPr>
            <w:tcW w:w="900" w:type="dxa"/>
            <w:vAlign w:val="center"/>
          </w:tcPr>
          <w:p>
            <w:pPr>
              <w:jc w:val="center"/>
              <w:rPr>
                <w:noProof/>
                <w:sz w:val="18"/>
              </w:rPr>
            </w:pPr>
            <w:r>
              <w:rPr>
                <w:noProof/>
                <w:sz w:val="18"/>
              </w:rPr>
              <w:t>Year</w:t>
            </w:r>
            <w:r>
              <w:rPr>
                <w:noProof/>
              </w:rPr>
              <w:br/>
            </w:r>
            <w:r>
              <w:rPr>
                <w:b/>
                <w:noProof/>
                <w:sz w:val="18"/>
              </w:rPr>
              <w:t>N+2</w:t>
            </w:r>
          </w:p>
        </w:tc>
        <w:tc>
          <w:tcPr>
            <w:tcW w:w="1080" w:type="dxa"/>
            <w:vAlign w:val="center"/>
          </w:tcPr>
          <w:p>
            <w:pPr>
              <w:jc w:val="center"/>
              <w:rPr>
                <w:noProof/>
                <w:sz w:val="18"/>
              </w:rPr>
            </w:pPr>
            <w:r>
              <w:rPr>
                <w:noProof/>
                <w:sz w:val="18"/>
              </w:rPr>
              <w:t>Year</w:t>
            </w:r>
            <w:r>
              <w:rPr>
                <w:noProof/>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Specify the method for calculating the impact on revenue.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Regulation (EU) 2016/2135 of the European Parliament and of the Council of 23 November 2016 amending Regulation (EU) No 1303/2013 as regards certain provisions relating to financial management for certain Member States experiencing or threatened with serious difficulties with respect to their financial stability (OJ L 338, 13.12.2016, p. 34).</w:t>
      </w:r>
    </w:p>
  </w:footnote>
  <w:footnote w:id="3">
    <w:p>
      <w:pPr>
        <w:pStyle w:val="FootnoteText"/>
      </w:pPr>
      <w:r>
        <w:rPr>
          <w:rStyle w:val="FootnoteReference"/>
        </w:rPr>
        <w:footnoteRef/>
      </w:r>
      <w:r>
        <w:tab/>
        <w:t>Commission Implementing Decision (EU) 2016/1941 of 3 November 2016 amending Implementing Decision 2014/190/EU setting out the annual breakdown by Member State of global resources for the European Regional Development Fund, the European Social Fund and the Cohesion Fund under the Investment for growth and jobs goal and the European territorial cooperation goal, the annual breakdown by Member State of resources from the specific allocation for the Youth Employment Initiative together with the list of eligible regions, and the amounts to be transferred from each Member State's Cohesion Fund and Structural Funds allocations to the Connecting Europe Facility and to aid for the most deprived for the period 2014-2020 (notified under document C(2016) 6909) (OJ L 299, 5.11.2016, p. 61).</w:t>
      </w:r>
    </w:p>
  </w:footnote>
  <w:footnote w:id="4">
    <w:p>
      <w:pPr>
        <w:pStyle w:val="FootnoteText"/>
      </w:pPr>
      <w:r>
        <w:rPr>
          <w:rStyle w:val="FootnoteReference"/>
        </w:rPr>
        <w:footnoteRef/>
      </w:r>
      <w:r>
        <w:tab/>
        <w:t>Commission Implementing Decision (EU) 2016/1916 of 27 October 2016 amending Implementing Decision 2014/99/EU setting out the list of regions eligible for funding from the European Regional Development Fund and the European Social Fund and of Member States eligible for funding from the Cohesion Fund for the period 2014-2020 (notified under document C(2016) 6820) (OJ L 296, 1.11.2016, p. 15).</w:t>
      </w:r>
    </w:p>
  </w:footnote>
  <w:footnote w:id="5">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OJ C […], […], p. […].</w:t>
      </w:r>
    </w:p>
  </w:footnote>
  <w:footnote w:id="8">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footnote>
  <w:footnote w:id="9">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0">
    <w:p>
      <w:pPr>
        <w:pStyle w:val="FootnoteText"/>
      </w:pPr>
      <w:r>
        <w:rPr>
          <w:rStyle w:val="FootnoteReference"/>
        </w:rPr>
        <w:footnoteRef/>
      </w:r>
      <w:r>
        <w:tab/>
        <w:t>Communication from the Commission to the Council and the European Parliament - Technical adjustment of the financial framework for 2017 in line with movements in GNI and adjustment of cohesion policy envelopes (COM(2016) 311 of 30 June 2016).</w:t>
      </w:r>
    </w:p>
  </w:footnote>
  <w:footnote w:id="11">
    <w:p>
      <w:pPr>
        <w:pStyle w:val="FootnoteText"/>
      </w:pPr>
      <w:r>
        <w:rPr>
          <w:rStyle w:val="FootnoteReference"/>
        </w:rPr>
        <w:footnoteRef/>
      </w:r>
      <w:r>
        <w:tab/>
        <w:t>Commission Implementing Decision (EU) 2016/1941 of 3 November 2016 amending Implementing Decision 2014/190/EU setting out the annual breakdown by Member State of global resources for the European Regional Development Fund, the European Social Fund and the Cohesion Fund under the Investment for growth and jobs goal and the European territorial cooperation goal, the annual breakdown by Member State of resources from the specific allocation for the Youth Employment Initiative together with the list of eligible regions, and the amounts to be transferred from each Member State's Cohesion Fund and Structural Funds allocations to the Connecting Europe Facility and to aid for the most deprived for the period 2014-2020 (notified under document C(2016) 6909) (OJ L 299, 5.11.2016, p. 61).</w:t>
      </w:r>
    </w:p>
  </w:footnote>
  <w:footnote w:id="12">
    <w:p>
      <w:pPr>
        <w:pStyle w:val="FootnoteText"/>
      </w:pPr>
      <w:r>
        <w:rPr>
          <w:rStyle w:val="FootnoteReference"/>
        </w:rPr>
        <w:footnoteRef/>
      </w:r>
      <w:r>
        <w:tab/>
        <w:t>Council Regulation (EU, Euratom) 2017/1123 of 20 June 2017 amending Regulation (EU, Euratom) No 1311/2013 laying down the multiannual financial framework for the years 2014-2020 (OJ L 163, 24.6.2017, p. 1).</w:t>
      </w:r>
    </w:p>
  </w:footnote>
  <w:footnote w:id="13">
    <w:p>
      <w:pPr>
        <w:pStyle w:val="FootnoteText"/>
      </w:pPr>
      <w:r>
        <w:rPr>
          <w:rStyle w:val="FootnoteReference"/>
        </w:rPr>
        <w:footnoteRef/>
      </w:r>
      <w:r>
        <w:tab/>
        <w:t>Council Regulation (EU, Euratom) 2015/623 of 21 April 2015 amending Regulation (EU, Euratom) No 1311/2013 laying down the multiannual financial framework for the years 2014-2020 (OJ L 103, 22.4.2015, p. 1).</w:t>
      </w:r>
    </w:p>
  </w:footnote>
  <w:footnote w:id="14">
    <w:p>
      <w:pPr>
        <w:pStyle w:val="FootnoteText"/>
        <w:rPr>
          <w:szCs w:val="24"/>
        </w:rPr>
      </w:pPr>
      <w:r>
        <w:rPr>
          <w:rStyle w:val="FootnoteReference"/>
        </w:rPr>
        <w:footnoteRef/>
      </w:r>
      <w:r>
        <w:tab/>
        <w:t>ABM: activity-based management; ABB: activity-based budgeting.</w:t>
      </w:r>
    </w:p>
  </w:footnote>
  <w:footnote w:id="15">
    <w:p>
      <w:pPr>
        <w:pStyle w:val="FootnoteText"/>
        <w:rPr>
          <w:szCs w:val="24"/>
        </w:rPr>
      </w:pPr>
      <w:r>
        <w:rPr>
          <w:rStyle w:val="FootnoteReference"/>
        </w:rPr>
        <w:footnoteRef/>
      </w:r>
      <w:r>
        <w:tab/>
        <w:t>As referred to in Article 54(2)(a) or (b) of the Financial Regulation.</w:t>
      </w:r>
    </w:p>
  </w:footnote>
  <w:footnote w:id="16">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7">
    <w:p>
      <w:pPr>
        <w:pStyle w:val="FootnoteText"/>
        <w:rPr>
          <w:szCs w:val="24"/>
        </w:rPr>
      </w:pPr>
      <w:r>
        <w:rPr>
          <w:rStyle w:val="FootnoteReference"/>
        </w:rPr>
        <w:footnoteRef/>
      </w:r>
      <w:r>
        <w:tab/>
        <w:t>Diff. = Differentiated appropriations / Non-diff. = Non-differentiated appropriations.</w:t>
      </w:r>
    </w:p>
  </w:footnote>
  <w:footnote w:id="18">
    <w:p>
      <w:pPr>
        <w:pStyle w:val="FootnoteText"/>
        <w:rPr>
          <w:szCs w:val="24"/>
        </w:rPr>
      </w:pPr>
      <w:r>
        <w:rPr>
          <w:rStyle w:val="FootnoteReference"/>
        </w:rPr>
        <w:footnoteRef/>
      </w:r>
      <w:r>
        <w:tab/>
        <w:t xml:space="preserve">EFTA: European Free Trade Association. </w:t>
      </w:r>
    </w:p>
  </w:footnote>
  <w:footnote w:id="19">
    <w:p>
      <w:pPr>
        <w:pStyle w:val="FootnoteText"/>
        <w:rPr>
          <w:szCs w:val="24"/>
        </w:rPr>
      </w:pPr>
      <w:r>
        <w:rPr>
          <w:rStyle w:val="FootnoteReference"/>
        </w:rPr>
        <w:footnoteRef/>
      </w:r>
      <w:r>
        <w:tab/>
        <w:t>Candidate countries and, where applicable, potential candidate countries from the Western Balkans.</w:t>
      </w:r>
    </w:p>
  </w:footnote>
  <w:footnote w:id="20">
    <w:p>
      <w:pPr>
        <w:pStyle w:val="FootnoteText"/>
      </w:pPr>
      <w:r>
        <w:rPr>
          <w:rStyle w:val="FootnoteReference"/>
        </w:rPr>
        <w:footnoteRef/>
      </w:r>
      <w:r>
        <w:tab/>
        <w:t>In line with Article 136 of Regulation (EU) No 1303/2013 the pre-financing shall be justified (cleared) with YEI expenditure declared by 31/12/2018.</w:t>
      </w:r>
    </w:p>
  </w:footnote>
  <w:footnote w:id="2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2">
    <w:p>
      <w:pPr>
        <w:pStyle w:val="FootnoteText"/>
        <w:rPr>
          <w:szCs w:val="24"/>
        </w:rPr>
      </w:pPr>
      <w:r>
        <w:rPr>
          <w:rStyle w:val="FootnoteReference"/>
        </w:rPr>
        <w:footnoteRef/>
      </w:r>
      <w:r>
        <w:tab/>
        <w:t>Year N is the year in which implementation of the proposal/initiative starts.</w:t>
      </w:r>
    </w:p>
  </w:footnote>
  <w:footnote w:id="23">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4">
    <w:p>
      <w:pPr>
        <w:pStyle w:val="FootnoteText"/>
        <w:rPr>
          <w:szCs w:val="24"/>
        </w:rPr>
      </w:pPr>
      <w:r>
        <w:rPr>
          <w:rStyle w:val="FootnoteReference"/>
        </w:rPr>
        <w:footnoteRef/>
      </w:r>
      <w:r>
        <w:tab/>
        <w:t xml:space="preserve">As described in point 1.4.2. ‘Specific objective(s)…’ </w:t>
      </w:r>
    </w:p>
  </w:footnote>
  <w:footnote w:id="25">
    <w:p>
      <w:pPr>
        <w:pStyle w:val="FootnoteText"/>
        <w:rPr>
          <w:szCs w:val="24"/>
        </w:rPr>
      </w:pPr>
      <w:r>
        <w:rPr>
          <w:rStyle w:val="FootnoteReference"/>
        </w:rPr>
        <w:footnoteRef/>
      </w:r>
      <w:r>
        <w:tab/>
        <w:t>Year N is the year in which implementation of the proposal/initiative starts.</w:t>
      </w:r>
    </w:p>
  </w:footnote>
  <w:footnote w:id="2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7">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8">
    <w:p>
      <w:pPr>
        <w:pStyle w:val="FootnoteText"/>
        <w:rPr>
          <w:szCs w:val="24"/>
        </w:rPr>
      </w:pPr>
      <w:r>
        <w:rPr>
          <w:rStyle w:val="FootnoteReference"/>
        </w:rPr>
        <w:footnoteRef/>
      </w:r>
      <w:r>
        <w:tab/>
        <w:t>Sub-ceiling for external staff covered by operational appropriations (former ‘BA’ lines).</w:t>
      </w:r>
    </w:p>
  </w:footnote>
  <w:footnote w:id="29">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B608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A4FD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828F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86F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A2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5EE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00D6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C06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8"/>
  </w:num>
  <w:num w:numId="11">
    <w:abstractNumId w:val="17"/>
  </w:num>
  <w:num w:numId="12">
    <w:abstractNumId w:val="13"/>
  </w:num>
  <w:num w:numId="13">
    <w:abstractNumId w:val="25"/>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 w:numId="32">
    <w:abstractNumId w:val="22"/>
  </w:num>
  <w:num w:numId="33">
    <w:abstractNumId w:val="14"/>
  </w:num>
  <w:num w:numId="34">
    <w:abstractNumId w:val="24"/>
  </w:num>
  <w:num w:numId="35">
    <w:abstractNumId w:val="12"/>
  </w:num>
  <w:num w:numId="36">
    <w:abstractNumId w:val="15"/>
  </w:num>
  <w:num w:numId="37">
    <w:abstractNumId w:val="10"/>
  </w:num>
  <w:num w:numId="38">
    <w:abstractNumId w:val="23"/>
  </w:num>
  <w:num w:numId="39">
    <w:abstractNumId w:val="9"/>
  </w:num>
  <w:num w:numId="40">
    <w:abstractNumId w:val="16"/>
  </w:num>
  <w:num w:numId="41">
    <w:abstractNumId w:val="20"/>
  </w:num>
  <w:num w:numId="42">
    <w:abstractNumId w:val="21"/>
  </w:num>
  <w:num w:numId="43">
    <w:abstractNumId w:val="11"/>
  </w:num>
  <w:num w:numId="44">
    <w:abstractNumId w:val="19"/>
  </w:num>
  <w:num w:numId="4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5 09:42: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6F0A5DDFCC34809BE6BFF6B6E269B69"/>
    <w:docVar w:name="LW_CROSSREFERENCE" w:val="&lt;UNUSED&gt;"/>
    <w:docVar w:name="LW_DocType" w:val="COM"/>
    <w:docVar w:name="LW_EMISSION" w:val="5.10.2017"/>
    <w:docVar w:name="LW_EMISSION_ISODATE" w:val="2017-10-05"/>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47"/>
    <w:docVar w:name="LW_REF.II.NEW.CP_YEAR" w:val="2017"/>
    <w:docVar w:name="LW_REF.INST.NEW" w:val="COM"/>
    <w:docVar w:name="LW_REF.INST.NEW_ADOPTED" w:val="final"/>
    <w:docVar w:name="LW_REF.INST.NEW_TEXT" w:val="(2017) 565"/>
    <w:docVar w:name="LW_REF.INTERNE" w:val="&lt;UNUSED&gt;"/>
    <w:docVar w:name="LW_SOUS.TITRE.OBJ.CP" w:val="&lt;UNUSED&gt;"/>
    <w:docVar w:name="LW_STATUT.CP" w:val="Proposal for a"/>
    <w:docVar w:name="LW_SUPERTITRE" w:val="&lt;UNUSED&gt;"/>
    <w:docVar w:name="LW_TITRE.OBJ.CP" w:val="amending Regulation (EU) No 1303/2013 as regards the changes to the resources for economic, social and territorial cohesion and to the resources for the investment for growth and jobs goal and for the European territorial cooperation goa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506">
      <w:bodyDiv w:val="1"/>
      <w:marLeft w:val="0"/>
      <w:marRight w:val="0"/>
      <w:marTop w:val="0"/>
      <w:marBottom w:val="0"/>
      <w:divBdr>
        <w:top w:val="none" w:sz="0" w:space="0" w:color="auto"/>
        <w:left w:val="none" w:sz="0" w:space="0" w:color="auto"/>
        <w:bottom w:val="none" w:sz="0" w:space="0" w:color="auto"/>
        <w:right w:val="none" w:sz="0" w:space="0" w:color="auto"/>
      </w:divBdr>
      <w:divsChild>
        <w:div w:id="1453860283">
          <w:marLeft w:val="0"/>
          <w:marRight w:val="0"/>
          <w:marTop w:val="0"/>
          <w:marBottom w:val="0"/>
          <w:divBdr>
            <w:top w:val="none" w:sz="0" w:space="0" w:color="auto"/>
            <w:left w:val="none" w:sz="0" w:space="0" w:color="auto"/>
            <w:bottom w:val="none" w:sz="0" w:space="0" w:color="auto"/>
            <w:right w:val="none" w:sz="0" w:space="0" w:color="auto"/>
          </w:divBdr>
        </w:div>
      </w:divsChild>
    </w:div>
    <w:div w:id="227881525">
      <w:bodyDiv w:val="1"/>
      <w:marLeft w:val="0"/>
      <w:marRight w:val="0"/>
      <w:marTop w:val="0"/>
      <w:marBottom w:val="0"/>
      <w:divBdr>
        <w:top w:val="none" w:sz="0" w:space="0" w:color="auto"/>
        <w:left w:val="none" w:sz="0" w:space="0" w:color="auto"/>
        <w:bottom w:val="none" w:sz="0" w:space="0" w:color="auto"/>
        <w:right w:val="none" w:sz="0" w:space="0" w:color="auto"/>
      </w:divBdr>
      <w:divsChild>
        <w:div w:id="1778021271">
          <w:marLeft w:val="0"/>
          <w:marRight w:val="0"/>
          <w:marTop w:val="0"/>
          <w:marBottom w:val="0"/>
          <w:divBdr>
            <w:top w:val="none" w:sz="0" w:space="0" w:color="auto"/>
            <w:left w:val="none" w:sz="0" w:space="0" w:color="auto"/>
            <w:bottom w:val="none" w:sz="0" w:space="0" w:color="auto"/>
            <w:right w:val="none" w:sz="0" w:space="0" w:color="auto"/>
          </w:divBdr>
        </w:div>
      </w:divsChild>
    </w:div>
    <w:div w:id="448165128">
      <w:bodyDiv w:val="1"/>
      <w:marLeft w:val="0"/>
      <w:marRight w:val="0"/>
      <w:marTop w:val="0"/>
      <w:marBottom w:val="0"/>
      <w:divBdr>
        <w:top w:val="none" w:sz="0" w:space="0" w:color="auto"/>
        <w:left w:val="none" w:sz="0" w:space="0" w:color="auto"/>
        <w:bottom w:val="none" w:sz="0" w:space="0" w:color="auto"/>
        <w:right w:val="none" w:sz="0" w:space="0" w:color="auto"/>
      </w:divBdr>
      <w:divsChild>
        <w:div w:id="1971157902">
          <w:marLeft w:val="0"/>
          <w:marRight w:val="0"/>
          <w:marTop w:val="0"/>
          <w:marBottom w:val="0"/>
          <w:divBdr>
            <w:top w:val="none" w:sz="0" w:space="0" w:color="auto"/>
            <w:left w:val="none" w:sz="0" w:space="0" w:color="auto"/>
            <w:bottom w:val="none" w:sz="0" w:space="0" w:color="auto"/>
            <w:right w:val="none" w:sz="0" w:space="0" w:color="auto"/>
          </w:divBdr>
        </w:div>
      </w:divsChild>
    </w:div>
    <w:div w:id="676881867">
      <w:bodyDiv w:val="1"/>
      <w:marLeft w:val="0"/>
      <w:marRight w:val="0"/>
      <w:marTop w:val="0"/>
      <w:marBottom w:val="0"/>
      <w:divBdr>
        <w:top w:val="none" w:sz="0" w:space="0" w:color="auto"/>
        <w:left w:val="none" w:sz="0" w:space="0" w:color="auto"/>
        <w:bottom w:val="none" w:sz="0" w:space="0" w:color="auto"/>
        <w:right w:val="none" w:sz="0" w:space="0" w:color="auto"/>
      </w:divBdr>
      <w:divsChild>
        <w:div w:id="727843991">
          <w:marLeft w:val="0"/>
          <w:marRight w:val="0"/>
          <w:marTop w:val="0"/>
          <w:marBottom w:val="0"/>
          <w:divBdr>
            <w:top w:val="none" w:sz="0" w:space="0" w:color="auto"/>
            <w:left w:val="none" w:sz="0" w:space="0" w:color="auto"/>
            <w:bottom w:val="none" w:sz="0" w:space="0" w:color="auto"/>
            <w:right w:val="none" w:sz="0" w:space="0" w:color="auto"/>
          </w:divBdr>
        </w:div>
      </w:divsChild>
    </w:div>
    <w:div w:id="790781615">
      <w:bodyDiv w:val="1"/>
      <w:marLeft w:val="0"/>
      <w:marRight w:val="0"/>
      <w:marTop w:val="0"/>
      <w:marBottom w:val="0"/>
      <w:divBdr>
        <w:top w:val="none" w:sz="0" w:space="0" w:color="auto"/>
        <w:left w:val="none" w:sz="0" w:space="0" w:color="auto"/>
        <w:bottom w:val="none" w:sz="0" w:space="0" w:color="auto"/>
        <w:right w:val="none" w:sz="0" w:space="0" w:color="auto"/>
      </w:divBdr>
      <w:divsChild>
        <w:div w:id="941377238">
          <w:marLeft w:val="0"/>
          <w:marRight w:val="0"/>
          <w:marTop w:val="0"/>
          <w:marBottom w:val="0"/>
          <w:divBdr>
            <w:top w:val="none" w:sz="0" w:space="0" w:color="auto"/>
            <w:left w:val="none" w:sz="0" w:space="0" w:color="auto"/>
            <w:bottom w:val="none" w:sz="0" w:space="0" w:color="auto"/>
            <w:right w:val="none" w:sz="0" w:space="0" w:color="auto"/>
          </w:divBdr>
        </w:div>
      </w:divsChild>
    </w:div>
    <w:div w:id="986514969">
      <w:bodyDiv w:val="1"/>
      <w:marLeft w:val="0"/>
      <w:marRight w:val="0"/>
      <w:marTop w:val="0"/>
      <w:marBottom w:val="0"/>
      <w:divBdr>
        <w:top w:val="none" w:sz="0" w:space="0" w:color="auto"/>
        <w:left w:val="none" w:sz="0" w:space="0" w:color="auto"/>
        <w:bottom w:val="none" w:sz="0" w:space="0" w:color="auto"/>
        <w:right w:val="none" w:sz="0" w:space="0" w:color="auto"/>
      </w:divBdr>
      <w:divsChild>
        <w:div w:id="1066142732">
          <w:marLeft w:val="0"/>
          <w:marRight w:val="0"/>
          <w:marTop w:val="0"/>
          <w:marBottom w:val="0"/>
          <w:divBdr>
            <w:top w:val="none" w:sz="0" w:space="0" w:color="auto"/>
            <w:left w:val="none" w:sz="0" w:space="0" w:color="auto"/>
            <w:bottom w:val="none" w:sz="0" w:space="0" w:color="auto"/>
            <w:right w:val="none" w:sz="0" w:space="0" w:color="auto"/>
          </w:divBdr>
          <w:divsChild>
            <w:div w:id="776481600">
              <w:marLeft w:val="0"/>
              <w:marRight w:val="0"/>
              <w:marTop w:val="0"/>
              <w:marBottom w:val="0"/>
              <w:divBdr>
                <w:top w:val="none" w:sz="0" w:space="0" w:color="auto"/>
                <w:left w:val="none" w:sz="0" w:space="0" w:color="auto"/>
                <w:bottom w:val="none" w:sz="0" w:space="0" w:color="auto"/>
                <w:right w:val="none" w:sz="0" w:space="0" w:color="auto"/>
              </w:divBdr>
              <w:divsChild>
                <w:div w:id="786436942">
                  <w:marLeft w:val="0"/>
                  <w:marRight w:val="0"/>
                  <w:marTop w:val="0"/>
                  <w:marBottom w:val="0"/>
                  <w:divBdr>
                    <w:top w:val="none" w:sz="0" w:space="0" w:color="auto"/>
                    <w:left w:val="none" w:sz="0" w:space="0" w:color="auto"/>
                    <w:bottom w:val="none" w:sz="0" w:space="0" w:color="auto"/>
                    <w:right w:val="none" w:sz="0" w:space="0" w:color="auto"/>
                  </w:divBdr>
                  <w:divsChild>
                    <w:div w:id="347563230">
                      <w:marLeft w:val="1"/>
                      <w:marRight w:val="1"/>
                      <w:marTop w:val="0"/>
                      <w:marBottom w:val="0"/>
                      <w:divBdr>
                        <w:top w:val="none" w:sz="0" w:space="0" w:color="auto"/>
                        <w:left w:val="none" w:sz="0" w:space="0" w:color="auto"/>
                        <w:bottom w:val="none" w:sz="0" w:space="0" w:color="auto"/>
                        <w:right w:val="none" w:sz="0" w:space="0" w:color="auto"/>
                      </w:divBdr>
                      <w:divsChild>
                        <w:div w:id="1269923262">
                          <w:marLeft w:val="0"/>
                          <w:marRight w:val="0"/>
                          <w:marTop w:val="0"/>
                          <w:marBottom w:val="0"/>
                          <w:divBdr>
                            <w:top w:val="none" w:sz="0" w:space="0" w:color="auto"/>
                            <w:left w:val="none" w:sz="0" w:space="0" w:color="auto"/>
                            <w:bottom w:val="none" w:sz="0" w:space="0" w:color="auto"/>
                            <w:right w:val="none" w:sz="0" w:space="0" w:color="auto"/>
                          </w:divBdr>
                          <w:divsChild>
                            <w:div w:id="1612667735">
                              <w:marLeft w:val="0"/>
                              <w:marRight w:val="0"/>
                              <w:marTop w:val="0"/>
                              <w:marBottom w:val="360"/>
                              <w:divBdr>
                                <w:top w:val="none" w:sz="0" w:space="0" w:color="auto"/>
                                <w:left w:val="none" w:sz="0" w:space="0" w:color="auto"/>
                                <w:bottom w:val="none" w:sz="0" w:space="0" w:color="auto"/>
                                <w:right w:val="none" w:sz="0" w:space="0" w:color="auto"/>
                              </w:divBdr>
                              <w:divsChild>
                                <w:div w:id="140390823">
                                  <w:marLeft w:val="0"/>
                                  <w:marRight w:val="0"/>
                                  <w:marTop w:val="0"/>
                                  <w:marBottom w:val="0"/>
                                  <w:divBdr>
                                    <w:top w:val="none" w:sz="0" w:space="0" w:color="auto"/>
                                    <w:left w:val="none" w:sz="0" w:space="0" w:color="auto"/>
                                    <w:bottom w:val="none" w:sz="0" w:space="0" w:color="auto"/>
                                    <w:right w:val="none" w:sz="0" w:space="0" w:color="auto"/>
                                  </w:divBdr>
                                  <w:divsChild>
                                    <w:div w:id="1458374493">
                                      <w:marLeft w:val="0"/>
                                      <w:marRight w:val="0"/>
                                      <w:marTop w:val="0"/>
                                      <w:marBottom w:val="0"/>
                                      <w:divBdr>
                                        <w:top w:val="none" w:sz="0" w:space="0" w:color="auto"/>
                                        <w:left w:val="none" w:sz="0" w:space="0" w:color="auto"/>
                                        <w:bottom w:val="none" w:sz="0" w:space="0" w:color="auto"/>
                                        <w:right w:val="none" w:sz="0" w:space="0" w:color="auto"/>
                                      </w:divBdr>
                                      <w:divsChild>
                                        <w:div w:id="1773624652">
                                          <w:marLeft w:val="0"/>
                                          <w:marRight w:val="0"/>
                                          <w:marTop w:val="0"/>
                                          <w:marBottom w:val="0"/>
                                          <w:divBdr>
                                            <w:top w:val="none" w:sz="0" w:space="0" w:color="auto"/>
                                            <w:left w:val="none" w:sz="0" w:space="0" w:color="auto"/>
                                            <w:bottom w:val="none" w:sz="0" w:space="0" w:color="auto"/>
                                            <w:right w:val="none" w:sz="0" w:space="0" w:color="auto"/>
                                          </w:divBdr>
                                          <w:divsChild>
                                            <w:div w:id="348921227">
                                              <w:marLeft w:val="0"/>
                                              <w:marRight w:val="0"/>
                                              <w:marTop w:val="0"/>
                                              <w:marBottom w:val="0"/>
                                              <w:divBdr>
                                                <w:top w:val="none" w:sz="0" w:space="0" w:color="auto"/>
                                                <w:left w:val="none" w:sz="0" w:space="0" w:color="auto"/>
                                                <w:bottom w:val="none" w:sz="0" w:space="0" w:color="auto"/>
                                                <w:right w:val="none" w:sz="0" w:space="0" w:color="auto"/>
                                              </w:divBdr>
                                              <w:divsChild>
                                                <w:div w:id="5239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791">
      <w:bodyDiv w:val="1"/>
      <w:marLeft w:val="0"/>
      <w:marRight w:val="0"/>
      <w:marTop w:val="0"/>
      <w:marBottom w:val="0"/>
      <w:divBdr>
        <w:top w:val="none" w:sz="0" w:space="0" w:color="auto"/>
        <w:left w:val="none" w:sz="0" w:space="0" w:color="auto"/>
        <w:bottom w:val="none" w:sz="0" w:space="0" w:color="auto"/>
        <w:right w:val="none" w:sz="0" w:space="0" w:color="auto"/>
      </w:divBdr>
      <w:divsChild>
        <w:div w:id="140972235">
          <w:marLeft w:val="0"/>
          <w:marRight w:val="0"/>
          <w:marTop w:val="0"/>
          <w:marBottom w:val="0"/>
          <w:divBdr>
            <w:top w:val="none" w:sz="0" w:space="0" w:color="auto"/>
            <w:left w:val="none" w:sz="0" w:space="0" w:color="auto"/>
            <w:bottom w:val="none" w:sz="0" w:space="0" w:color="auto"/>
            <w:right w:val="none" w:sz="0" w:space="0" w:color="auto"/>
          </w:divBdr>
          <w:divsChild>
            <w:div w:id="1057704275">
              <w:marLeft w:val="0"/>
              <w:marRight w:val="0"/>
              <w:marTop w:val="0"/>
              <w:marBottom w:val="0"/>
              <w:divBdr>
                <w:top w:val="none" w:sz="0" w:space="0" w:color="auto"/>
                <w:left w:val="none" w:sz="0" w:space="0" w:color="auto"/>
                <w:bottom w:val="none" w:sz="0" w:space="0" w:color="auto"/>
                <w:right w:val="none" w:sz="0" w:space="0" w:color="auto"/>
              </w:divBdr>
              <w:divsChild>
                <w:div w:id="359742476">
                  <w:marLeft w:val="0"/>
                  <w:marRight w:val="0"/>
                  <w:marTop w:val="0"/>
                  <w:marBottom w:val="0"/>
                  <w:divBdr>
                    <w:top w:val="none" w:sz="0" w:space="0" w:color="auto"/>
                    <w:left w:val="none" w:sz="0" w:space="0" w:color="auto"/>
                    <w:bottom w:val="none" w:sz="0" w:space="0" w:color="auto"/>
                    <w:right w:val="none" w:sz="0" w:space="0" w:color="auto"/>
                  </w:divBdr>
                  <w:divsChild>
                    <w:div w:id="981694903">
                      <w:marLeft w:val="1"/>
                      <w:marRight w:val="1"/>
                      <w:marTop w:val="0"/>
                      <w:marBottom w:val="0"/>
                      <w:divBdr>
                        <w:top w:val="none" w:sz="0" w:space="0" w:color="auto"/>
                        <w:left w:val="none" w:sz="0" w:space="0" w:color="auto"/>
                        <w:bottom w:val="none" w:sz="0" w:space="0" w:color="auto"/>
                        <w:right w:val="none" w:sz="0" w:space="0" w:color="auto"/>
                      </w:divBdr>
                      <w:divsChild>
                        <w:div w:id="288365808">
                          <w:marLeft w:val="0"/>
                          <w:marRight w:val="0"/>
                          <w:marTop w:val="0"/>
                          <w:marBottom w:val="0"/>
                          <w:divBdr>
                            <w:top w:val="none" w:sz="0" w:space="0" w:color="auto"/>
                            <w:left w:val="none" w:sz="0" w:space="0" w:color="auto"/>
                            <w:bottom w:val="none" w:sz="0" w:space="0" w:color="auto"/>
                            <w:right w:val="none" w:sz="0" w:space="0" w:color="auto"/>
                          </w:divBdr>
                          <w:divsChild>
                            <w:div w:id="1465733293">
                              <w:marLeft w:val="0"/>
                              <w:marRight w:val="0"/>
                              <w:marTop w:val="0"/>
                              <w:marBottom w:val="360"/>
                              <w:divBdr>
                                <w:top w:val="none" w:sz="0" w:space="0" w:color="auto"/>
                                <w:left w:val="none" w:sz="0" w:space="0" w:color="auto"/>
                                <w:bottom w:val="none" w:sz="0" w:space="0" w:color="auto"/>
                                <w:right w:val="none" w:sz="0" w:space="0" w:color="auto"/>
                              </w:divBdr>
                              <w:divsChild>
                                <w:div w:id="108625414">
                                  <w:marLeft w:val="0"/>
                                  <w:marRight w:val="0"/>
                                  <w:marTop w:val="0"/>
                                  <w:marBottom w:val="0"/>
                                  <w:divBdr>
                                    <w:top w:val="none" w:sz="0" w:space="0" w:color="auto"/>
                                    <w:left w:val="none" w:sz="0" w:space="0" w:color="auto"/>
                                    <w:bottom w:val="none" w:sz="0" w:space="0" w:color="auto"/>
                                    <w:right w:val="none" w:sz="0" w:space="0" w:color="auto"/>
                                  </w:divBdr>
                                  <w:divsChild>
                                    <w:div w:id="1030883539">
                                      <w:marLeft w:val="0"/>
                                      <w:marRight w:val="0"/>
                                      <w:marTop w:val="0"/>
                                      <w:marBottom w:val="0"/>
                                      <w:divBdr>
                                        <w:top w:val="none" w:sz="0" w:space="0" w:color="auto"/>
                                        <w:left w:val="none" w:sz="0" w:space="0" w:color="auto"/>
                                        <w:bottom w:val="none" w:sz="0" w:space="0" w:color="auto"/>
                                        <w:right w:val="none" w:sz="0" w:space="0" w:color="auto"/>
                                      </w:divBdr>
                                      <w:divsChild>
                                        <w:div w:id="1317951803">
                                          <w:marLeft w:val="0"/>
                                          <w:marRight w:val="0"/>
                                          <w:marTop w:val="0"/>
                                          <w:marBottom w:val="0"/>
                                          <w:divBdr>
                                            <w:top w:val="none" w:sz="0" w:space="0" w:color="auto"/>
                                            <w:left w:val="none" w:sz="0" w:space="0" w:color="auto"/>
                                            <w:bottom w:val="none" w:sz="0" w:space="0" w:color="auto"/>
                                            <w:right w:val="none" w:sz="0" w:space="0" w:color="auto"/>
                                          </w:divBdr>
                                          <w:divsChild>
                                            <w:div w:id="731662566">
                                              <w:marLeft w:val="0"/>
                                              <w:marRight w:val="0"/>
                                              <w:marTop w:val="0"/>
                                              <w:marBottom w:val="0"/>
                                              <w:divBdr>
                                                <w:top w:val="none" w:sz="0" w:space="0" w:color="auto"/>
                                                <w:left w:val="none" w:sz="0" w:space="0" w:color="auto"/>
                                                <w:bottom w:val="none" w:sz="0" w:space="0" w:color="auto"/>
                                                <w:right w:val="none" w:sz="0" w:space="0" w:color="auto"/>
                                              </w:divBdr>
                                              <w:divsChild>
                                                <w:div w:id="151607660">
                                                  <w:marLeft w:val="0"/>
                                                  <w:marRight w:val="0"/>
                                                  <w:marTop w:val="0"/>
                                                  <w:marBottom w:val="0"/>
                                                  <w:divBdr>
                                                    <w:top w:val="none" w:sz="0" w:space="0" w:color="auto"/>
                                                    <w:left w:val="none" w:sz="0" w:space="0" w:color="auto"/>
                                                    <w:bottom w:val="none" w:sz="0" w:space="0" w:color="auto"/>
                                                    <w:right w:val="none" w:sz="0" w:space="0" w:color="auto"/>
                                                  </w:divBdr>
                                                  <w:divsChild>
                                                    <w:div w:id="1775515992">
                                                      <w:marLeft w:val="0"/>
                                                      <w:marRight w:val="0"/>
                                                      <w:marTop w:val="0"/>
                                                      <w:marBottom w:val="0"/>
                                                      <w:divBdr>
                                                        <w:top w:val="none" w:sz="0" w:space="0" w:color="auto"/>
                                                        <w:left w:val="none" w:sz="0" w:space="0" w:color="auto"/>
                                                        <w:bottom w:val="none" w:sz="0" w:space="0" w:color="auto"/>
                                                        <w:right w:val="none" w:sz="0" w:space="0" w:color="auto"/>
                                                      </w:divBdr>
                                                      <w:divsChild>
                                                        <w:div w:id="2077318096">
                                                          <w:marLeft w:val="0"/>
                                                          <w:marRight w:val="0"/>
                                                          <w:marTop w:val="0"/>
                                                          <w:marBottom w:val="0"/>
                                                          <w:divBdr>
                                                            <w:top w:val="none" w:sz="0" w:space="0" w:color="auto"/>
                                                            <w:left w:val="none" w:sz="0" w:space="0" w:color="auto"/>
                                                            <w:bottom w:val="none" w:sz="0" w:space="0" w:color="auto"/>
                                                            <w:right w:val="none" w:sz="0" w:space="0" w:color="auto"/>
                                                          </w:divBdr>
                                                          <w:divsChild>
                                                            <w:div w:id="10231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564715">
      <w:bodyDiv w:val="1"/>
      <w:marLeft w:val="0"/>
      <w:marRight w:val="0"/>
      <w:marTop w:val="0"/>
      <w:marBottom w:val="0"/>
      <w:divBdr>
        <w:top w:val="none" w:sz="0" w:space="0" w:color="auto"/>
        <w:left w:val="none" w:sz="0" w:space="0" w:color="auto"/>
        <w:bottom w:val="none" w:sz="0" w:space="0" w:color="auto"/>
        <w:right w:val="none" w:sz="0" w:space="0" w:color="auto"/>
      </w:divBdr>
      <w:divsChild>
        <w:div w:id="414523516">
          <w:marLeft w:val="0"/>
          <w:marRight w:val="0"/>
          <w:marTop w:val="0"/>
          <w:marBottom w:val="0"/>
          <w:divBdr>
            <w:top w:val="none" w:sz="0" w:space="0" w:color="auto"/>
            <w:left w:val="none" w:sz="0" w:space="0" w:color="auto"/>
            <w:bottom w:val="none" w:sz="0" w:space="0" w:color="auto"/>
            <w:right w:val="none" w:sz="0" w:space="0" w:color="auto"/>
          </w:divBdr>
        </w:div>
      </w:divsChild>
    </w:div>
    <w:div w:id="1602494971">
      <w:bodyDiv w:val="1"/>
      <w:marLeft w:val="0"/>
      <w:marRight w:val="0"/>
      <w:marTop w:val="0"/>
      <w:marBottom w:val="0"/>
      <w:divBdr>
        <w:top w:val="none" w:sz="0" w:space="0" w:color="auto"/>
        <w:left w:val="none" w:sz="0" w:space="0" w:color="auto"/>
        <w:bottom w:val="none" w:sz="0" w:space="0" w:color="auto"/>
        <w:right w:val="none" w:sz="0" w:space="0" w:color="auto"/>
      </w:divBdr>
      <w:divsChild>
        <w:div w:id="1915699597">
          <w:marLeft w:val="0"/>
          <w:marRight w:val="0"/>
          <w:marTop w:val="0"/>
          <w:marBottom w:val="0"/>
          <w:divBdr>
            <w:top w:val="none" w:sz="0" w:space="0" w:color="auto"/>
            <w:left w:val="none" w:sz="0" w:space="0" w:color="auto"/>
            <w:bottom w:val="none" w:sz="0" w:space="0" w:color="auto"/>
            <w:right w:val="none" w:sz="0" w:space="0" w:color="auto"/>
          </w:divBdr>
        </w:div>
      </w:divsChild>
    </w:div>
    <w:div w:id="1625194211">
      <w:bodyDiv w:val="1"/>
      <w:marLeft w:val="0"/>
      <w:marRight w:val="0"/>
      <w:marTop w:val="0"/>
      <w:marBottom w:val="0"/>
      <w:divBdr>
        <w:top w:val="none" w:sz="0" w:space="0" w:color="auto"/>
        <w:left w:val="none" w:sz="0" w:space="0" w:color="auto"/>
        <w:bottom w:val="none" w:sz="0" w:space="0" w:color="auto"/>
        <w:right w:val="none" w:sz="0" w:space="0" w:color="auto"/>
      </w:divBdr>
      <w:divsChild>
        <w:div w:id="1139763268">
          <w:marLeft w:val="0"/>
          <w:marRight w:val="0"/>
          <w:marTop w:val="0"/>
          <w:marBottom w:val="0"/>
          <w:divBdr>
            <w:top w:val="none" w:sz="0" w:space="0" w:color="auto"/>
            <w:left w:val="none" w:sz="0" w:space="0" w:color="auto"/>
            <w:bottom w:val="none" w:sz="0" w:space="0" w:color="auto"/>
            <w:right w:val="none" w:sz="0" w:space="0" w:color="auto"/>
          </w:divBdr>
          <w:divsChild>
            <w:div w:id="2115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705">
      <w:bodyDiv w:val="1"/>
      <w:marLeft w:val="0"/>
      <w:marRight w:val="0"/>
      <w:marTop w:val="0"/>
      <w:marBottom w:val="0"/>
      <w:divBdr>
        <w:top w:val="none" w:sz="0" w:space="0" w:color="auto"/>
        <w:left w:val="none" w:sz="0" w:space="0" w:color="auto"/>
        <w:bottom w:val="none" w:sz="0" w:space="0" w:color="auto"/>
        <w:right w:val="none" w:sz="0" w:space="0" w:color="auto"/>
      </w:divBdr>
      <w:divsChild>
        <w:div w:id="30962155">
          <w:marLeft w:val="0"/>
          <w:marRight w:val="0"/>
          <w:marTop w:val="0"/>
          <w:marBottom w:val="0"/>
          <w:divBdr>
            <w:top w:val="none" w:sz="0" w:space="0" w:color="auto"/>
            <w:left w:val="none" w:sz="0" w:space="0" w:color="auto"/>
            <w:bottom w:val="none" w:sz="0" w:space="0" w:color="auto"/>
            <w:right w:val="none" w:sz="0" w:space="0" w:color="auto"/>
          </w:divBdr>
          <w:divsChild>
            <w:div w:id="1616517122">
              <w:marLeft w:val="0"/>
              <w:marRight w:val="0"/>
              <w:marTop w:val="0"/>
              <w:marBottom w:val="0"/>
              <w:divBdr>
                <w:top w:val="none" w:sz="0" w:space="0" w:color="auto"/>
                <w:left w:val="none" w:sz="0" w:space="0" w:color="auto"/>
                <w:bottom w:val="none" w:sz="0" w:space="0" w:color="auto"/>
                <w:right w:val="none" w:sz="0" w:space="0" w:color="auto"/>
              </w:divBdr>
              <w:divsChild>
                <w:div w:id="1063914249">
                  <w:marLeft w:val="0"/>
                  <w:marRight w:val="0"/>
                  <w:marTop w:val="0"/>
                  <w:marBottom w:val="0"/>
                  <w:divBdr>
                    <w:top w:val="none" w:sz="0" w:space="0" w:color="auto"/>
                    <w:left w:val="none" w:sz="0" w:space="0" w:color="auto"/>
                    <w:bottom w:val="none" w:sz="0" w:space="0" w:color="auto"/>
                    <w:right w:val="none" w:sz="0" w:space="0" w:color="auto"/>
                  </w:divBdr>
                  <w:divsChild>
                    <w:div w:id="23986901">
                      <w:marLeft w:val="1"/>
                      <w:marRight w:val="1"/>
                      <w:marTop w:val="0"/>
                      <w:marBottom w:val="0"/>
                      <w:divBdr>
                        <w:top w:val="none" w:sz="0" w:space="0" w:color="auto"/>
                        <w:left w:val="none" w:sz="0" w:space="0" w:color="auto"/>
                        <w:bottom w:val="none" w:sz="0" w:space="0" w:color="auto"/>
                        <w:right w:val="none" w:sz="0" w:space="0" w:color="auto"/>
                      </w:divBdr>
                      <w:divsChild>
                        <w:div w:id="936862724">
                          <w:marLeft w:val="0"/>
                          <w:marRight w:val="0"/>
                          <w:marTop w:val="0"/>
                          <w:marBottom w:val="0"/>
                          <w:divBdr>
                            <w:top w:val="none" w:sz="0" w:space="0" w:color="auto"/>
                            <w:left w:val="none" w:sz="0" w:space="0" w:color="auto"/>
                            <w:bottom w:val="none" w:sz="0" w:space="0" w:color="auto"/>
                            <w:right w:val="none" w:sz="0" w:space="0" w:color="auto"/>
                          </w:divBdr>
                          <w:divsChild>
                            <w:div w:id="397822852">
                              <w:marLeft w:val="0"/>
                              <w:marRight w:val="0"/>
                              <w:marTop w:val="0"/>
                              <w:marBottom w:val="360"/>
                              <w:divBdr>
                                <w:top w:val="none" w:sz="0" w:space="0" w:color="auto"/>
                                <w:left w:val="none" w:sz="0" w:space="0" w:color="auto"/>
                                <w:bottom w:val="none" w:sz="0" w:space="0" w:color="auto"/>
                                <w:right w:val="none" w:sz="0" w:space="0" w:color="auto"/>
                              </w:divBdr>
                              <w:divsChild>
                                <w:div w:id="2103598754">
                                  <w:marLeft w:val="0"/>
                                  <w:marRight w:val="0"/>
                                  <w:marTop w:val="0"/>
                                  <w:marBottom w:val="0"/>
                                  <w:divBdr>
                                    <w:top w:val="none" w:sz="0" w:space="0" w:color="auto"/>
                                    <w:left w:val="none" w:sz="0" w:space="0" w:color="auto"/>
                                    <w:bottom w:val="none" w:sz="0" w:space="0" w:color="auto"/>
                                    <w:right w:val="none" w:sz="0" w:space="0" w:color="auto"/>
                                  </w:divBdr>
                                  <w:divsChild>
                                    <w:div w:id="504173963">
                                      <w:marLeft w:val="0"/>
                                      <w:marRight w:val="0"/>
                                      <w:marTop w:val="0"/>
                                      <w:marBottom w:val="0"/>
                                      <w:divBdr>
                                        <w:top w:val="none" w:sz="0" w:space="0" w:color="auto"/>
                                        <w:left w:val="none" w:sz="0" w:space="0" w:color="auto"/>
                                        <w:bottom w:val="none" w:sz="0" w:space="0" w:color="auto"/>
                                        <w:right w:val="none" w:sz="0" w:space="0" w:color="auto"/>
                                      </w:divBdr>
                                      <w:divsChild>
                                        <w:div w:id="1186406453">
                                          <w:marLeft w:val="0"/>
                                          <w:marRight w:val="0"/>
                                          <w:marTop w:val="0"/>
                                          <w:marBottom w:val="0"/>
                                          <w:divBdr>
                                            <w:top w:val="none" w:sz="0" w:space="0" w:color="auto"/>
                                            <w:left w:val="none" w:sz="0" w:space="0" w:color="auto"/>
                                            <w:bottom w:val="none" w:sz="0" w:space="0" w:color="auto"/>
                                            <w:right w:val="none" w:sz="0" w:space="0" w:color="auto"/>
                                          </w:divBdr>
                                          <w:divsChild>
                                            <w:div w:id="1616446910">
                                              <w:marLeft w:val="0"/>
                                              <w:marRight w:val="0"/>
                                              <w:marTop w:val="0"/>
                                              <w:marBottom w:val="0"/>
                                              <w:divBdr>
                                                <w:top w:val="none" w:sz="0" w:space="0" w:color="auto"/>
                                                <w:left w:val="none" w:sz="0" w:space="0" w:color="auto"/>
                                                <w:bottom w:val="none" w:sz="0" w:space="0" w:color="auto"/>
                                                <w:right w:val="none" w:sz="0" w:space="0" w:color="auto"/>
                                              </w:divBdr>
                                              <w:divsChild>
                                                <w:div w:id="1987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6816777">
      <w:bodyDiv w:val="1"/>
      <w:marLeft w:val="0"/>
      <w:marRight w:val="0"/>
      <w:marTop w:val="0"/>
      <w:marBottom w:val="0"/>
      <w:divBdr>
        <w:top w:val="none" w:sz="0" w:space="0" w:color="auto"/>
        <w:left w:val="none" w:sz="0" w:space="0" w:color="auto"/>
        <w:bottom w:val="none" w:sz="0" w:space="0" w:color="auto"/>
        <w:right w:val="none" w:sz="0" w:space="0" w:color="auto"/>
      </w:divBdr>
      <w:divsChild>
        <w:div w:id="44095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0A4B-3FF6-4D82-AD84-8B0EAF0F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31</Pages>
  <Words>5801</Words>
  <Characters>32138</Characters>
  <Application>Microsoft Office Word</Application>
  <DocSecurity>0</DocSecurity>
  <Lines>2295</Lines>
  <Paragraphs>729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2017-09-12T11:58:00Z</cp:lastPrinted>
  <dcterms:created xsi:type="dcterms:W3CDTF">2017-09-19T11:44:00Z</dcterms:created>
  <dcterms:modified xsi:type="dcterms:W3CDTF">2017-10-05T07:42:00Z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