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55" w:rsidRDefault="00A01F7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46C61130F44F35870CA53B2CBD7A7E" style="width:450.75pt;height:379.5pt">
            <v:imagedata r:id="rId9" o:title=""/>
          </v:shape>
        </w:pict>
      </w:r>
    </w:p>
    <w:p w:rsidR="00E84155" w:rsidRDefault="00E84155">
      <w:pPr>
        <w:rPr>
          <w:noProof/>
        </w:rPr>
        <w:sectPr w:rsidR="00E84155" w:rsidSect="00A01F7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84155" w:rsidRDefault="00A01F78">
      <w:pPr>
        <w:pStyle w:val="Exposdesmotifstitre"/>
        <w:rPr>
          <w:noProof/>
        </w:rPr>
      </w:pPr>
      <w:r>
        <w:rPr>
          <w:noProof/>
        </w:rPr>
        <w:lastRenderedPageBreak/>
        <w:t>EXPOSÉ DES MOTIFS</w:t>
      </w:r>
    </w:p>
    <w:p w:rsidR="00E84155" w:rsidRDefault="00A01F78">
      <w:pPr>
        <w:pStyle w:val="ManualHeading1"/>
        <w:rPr>
          <w:noProof/>
        </w:rPr>
      </w:pPr>
      <w:r>
        <w:rPr>
          <w:noProof/>
        </w:rPr>
        <w:t>1.</w:t>
      </w:r>
      <w:r>
        <w:rPr>
          <w:noProof/>
        </w:rPr>
        <w:tab/>
        <w:t>CONTEXTE DE LA PROPOSITION</w:t>
      </w:r>
    </w:p>
    <w:p w:rsidR="00E84155" w:rsidRDefault="00A01F78">
      <w:pPr>
        <w:pStyle w:val="ManualHeading2"/>
        <w:rPr>
          <w:rFonts w:eastAsia="Arial Unicode MS"/>
          <w:noProof/>
        </w:rPr>
      </w:pPr>
      <w:r>
        <w:rPr>
          <w:noProof/>
        </w:rPr>
        <w:t>•</w:t>
      </w:r>
      <w:r>
        <w:rPr>
          <w:noProof/>
        </w:rPr>
        <w:tab/>
        <w:t>Justification et objectifs de la proposition</w:t>
      </w:r>
    </w:p>
    <w:p w:rsidR="00E84155" w:rsidRDefault="00A01F78">
      <w:pPr>
        <w:pBdr>
          <w:top w:val="nil"/>
          <w:left w:val="nil"/>
          <w:bottom w:val="nil"/>
          <w:right w:val="nil"/>
          <w:between w:val="nil"/>
          <w:bar w:val="nil"/>
        </w:pBdr>
        <w:spacing w:before="0" w:after="240"/>
        <w:rPr>
          <w:noProof/>
        </w:rPr>
      </w:pPr>
      <w:r>
        <w:rPr>
          <w:noProof/>
        </w:rPr>
        <w:t xml:space="preserve">La </w:t>
      </w:r>
      <w:r>
        <w:rPr>
          <w:noProof/>
        </w:rPr>
        <w:t>proposition vise à adapter les montants des ressources affectées à l'objectif «Investissement pour la croissance et l'emploi» et à l'objectif «Coopération territoriale européenne» fixés à l'article 91, paragraphe 1, et à l'article 92, paragraphes 1 et 5, d</w:t>
      </w:r>
      <w:r>
        <w:rPr>
          <w:noProof/>
        </w:rPr>
        <w:t>u règlement (UE) n° 1303/2013</w:t>
      </w:r>
      <w:r>
        <w:rPr>
          <w:rStyle w:val="FootnoteReference"/>
          <w:noProof/>
        </w:rPr>
        <w:footnoteReference w:id="2"/>
      </w:r>
      <w:r>
        <w:rPr>
          <w:noProof/>
        </w:rPr>
        <w:t xml:space="preserve"> et la ventilation annuelle des crédits d’engagement figurant à l'annexe VI des décisions adoptées depuis l’adoption dudit règlement. Il s'agit, premièrement, d’adapter les montants au résultat de l’exercice d’ajustement techn</w:t>
      </w:r>
      <w:r>
        <w:rPr>
          <w:noProof/>
        </w:rPr>
        <w:t>ique conformément à l’article 92, paragraphe 3, dudit règlement; deuxièmement, de refléter les différents transferts approuvés sur la base des articles 25, 93 et 94 dudit règlement ayant une incidence sur les montants annuels totaux; troisièmement, d’inclu</w:t>
      </w:r>
      <w:r>
        <w:rPr>
          <w:noProof/>
        </w:rPr>
        <w:t xml:space="preserve">re l’augmentation du budget consacré à l’initiative pour l’emploi des jeunes (ci-après l’«IEJ») jusqu’en 2020 d'un montant total de 1 200 000 000 EUR en prix courants pour la dotation spécifique y afférente, à laquelle doit s'ajouter un montant d’au moins </w:t>
      </w:r>
      <w:r>
        <w:rPr>
          <w:noProof/>
        </w:rPr>
        <w:t>1 200 000 000 EUR d’investissements ciblés au titre du FSE; et, quatrièmement, de faire apparaître le transfert de certains des crédits d’engagement de 2014 aux années ultérieures du fait de l’adoption de nouveaux programmes après le 1</w:t>
      </w:r>
      <w:r>
        <w:rPr>
          <w:noProof/>
          <w:vertAlign w:val="superscript"/>
        </w:rPr>
        <w:t>er</w:t>
      </w:r>
      <w:r>
        <w:rPr>
          <w:noProof/>
        </w:rPr>
        <w:t xml:space="preserve"> janvier 2015. Les </w:t>
      </w:r>
      <w:r>
        <w:rPr>
          <w:noProof/>
        </w:rPr>
        <w:t>résultats de l’ajustement technique et les transferts convenus sur la base des articles 25, 93 et 94 dudit règlement ont déjà fait l’objet de la décision d’exécution (UE) 2016/1941 de la Commission</w:t>
      </w:r>
      <w:r>
        <w:rPr>
          <w:rStyle w:val="FootnoteReference"/>
          <w:noProof/>
        </w:rPr>
        <w:footnoteReference w:id="3"/>
      </w:r>
      <w:r>
        <w:rPr>
          <w:noProof/>
        </w:rPr>
        <w:t>.</w:t>
      </w:r>
    </w:p>
    <w:p w:rsidR="00E84155" w:rsidRDefault="00A01F78">
      <w:pPr>
        <w:pBdr>
          <w:top w:val="nil"/>
          <w:left w:val="nil"/>
          <w:bottom w:val="nil"/>
          <w:right w:val="nil"/>
          <w:between w:val="nil"/>
          <w:bar w:val="nil"/>
        </w:pBdr>
        <w:spacing w:before="0" w:after="240"/>
        <w:rPr>
          <w:noProof/>
        </w:rPr>
      </w:pPr>
      <w:r>
        <w:rPr>
          <w:noProof/>
        </w:rPr>
        <w:t>La proposition reflète également le fait que Chypre alla</w:t>
      </w:r>
      <w:r>
        <w:rPr>
          <w:noProof/>
        </w:rPr>
        <w:t>it être nouvellement éligible au soutien apporté par le Fonds de cohésion et n’allait plus bénéficier du soutien du Fonds de cohésion sur une base transitoire et spécifique à compter du 1</w:t>
      </w:r>
      <w:r>
        <w:rPr>
          <w:noProof/>
          <w:vertAlign w:val="superscript"/>
        </w:rPr>
        <w:t>er</w:t>
      </w:r>
      <w:r>
        <w:rPr>
          <w:noProof/>
        </w:rPr>
        <w:t xml:space="preserve"> janvier 2017. Ce point a déjà été abordé dans la décision d’exécut</w:t>
      </w:r>
      <w:r>
        <w:rPr>
          <w:noProof/>
        </w:rPr>
        <w:t>ion (UE) 2016/1916 de la Commission</w:t>
      </w:r>
      <w:r>
        <w:rPr>
          <w:rStyle w:val="FootnoteReference"/>
          <w:noProof/>
        </w:rPr>
        <w:footnoteReference w:id="4"/>
      </w:r>
      <w:r>
        <w:rPr>
          <w:noProof/>
        </w:rPr>
        <w:t>.</w:t>
      </w:r>
    </w:p>
    <w:p w:rsidR="00E84155" w:rsidRDefault="00A01F78">
      <w:pPr>
        <w:pBdr>
          <w:top w:val="nil"/>
          <w:left w:val="nil"/>
          <w:bottom w:val="nil"/>
          <w:right w:val="nil"/>
          <w:between w:val="nil"/>
          <w:bar w:val="nil"/>
        </w:pBdr>
        <w:spacing w:before="0" w:after="240"/>
        <w:rPr>
          <w:noProof/>
        </w:rPr>
      </w:pPr>
      <w:r>
        <w:rPr>
          <w:noProof/>
        </w:rPr>
        <w:t>L’article 7 du règlement (UE, Euratom) n° 1311/2013 du Conseil</w:t>
      </w:r>
      <w:r>
        <w:rPr>
          <w:rStyle w:val="FootnoteReference"/>
          <w:noProof/>
        </w:rPr>
        <w:footnoteReference w:id="5"/>
      </w:r>
      <w:r>
        <w:rPr>
          <w:noProof/>
        </w:rPr>
        <w:t xml:space="preserve"> a institué, afin de tenir compte de la situation particulièrement difficile des États membres touchés par la crise, un </w:t>
      </w:r>
      <w:r>
        <w:rPr>
          <w:noProof/>
        </w:rPr>
        <w:lastRenderedPageBreak/>
        <w:t xml:space="preserve">exercice d’ajustement technique et </w:t>
      </w:r>
      <w:r>
        <w:rPr>
          <w:noProof/>
        </w:rPr>
        <w:t>le réexamen, en 2016, des montants totaux alloués au titre de l'objectif «Investissement pour la croissance et l'emploi».</w:t>
      </w:r>
    </w:p>
    <w:p w:rsidR="00E84155" w:rsidRDefault="00A01F78">
      <w:pPr>
        <w:pBdr>
          <w:top w:val="nil"/>
          <w:left w:val="nil"/>
          <w:bottom w:val="nil"/>
          <w:right w:val="nil"/>
          <w:between w:val="nil"/>
          <w:bar w:val="nil"/>
        </w:pBdr>
        <w:spacing w:before="0" w:after="240"/>
        <w:rPr>
          <w:noProof/>
        </w:rPr>
      </w:pPr>
      <w:r>
        <w:rPr>
          <w:noProof/>
        </w:rPr>
        <w:t>L'article 25 fixe un mécanisme de gestion de l'assistance technique pour les États membres connaissant des difficultés budgétaires tem</w:t>
      </w:r>
      <w:r>
        <w:rPr>
          <w:noProof/>
        </w:rPr>
        <w:t>poraires, à savoir le transfert d’une partie de cette assistance technique à l’assistance technique sur l’initiative de la Commission.</w:t>
      </w:r>
    </w:p>
    <w:p w:rsidR="00E84155" w:rsidRDefault="00A01F78">
      <w:pPr>
        <w:pBdr>
          <w:top w:val="nil"/>
          <w:left w:val="nil"/>
          <w:bottom w:val="nil"/>
          <w:right w:val="nil"/>
          <w:between w:val="nil"/>
          <w:bar w:val="nil"/>
        </w:pBdr>
        <w:spacing w:before="0" w:after="240"/>
        <w:rPr>
          <w:noProof/>
        </w:rPr>
      </w:pPr>
      <w:r>
        <w:rPr>
          <w:noProof/>
        </w:rPr>
        <w:t xml:space="preserve">Sous certaines conditions, l'article 93 permet le transfert de ressources entre catégories de régions et l’article 94 le </w:t>
      </w:r>
      <w:r>
        <w:rPr>
          <w:noProof/>
        </w:rPr>
        <w:t>transfert de ressources entre objectifs.</w:t>
      </w:r>
    </w:p>
    <w:p w:rsidR="00E84155" w:rsidRDefault="00A01F78">
      <w:pPr>
        <w:pStyle w:val="ManualHeading2"/>
        <w:rPr>
          <w:rFonts w:eastAsia="Arial Unicode MS"/>
          <w:noProof/>
          <w:u w:color="000000"/>
          <w:bdr w:val="nil"/>
        </w:rPr>
      </w:pPr>
      <w:r>
        <w:rPr>
          <w:noProof/>
        </w:rPr>
        <w:t>•</w:t>
      </w:r>
      <w:r>
        <w:rPr>
          <w:noProof/>
        </w:rPr>
        <w:tab/>
        <w:t>Cohérence avec les dispositions existantes dans le domaine d’action</w:t>
      </w:r>
    </w:p>
    <w:p w:rsidR="00E84155" w:rsidRDefault="00A01F78">
      <w:pPr>
        <w:pBdr>
          <w:top w:val="nil"/>
          <w:left w:val="nil"/>
          <w:bottom w:val="nil"/>
          <w:right w:val="nil"/>
          <w:between w:val="nil"/>
          <w:bar w:val="nil"/>
        </w:pBdr>
        <w:spacing w:before="0" w:after="240"/>
        <w:rPr>
          <w:rFonts w:eastAsia="Arial Unicode MS"/>
          <w:noProof/>
        </w:rPr>
      </w:pPr>
      <w:r>
        <w:rPr>
          <w:noProof/>
        </w:rPr>
        <w:t xml:space="preserve">La présente proposition résulte des dispositions de l'article 92, paragraphe 3, portant sur le réexamen des montants totaux alloués à la </w:t>
      </w:r>
      <w:r>
        <w:rPr>
          <w:noProof/>
        </w:rPr>
        <w:t>politique de cohésion pour la période 2017-2020, des décisions relatives au transfert de ressources entre catégories de régions et objectifs au titre des articles 93 et 94, de la décision de prolonger l’IEJ sur les années 2017 à 2020 et de la décision de t</w:t>
      </w:r>
      <w:r>
        <w:rPr>
          <w:noProof/>
        </w:rPr>
        <w:t>ransférer certains crédits d’engagement de 2014 aux années ultérieures.</w:t>
      </w:r>
    </w:p>
    <w:p w:rsidR="00E84155" w:rsidRDefault="00A01F78">
      <w:pPr>
        <w:pStyle w:val="ManualHeading2"/>
        <w:rPr>
          <w:rFonts w:eastAsia="Arial Unicode MS"/>
          <w:noProof/>
        </w:rPr>
      </w:pPr>
      <w:r>
        <w:rPr>
          <w:noProof/>
        </w:rPr>
        <w:t>•</w:t>
      </w:r>
      <w:r>
        <w:rPr>
          <w:noProof/>
        </w:rPr>
        <w:tab/>
        <w:t>Cohérence avec les autres politiques de l’Union</w:t>
      </w:r>
    </w:p>
    <w:p w:rsidR="00E84155" w:rsidRDefault="00A01F78">
      <w:pPr>
        <w:pBdr>
          <w:top w:val="nil"/>
          <w:left w:val="nil"/>
          <w:bottom w:val="nil"/>
          <w:right w:val="nil"/>
          <w:between w:val="nil"/>
          <w:bar w:val="nil"/>
        </w:pBdr>
        <w:spacing w:before="0" w:after="240"/>
        <w:rPr>
          <w:rFonts w:eastAsia="Arial Unicode MS"/>
          <w:noProof/>
        </w:rPr>
      </w:pPr>
      <w:r>
        <w:rPr>
          <w:noProof/>
        </w:rPr>
        <w:t>La proposition est en accord avec les autres propositions et initiatives adoptées par la Commission européenne en réponse à la crise f</w:t>
      </w:r>
      <w:r>
        <w:rPr>
          <w:noProof/>
        </w:rPr>
        <w:t>inancière.</w:t>
      </w:r>
    </w:p>
    <w:p w:rsidR="00E84155" w:rsidRDefault="00A01F78">
      <w:pPr>
        <w:pStyle w:val="ManualHeading1"/>
        <w:rPr>
          <w:noProof/>
        </w:rPr>
      </w:pPr>
      <w:r>
        <w:rPr>
          <w:noProof/>
        </w:rPr>
        <w:t>2.</w:t>
      </w:r>
      <w:r>
        <w:rPr>
          <w:noProof/>
        </w:rPr>
        <w:tab/>
        <w:t>BASE JURIDIQUE, SUBSIDIARITÉ ET PROPORTIONNALITÉ</w:t>
      </w:r>
    </w:p>
    <w:p w:rsidR="00E84155" w:rsidRDefault="00A01F78">
      <w:pPr>
        <w:pStyle w:val="ManualHeading2"/>
        <w:rPr>
          <w:rFonts w:eastAsia="Arial Unicode MS"/>
          <w:noProof/>
          <w:u w:color="000000"/>
          <w:bdr w:val="nil"/>
        </w:rPr>
      </w:pPr>
      <w:r>
        <w:rPr>
          <w:noProof/>
        </w:rPr>
        <w:t>•</w:t>
      </w:r>
      <w:r>
        <w:rPr>
          <w:noProof/>
        </w:rPr>
        <w:tab/>
        <w:t>Base juridique</w:t>
      </w:r>
    </w:p>
    <w:p w:rsidR="00E84155" w:rsidRDefault="00A01F78">
      <w:pPr>
        <w:pBdr>
          <w:top w:val="nil"/>
          <w:left w:val="nil"/>
          <w:bottom w:val="nil"/>
          <w:right w:val="nil"/>
          <w:between w:val="nil"/>
          <w:bar w:val="nil"/>
        </w:pBdr>
        <w:spacing w:before="0" w:after="240"/>
        <w:rPr>
          <w:noProof/>
        </w:rPr>
      </w:pPr>
      <w:r>
        <w:rPr>
          <w:noProof/>
        </w:rPr>
        <w:t>L’article 92, paragraphe 3, du règlement (UE) n° 1303/2013 prévoit qu’en 2016, la Commission, dans son ajustement technique pour l'année 2017 conformément aux articles 4 et 5 d</w:t>
      </w:r>
      <w:r>
        <w:rPr>
          <w:noProof/>
        </w:rPr>
        <w:t>u règlement (UE, Euratom) n° 1311/2013, procède au réexamen des montants totaux alloués au titre de l'objectif «Investissement pour la croissance et l'emploi» à chaque État membre pour la période 2017-2020, en appliquant la méthode de détermination des mon</w:t>
      </w:r>
      <w:r>
        <w:rPr>
          <w:noProof/>
        </w:rPr>
        <w:t>tants définie aux paragraphes 1 à 16 de l'annexe VII sur la base des statistiques les plus récentes disponibles.</w:t>
      </w:r>
    </w:p>
    <w:p w:rsidR="00E84155" w:rsidRDefault="00A01F78">
      <w:pPr>
        <w:pBdr>
          <w:top w:val="nil"/>
          <w:left w:val="nil"/>
          <w:bottom w:val="nil"/>
          <w:right w:val="nil"/>
          <w:between w:val="nil"/>
          <w:bar w:val="nil"/>
        </w:pBdr>
        <w:spacing w:before="0" w:after="240"/>
        <w:rPr>
          <w:noProof/>
        </w:rPr>
      </w:pPr>
      <w:r>
        <w:rPr>
          <w:noProof/>
        </w:rPr>
        <w:t>Ledit réexamen prend également en compte les résultats d’un certain nombre de transferts:</w:t>
      </w:r>
    </w:p>
    <w:p w:rsidR="00E84155" w:rsidRDefault="00A01F78">
      <w:pPr>
        <w:pBdr>
          <w:top w:val="nil"/>
          <w:left w:val="nil"/>
          <w:bottom w:val="nil"/>
          <w:right w:val="nil"/>
          <w:between w:val="nil"/>
          <w:bar w:val="nil"/>
        </w:pBdr>
        <w:spacing w:before="0" w:after="240"/>
        <w:rPr>
          <w:noProof/>
        </w:rPr>
      </w:pPr>
      <w:r>
        <w:rPr>
          <w:noProof/>
        </w:rPr>
        <w:t>l'article 25 fixe un mécanisme de gestion de l'assist</w:t>
      </w:r>
      <w:r>
        <w:rPr>
          <w:noProof/>
        </w:rPr>
        <w:t>ance technique pour les États membres connaissant des difficultés budgétaires temporaires, à savoir le transfert d’une partie de cette assistance technique à l’assistance technique sur l’initiative de la Commission.</w:t>
      </w:r>
    </w:p>
    <w:p w:rsidR="00E84155" w:rsidRDefault="00A01F78">
      <w:pPr>
        <w:pBdr>
          <w:top w:val="nil"/>
          <w:left w:val="nil"/>
          <w:bottom w:val="nil"/>
          <w:right w:val="nil"/>
          <w:between w:val="nil"/>
          <w:bar w:val="nil"/>
        </w:pBdr>
        <w:spacing w:before="0" w:after="240"/>
        <w:rPr>
          <w:noProof/>
        </w:rPr>
      </w:pPr>
      <w:r>
        <w:rPr>
          <w:noProof/>
        </w:rPr>
        <w:t xml:space="preserve">Sous certaines conditions, l'article 93 </w:t>
      </w:r>
      <w:r>
        <w:rPr>
          <w:noProof/>
        </w:rPr>
        <w:t>permet le transfert de ressources entre catégories de régions et l’article 94 le transfert de ressources entre objectifs.</w:t>
      </w:r>
    </w:p>
    <w:p w:rsidR="00E84155" w:rsidRDefault="00A01F78">
      <w:pPr>
        <w:pBdr>
          <w:top w:val="nil"/>
          <w:left w:val="nil"/>
          <w:bottom w:val="nil"/>
          <w:right w:val="nil"/>
          <w:between w:val="nil"/>
          <w:bar w:val="nil"/>
        </w:pBdr>
        <w:spacing w:before="0" w:after="240"/>
        <w:rPr>
          <w:noProof/>
        </w:rPr>
      </w:pPr>
      <w:r>
        <w:rPr>
          <w:noProof/>
        </w:rPr>
        <w:t>Le réexamen des montants totaux alloués englobe en outre la prolongation de l’IEJ sur la période 2017 à 2020.</w:t>
      </w:r>
    </w:p>
    <w:p w:rsidR="00E84155" w:rsidRDefault="00A01F78">
      <w:pPr>
        <w:pBdr>
          <w:top w:val="nil"/>
          <w:left w:val="nil"/>
          <w:bottom w:val="nil"/>
          <w:right w:val="nil"/>
          <w:between w:val="nil"/>
          <w:bar w:val="nil"/>
        </w:pBdr>
        <w:spacing w:before="0" w:after="240"/>
        <w:rPr>
          <w:noProof/>
        </w:rPr>
      </w:pPr>
      <w:r>
        <w:rPr>
          <w:noProof/>
        </w:rPr>
        <w:t xml:space="preserve">Enfin, la ventilation </w:t>
      </w:r>
      <w:r>
        <w:rPr>
          <w:noProof/>
        </w:rPr>
        <w:t>annuelle révisée de l’annexe VI reflète la modification du règlement (UE, Euratom) n° 1311/2013 du Conseil qui vise à transférer certains crédits d’engagement de 2014 sur les années ultérieures.</w:t>
      </w:r>
    </w:p>
    <w:p w:rsidR="00E84155" w:rsidRDefault="00A01F78">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rsidR="00E84155" w:rsidRDefault="00A01F78">
      <w:pPr>
        <w:pBdr>
          <w:top w:val="nil"/>
          <w:left w:val="nil"/>
          <w:bottom w:val="nil"/>
          <w:right w:val="nil"/>
          <w:between w:val="nil"/>
          <w:bar w:val="nil"/>
        </w:pBdr>
        <w:spacing w:before="0" w:after="240"/>
        <w:rPr>
          <w:rFonts w:eastAsia="Arial Unicode MS"/>
          <w:noProof/>
        </w:rPr>
      </w:pPr>
      <w:r>
        <w:rPr>
          <w:noProof/>
        </w:rPr>
        <w:t>La propo</w:t>
      </w:r>
      <w:r>
        <w:rPr>
          <w:noProof/>
        </w:rPr>
        <w:t>sition est conforme au principe de subsidiarité dans la mesure où il s’agit d’un résultat technique de la mise en œuvre des dispositions de l’article 92, paragraphe 3, du règlement (UE) n° 1303/2013, de l’application des articles 93 et 94 et de la décision</w:t>
      </w:r>
      <w:r>
        <w:rPr>
          <w:noProof/>
        </w:rPr>
        <w:t xml:space="preserve"> de prolonger l’IEJ sur les années 2017 à 2020.</w:t>
      </w:r>
    </w:p>
    <w:p w:rsidR="00E84155" w:rsidRDefault="00A01F78">
      <w:pPr>
        <w:pStyle w:val="ManualHeading2"/>
        <w:rPr>
          <w:rFonts w:eastAsia="Arial Unicode MS"/>
          <w:noProof/>
          <w:u w:color="000000"/>
          <w:bdr w:val="nil"/>
        </w:rPr>
      </w:pPr>
      <w:r>
        <w:rPr>
          <w:noProof/>
        </w:rPr>
        <w:t>•</w:t>
      </w:r>
      <w:r>
        <w:rPr>
          <w:noProof/>
        </w:rPr>
        <w:tab/>
        <w:t>Proportionnalité</w:t>
      </w:r>
    </w:p>
    <w:p w:rsidR="00E84155" w:rsidRDefault="00A01F78">
      <w:pPr>
        <w:pBdr>
          <w:top w:val="nil"/>
          <w:left w:val="nil"/>
          <w:bottom w:val="nil"/>
          <w:right w:val="nil"/>
          <w:between w:val="nil"/>
          <w:bar w:val="nil"/>
        </w:pBdr>
        <w:spacing w:before="0" w:after="240"/>
        <w:rPr>
          <w:rFonts w:eastAsia="Arial Unicode MS"/>
          <w:noProof/>
        </w:rPr>
      </w:pPr>
      <w:r>
        <w:rPr>
          <w:noProof/>
        </w:rPr>
        <w:t>La proposition est limitée aux ajustements techniques nécessaires.</w:t>
      </w:r>
    </w:p>
    <w:p w:rsidR="00E84155" w:rsidRDefault="00A01F78">
      <w:pPr>
        <w:pStyle w:val="ManualHeading2"/>
        <w:rPr>
          <w:rFonts w:eastAsia="Arial Unicode MS"/>
          <w:noProof/>
          <w:u w:color="000000"/>
          <w:bdr w:val="nil"/>
        </w:rPr>
      </w:pPr>
      <w:r>
        <w:rPr>
          <w:noProof/>
        </w:rPr>
        <w:t>•</w:t>
      </w:r>
      <w:r>
        <w:rPr>
          <w:noProof/>
        </w:rPr>
        <w:tab/>
        <w:t>Choix de l’instrument</w:t>
      </w:r>
    </w:p>
    <w:p w:rsidR="00E84155" w:rsidRDefault="00A01F78">
      <w:pPr>
        <w:pBdr>
          <w:top w:val="nil"/>
          <w:left w:val="nil"/>
          <w:bottom w:val="nil"/>
          <w:right w:val="nil"/>
          <w:between w:val="nil"/>
          <w:bar w:val="nil"/>
        </w:pBdr>
        <w:spacing w:before="0" w:after="240"/>
        <w:rPr>
          <w:noProof/>
        </w:rPr>
      </w:pPr>
      <w:r>
        <w:rPr>
          <w:noProof/>
        </w:rPr>
        <w:t>Instrument proposé: modification du règlement actuel.</w:t>
      </w:r>
    </w:p>
    <w:p w:rsidR="00E84155" w:rsidRDefault="00A01F78">
      <w:pPr>
        <w:pBdr>
          <w:top w:val="nil"/>
          <w:left w:val="nil"/>
          <w:bottom w:val="nil"/>
          <w:right w:val="nil"/>
          <w:between w:val="nil"/>
          <w:bar w:val="nil"/>
        </w:pBdr>
        <w:spacing w:before="0" w:after="240"/>
        <w:rPr>
          <w:rFonts w:eastAsia="Arial Unicode MS"/>
          <w:noProof/>
        </w:rPr>
      </w:pPr>
      <w:r>
        <w:rPr>
          <w:noProof/>
        </w:rPr>
        <w:t>La Commission a examiné la marge de manœuvre</w:t>
      </w:r>
      <w:r>
        <w:rPr>
          <w:noProof/>
        </w:rPr>
        <w:t xml:space="preserve"> offerte par le cadre juridique et estime nécessaire de proposer des modifications du règlement (UE) n° 1303/2013.</w:t>
      </w:r>
    </w:p>
    <w:p w:rsidR="00E84155" w:rsidRDefault="00A01F78">
      <w:pPr>
        <w:pStyle w:val="ManualHeading1"/>
        <w:rPr>
          <w:noProof/>
        </w:rPr>
      </w:pPr>
      <w:r>
        <w:rPr>
          <w:noProof/>
        </w:rPr>
        <w:t>3.</w:t>
      </w:r>
      <w:r>
        <w:rPr>
          <w:noProof/>
        </w:rPr>
        <w:tab/>
        <w:t>RÉSULTATS DES ÉVALUATIONS EX POST, DES CONSULTATIONS DES PARTIES PRENANTES ET DES ANALYSES D'IMPACT</w:t>
      </w:r>
    </w:p>
    <w:p w:rsidR="00E84155" w:rsidRDefault="00A01F78">
      <w:pPr>
        <w:pStyle w:val="ManualHeading2"/>
        <w:rPr>
          <w:rFonts w:eastAsia="Arial Unicode MS"/>
          <w:noProof/>
          <w:u w:color="000000"/>
          <w:bdr w:val="nil"/>
        </w:rPr>
      </w:pPr>
      <w:r>
        <w:rPr>
          <w:noProof/>
        </w:rPr>
        <w:t>•</w:t>
      </w:r>
      <w:r>
        <w:rPr>
          <w:noProof/>
        </w:rPr>
        <w:tab/>
        <w:t>Évaluations ex post/bilans de qualit</w:t>
      </w:r>
      <w:r>
        <w:rPr>
          <w:noProof/>
        </w:rPr>
        <w:t>é de la législation existante</w:t>
      </w:r>
    </w:p>
    <w:p w:rsidR="00E84155" w:rsidRDefault="00A01F78">
      <w:pPr>
        <w:pBdr>
          <w:top w:val="nil"/>
          <w:left w:val="nil"/>
          <w:bottom w:val="nil"/>
          <w:right w:val="nil"/>
          <w:between w:val="nil"/>
          <w:bar w:val="nil"/>
        </w:pBdr>
        <w:spacing w:before="0" w:after="240"/>
        <w:rPr>
          <w:rFonts w:eastAsia="Arial Unicode MS"/>
          <w:noProof/>
        </w:rPr>
      </w:pPr>
      <w:r>
        <w:rPr>
          <w:noProof/>
        </w:rPr>
        <w:t>La législation existante n'a fait l'objet ni d'une évaluation ex post ni d'un bilan de qualité.</w:t>
      </w:r>
    </w:p>
    <w:p w:rsidR="00E84155" w:rsidRDefault="00A01F78">
      <w:pPr>
        <w:pStyle w:val="ManualHeading2"/>
        <w:rPr>
          <w:rFonts w:eastAsia="Arial Unicode MS"/>
          <w:noProof/>
          <w:u w:color="000000"/>
          <w:bdr w:val="nil"/>
        </w:rPr>
      </w:pPr>
      <w:r>
        <w:rPr>
          <w:noProof/>
        </w:rPr>
        <w:t>•</w:t>
      </w:r>
      <w:r>
        <w:rPr>
          <w:noProof/>
        </w:rPr>
        <w:tab/>
        <w:t>Consultations des parties prenantes</w:t>
      </w:r>
    </w:p>
    <w:p w:rsidR="00E84155" w:rsidRDefault="00A01F78">
      <w:pPr>
        <w:pBdr>
          <w:top w:val="nil"/>
          <w:left w:val="nil"/>
          <w:bottom w:val="nil"/>
          <w:right w:val="nil"/>
          <w:between w:val="nil"/>
          <w:bar w:val="nil"/>
        </w:pBdr>
        <w:spacing w:before="0" w:after="240"/>
        <w:rPr>
          <w:rFonts w:eastAsia="Arial Unicode MS"/>
          <w:noProof/>
        </w:rPr>
      </w:pPr>
      <w:r>
        <w:rPr>
          <w:noProof/>
        </w:rPr>
        <w:t>Aucune partie prenante externe n’a été consultée.</w:t>
      </w:r>
    </w:p>
    <w:p w:rsidR="00E84155" w:rsidRDefault="00A01F78">
      <w:pPr>
        <w:pStyle w:val="ManualHeading2"/>
        <w:rPr>
          <w:rFonts w:eastAsia="Arial Unicode MS"/>
          <w:noProof/>
          <w:u w:color="000000"/>
          <w:bdr w:val="nil"/>
        </w:rPr>
      </w:pPr>
      <w:r>
        <w:rPr>
          <w:noProof/>
        </w:rPr>
        <w:t>•</w:t>
      </w:r>
      <w:r>
        <w:rPr>
          <w:noProof/>
        </w:rPr>
        <w:tab/>
        <w:t>Obtention et utilisation d'expertise</w:t>
      </w:r>
    </w:p>
    <w:p w:rsidR="00E84155" w:rsidRDefault="00A01F78">
      <w:pPr>
        <w:pBdr>
          <w:top w:val="nil"/>
          <w:left w:val="nil"/>
          <w:bottom w:val="nil"/>
          <w:right w:val="nil"/>
          <w:between w:val="nil"/>
          <w:bar w:val="nil"/>
        </w:pBdr>
        <w:spacing w:before="0" w:after="240"/>
        <w:rPr>
          <w:rFonts w:eastAsia="Arial Unicode MS"/>
          <w:noProof/>
        </w:rPr>
      </w:pPr>
      <w:r>
        <w:rPr>
          <w:noProof/>
        </w:rPr>
        <w:t xml:space="preserve">Le </w:t>
      </w:r>
      <w:r>
        <w:rPr>
          <w:noProof/>
        </w:rPr>
        <w:t>recours à une expertise externe n’a pas été nécessaire.</w:t>
      </w:r>
    </w:p>
    <w:p w:rsidR="00E84155" w:rsidRDefault="00A01F78">
      <w:pPr>
        <w:pStyle w:val="ManualHeading2"/>
        <w:rPr>
          <w:rFonts w:eastAsia="Arial Unicode MS"/>
          <w:noProof/>
          <w:u w:color="000000"/>
          <w:bdr w:val="nil"/>
        </w:rPr>
      </w:pPr>
      <w:r>
        <w:rPr>
          <w:noProof/>
        </w:rPr>
        <w:t>•</w:t>
      </w:r>
      <w:r>
        <w:rPr>
          <w:noProof/>
        </w:rPr>
        <w:tab/>
        <w:t>Analyse d'impact</w:t>
      </w:r>
    </w:p>
    <w:p w:rsidR="00E84155" w:rsidRDefault="00A01F78">
      <w:pPr>
        <w:pBdr>
          <w:top w:val="nil"/>
          <w:left w:val="nil"/>
          <w:bottom w:val="nil"/>
          <w:right w:val="nil"/>
          <w:between w:val="nil"/>
          <w:bar w:val="nil"/>
        </w:pBdr>
        <w:spacing w:before="0" w:after="240"/>
        <w:rPr>
          <w:rFonts w:eastAsia="Arial Unicode MS"/>
          <w:noProof/>
        </w:rPr>
      </w:pPr>
      <w:r>
        <w:rPr>
          <w:noProof/>
        </w:rPr>
        <w:t>Sans objet.</w:t>
      </w:r>
    </w:p>
    <w:p w:rsidR="00E84155" w:rsidRDefault="00A01F78">
      <w:pPr>
        <w:pStyle w:val="ManualHeading2"/>
        <w:rPr>
          <w:rFonts w:eastAsia="Arial Unicode MS"/>
          <w:noProof/>
          <w:u w:color="000000"/>
          <w:bdr w:val="nil"/>
        </w:rPr>
      </w:pPr>
      <w:r>
        <w:rPr>
          <w:noProof/>
        </w:rPr>
        <w:t>•</w:t>
      </w:r>
      <w:r>
        <w:rPr>
          <w:noProof/>
        </w:rPr>
        <w:tab/>
        <w:t>Réglementation affûtée et simplification</w:t>
      </w:r>
    </w:p>
    <w:p w:rsidR="00E84155" w:rsidRDefault="00A01F78">
      <w:pPr>
        <w:pStyle w:val="Text1"/>
        <w:ind w:left="0"/>
        <w:rPr>
          <w:noProof/>
        </w:rPr>
      </w:pPr>
      <w:r>
        <w:rPr>
          <w:noProof/>
        </w:rPr>
        <w:t>Il ne s'agit pas d'une initiative relevant du programme pour une réglementation affûtée et performante (REFIT).</w:t>
      </w:r>
    </w:p>
    <w:p w:rsidR="00E84155" w:rsidRDefault="00A01F78">
      <w:pPr>
        <w:pStyle w:val="ManualHeading2"/>
        <w:rPr>
          <w:rFonts w:eastAsia="Arial Unicode MS"/>
          <w:noProof/>
          <w:u w:color="000000"/>
          <w:bdr w:val="nil"/>
        </w:rPr>
      </w:pPr>
      <w:r>
        <w:rPr>
          <w:noProof/>
        </w:rPr>
        <w:t>•</w:t>
      </w:r>
      <w:r>
        <w:rPr>
          <w:noProof/>
        </w:rPr>
        <w:tab/>
        <w:t>Droits fonda</w:t>
      </w:r>
      <w:r>
        <w:rPr>
          <w:noProof/>
        </w:rPr>
        <w:t>mentaux</w:t>
      </w:r>
    </w:p>
    <w:p w:rsidR="00E84155" w:rsidRDefault="00A01F78">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rsidR="00E84155" w:rsidRDefault="00A01F78">
      <w:pPr>
        <w:pStyle w:val="ManualHeading1"/>
        <w:rPr>
          <w:noProof/>
        </w:rPr>
      </w:pPr>
      <w:r>
        <w:rPr>
          <w:noProof/>
        </w:rPr>
        <w:t>4.</w:t>
      </w:r>
      <w:r>
        <w:rPr>
          <w:noProof/>
        </w:rPr>
        <w:tab/>
        <w:t>INCIDENCE BUDGÉTAIRE</w:t>
      </w:r>
    </w:p>
    <w:p w:rsidR="00E84155" w:rsidRDefault="00A01F78">
      <w:pPr>
        <w:pBdr>
          <w:top w:val="nil"/>
          <w:left w:val="nil"/>
          <w:bottom w:val="nil"/>
          <w:right w:val="nil"/>
          <w:between w:val="nil"/>
          <w:bar w:val="nil"/>
        </w:pBdr>
        <w:spacing w:before="0" w:after="240"/>
        <w:rPr>
          <w:noProof/>
        </w:rPr>
      </w:pPr>
      <w:r>
        <w:rPr>
          <w:noProof/>
        </w:rPr>
        <w:t xml:space="preserve">La proposition a une incidence sur les crédits d’engagement, qui résulte de l’effet positif net, égal à 4 000 000 000 EUR (en prix de 2011), </w:t>
      </w:r>
      <w:r>
        <w:rPr>
          <w:noProof/>
        </w:rPr>
        <w:t>de l’ajustement technique prévu par l’article 92, paragraphe 3, et de la décision de prolonger l’IEJ sur les années 2017 à 2020 par un montant total de 1 200 000 000 EUR en prix courants pour la dotation spécifique y afférente, à laquelle doit s'ajouter un</w:t>
      </w:r>
      <w:r>
        <w:rPr>
          <w:noProof/>
        </w:rPr>
        <w:t xml:space="preserve"> montant d’au moins 1 200 000 000 EUR d’investissements ciblés au titre du FSE. Ces ressources supplémentaires rendront également nécessaires des crédits de paiement supplémentaires pour les années 2018 à 2020.</w:t>
      </w:r>
    </w:p>
    <w:p w:rsidR="00E84155" w:rsidRDefault="00A01F78">
      <w:pPr>
        <w:pBdr>
          <w:top w:val="nil"/>
          <w:left w:val="nil"/>
          <w:bottom w:val="nil"/>
          <w:right w:val="nil"/>
          <w:between w:val="nil"/>
          <w:bar w:val="nil"/>
        </w:pBdr>
        <w:spacing w:before="0" w:after="240"/>
        <w:rPr>
          <w:noProof/>
        </w:rPr>
      </w:pPr>
      <w:r>
        <w:rPr>
          <w:noProof/>
        </w:rPr>
        <w:t xml:space="preserve">Les plafonds des crédits d’engagement et des </w:t>
      </w:r>
      <w:r>
        <w:rPr>
          <w:noProof/>
        </w:rPr>
        <w:t>crédits de paiement pour la rubrique 1b sont donc revus à la hausse, comme indiqué dans la communication de la Commission au Conseil et au Parlement européen [COM(2016) 311 final] relative à l’ajustement technique du cadre financier pour 2017 à l'évolution</w:t>
      </w:r>
      <w:r>
        <w:rPr>
          <w:noProof/>
        </w:rPr>
        <w:t xml:space="preserve"> du RNB et à l’ajustement des enveloppes en faveur de la politique de cohésion. Étant donné que la plupart des paiements se rapportant à cette augmentation des engagements devraient avoir lieu après 2020, le relèvement des plafonds des paiements reste limi</w:t>
      </w:r>
      <w:r>
        <w:rPr>
          <w:noProof/>
        </w:rPr>
        <w:t>té.</w:t>
      </w:r>
    </w:p>
    <w:p w:rsidR="00E84155" w:rsidRDefault="00E84155">
      <w:pPr>
        <w:pBdr>
          <w:top w:val="nil"/>
          <w:left w:val="nil"/>
          <w:bottom w:val="nil"/>
          <w:right w:val="nil"/>
          <w:between w:val="nil"/>
          <w:bar w:val="nil"/>
        </w:pBdr>
        <w:spacing w:before="0" w:after="240"/>
        <w:rPr>
          <w:rFonts w:eastAsia="Arial Unicode MS"/>
          <w:noProof/>
        </w:rPr>
      </w:pPr>
    </w:p>
    <w:p w:rsidR="00E84155" w:rsidRDefault="00A01F78">
      <w:pPr>
        <w:pStyle w:val="ManualHeading1"/>
        <w:rPr>
          <w:noProof/>
        </w:rPr>
      </w:pPr>
      <w:r>
        <w:rPr>
          <w:noProof/>
        </w:rPr>
        <w:t>5.</w:t>
      </w:r>
      <w:r>
        <w:rPr>
          <w:noProof/>
        </w:rPr>
        <w:tab/>
        <w:t>AUTRES ÉLÉMENTS</w:t>
      </w:r>
    </w:p>
    <w:p w:rsidR="00E84155" w:rsidRDefault="00A01F78">
      <w:pPr>
        <w:pStyle w:val="ManualHeading2"/>
        <w:rPr>
          <w:rFonts w:eastAsia="Arial Unicode MS"/>
          <w:noProof/>
          <w:u w:color="000000"/>
          <w:bdr w:val="nil"/>
        </w:rPr>
      </w:pPr>
      <w:r>
        <w:rPr>
          <w:noProof/>
        </w:rPr>
        <w:t>•</w:t>
      </w:r>
      <w:r>
        <w:rPr>
          <w:noProof/>
        </w:rPr>
        <w:tab/>
        <w:t>Plans de mise en œuvre et modalités de suivi, d'évaluation et d'information</w:t>
      </w:r>
    </w:p>
    <w:p w:rsidR="00E84155" w:rsidRDefault="00A01F78">
      <w:pPr>
        <w:pBdr>
          <w:top w:val="nil"/>
          <w:left w:val="nil"/>
          <w:bottom w:val="nil"/>
          <w:right w:val="nil"/>
          <w:between w:val="nil"/>
          <w:bar w:val="nil"/>
        </w:pBdr>
        <w:spacing w:before="0" w:after="240"/>
        <w:rPr>
          <w:rFonts w:eastAsia="Arial Unicode MS"/>
          <w:noProof/>
        </w:rPr>
      </w:pPr>
      <w:r>
        <w:rPr>
          <w:noProof/>
        </w:rPr>
        <w:t>Sans objet.</w:t>
      </w:r>
    </w:p>
    <w:p w:rsidR="00E84155" w:rsidRDefault="00A01F78">
      <w:pPr>
        <w:pStyle w:val="ManualHeading2"/>
        <w:rPr>
          <w:rFonts w:eastAsia="Arial Unicode MS"/>
          <w:noProof/>
          <w:u w:color="000000"/>
          <w:bdr w:val="nil"/>
        </w:rPr>
      </w:pPr>
      <w:r>
        <w:rPr>
          <w:noProof/>
        </w:rPr>
        <w:t>•</w:t>
      </w:r>
      <w:r>
        <w:rPr>
          <w:noProof/>
        </w:rPr>
        <w:tab/>
        <w:t>Documents explicatifs (pour les directives)</w:t>
      </w:r>
    </w:p>
    <w:p w:rsidR="00E84155" w:rsidRDefault="00A01F78">
      <w:pPr>
        <w:pStyle w:val="Text1"/>
        <w:ind w:hanging="850"/>
        <w:rPr>
          <w:noProof/>
        </w:rPr>
      </w:pPr>
      <w:r>
        <w:rPr>
          <w:noProof/>
        </w:rPr>
        <w:t>Sans objet.</w:t>
      </w:r>
    </w:p>
    <w:p w:rsidR="00E84155" w:rsidRDefault="00A01F78">
      <w:pPr>
        <w:pStyle w:val="ManualHeading2"/>
        <w:rPr>
          <w:rFonts w:eastAsia="Arial Unicode MS"/>
          <w:noProof/>
          <w:u w:color="000000"/>
          <w:bdr w:val="nil"/>
        </w:rPr>
      </w:pPr>
      <w:r>
        <w:rPr>
          <w:noProof/>
        </w:rPr>
        <w:t>•</w:t>
      </w:r>
      <w:r>
        <w:rPr>
          <w:noProof/>
        </w:rPr>
        <w:tab/>
        <w:t>Explication détaillée des différentes dispositions de la proposition</w:t>
      </w:r>
    </w:p>
    <w:p w:rsidR="00E84155" w:rsidRDefault="00A01F78">
      <w:pPr>
        <w:pBdr>
          <w:top w:val="nil"/>
          <w:left w:val="nil"/>
          <w:bottom w:val="nil"/>
          <w:right w:val="nil"/>
          <w:between w:val="nil"/>
          <w:bar w:val="nil"/>
        </w:pBdr>
        <w:spacing w:before="0" w:after="240"/>
        <w:rPr>
          <w:noProof/>
        </w:rPr>
      </w:pPr>
      <w:r>
        <w:rPr>
          <w:noProof/>
        </w:rPr>
        <w:t xml:space="preserve">Conformément </w:t>
      </w:r>
      <w:r>
        <w:rPr>
          <w:noProof/>
        </w:rPr>
        <w:t>à l’article 7 du règlement (UE, Euratom) n° 1311/2013 du Conseil, la Commission devait procéder, en 2016, au réexamen des montants totaux alloués à l'ensemble des États membres au titre de l'objectif «Investissement pour la croissance et l'emploi» de la po</w:t>
      </w:r>
      <w:r>
        <w:rPr>
          <w:noProof/>
        </w:rPr>
        <w:t xml:space="preserve">litique de cohésion pour la période 2017-2020, en appliquant la méthode de détermination des montants définie dans l’acte de base correspondant [annexe VII du règlement (UE) n° 1303/2013] sur la base des statistiques les plus récentes alors disponibles et </w:t>
      </w:r>
      <w:r>
        <w:rPr>
          <w:noProof/>
        </w:rPr>
        <w:t xml:space="preserve">de la comparaison, pour les États membres soumis à l'écrêtement, entre le PIB national cumulé observé pour les années 2014-2015 et le PIB national cumulé estimé en 2012. Lesdits montants ont été ajustés chaque fois qu'il existait un écart cumulé supérieur </w:t>
      </w:r>
      <w:r>
        <w:rPr>
          <w:noProof/>
        </w:rPr>
        <w:t>à +/- 5 %. De plus, dans le même temps, l'éligibilité au bénéfice du Fonds de cohésion a fait l’objet d'un réexamen et, dans l’hypothèse où un État membre devient éligible au Fonds de cohésion, il est prévu d'ajouter ces montants aux fonds alloués aux État</w:t>
      </w:r>
      <w:r>
        <w:rPr>
          <w:noProof/>
        </w:rPr>
        <w:t>s membres concernés pour la période 2017-2020.</w:t>
      </w:r>
    </w:p>
    <w:p w:rsidR="00E84155" w:rsidRDefault="00A01F78">
      <w:pPr>
        <w:pBdr>
          <w:top w:val="nil"/>
          <w:left w:val="nil"/>
          <w:bottom w:val="nil"/>
          <w:right w:val="nil"/>
          <w:between w:val="nil"/>
          <w:bar w:val="nil"/>
        </w:pBdr>
        <w:spacing w:before="0" w:after="240"/>
        <w:rPr>
          <w:rFonts w:eastAsia="Arial Unicode MS"/>
          <w:noProof/>
        </w:rPr>
      </w:pPr>
      <w:r>
        <w:rPr>
          <w:noProof/>
        </w:rPr>
        <w:t>Le réexamen porte sur les éléments suivants:</w:t>
      </w:r>
    </w:p>
    <w:p w:rsidR="00E84155" w:rsidRDefault="00A01F78">
      <w:pPr>
        <w:pBdr>
          <w:top w:val="nil"/>
          <w:left w:val="nil"/>
          <w:bottom w:val="nil"/>
          <w:right w:val="nil"/>
          <w:between w:val="nil"/>
          <w:bar w:val="nil"/>
        </w:pBdr>
        <w:spacing w:before="0" w:after="240"/>
        <w:ind w:left="360" w:hanging="360"/>
        <w:rPr>
          <w:rFonts w:eastAsia="Arial Unicode MS"/>
          <w:noProof/>
        </w:rPr>
      </w:pPr>
      <w:r>
        <w:rPr>
          <w:noProof/>
        </w:rPr>
        <w:t>a)</w:t>
      </w:r>
      <w:r>
        <w:rPr>
          <w:noProof/>
        </w:rPr>
        <w:tab/>
        <w:t>pour tous les États membres, le réexamen des dotations pour 2017-2020 sur la base des statistiques les plus récentes disponibles et en appliquant la même méthode</w:t>
      </w:r>
      <w:r>
        <w:rPr>
          <w:noProof/>
        </w:rPr>
        <w:t xml:space="preserve"> que celle utilisée pour déterminer les dotations initiales exposée aux points 1 à 16 de l’annexe VII du règlement (UE) n° 1303/2013;</w:t>
      </w:r>
    </w:p>
    <w:p w:rsidR="00E84155" w:rsidRDefault="00A01F78">
      <w:pPr>
        <w:pBdr>
          <w:top w:val="nil"/>
          <w:left w:val="nil"/>
          <w:bottom w:val="nil"/>
          <w:right w:val="nil"/>
          <w:between w:val="nil"/>
          <w:bar w:val="nil"/>
        </w:pBdr>
        <w:spacing w:before="0" w:after="240"/>
        <w:ind w:left="360" w:hanging="360"/>
        <w:rPr>
          <w:rFonts w:eastAsia="Arial Unicode MS"/>
          <w:noProof/>
        </w:rPr>
      </w:pPr>
      <w:r>
        <w:rPr>
          <w:noProof/>
        </w:rPr>
        <w:t>b)</w:t>
      </w:r>
      <w:r>
        <w:rPr>
          <w:noProof/>
        </w:rPr>
        <w:tab/>
        <w:t>pour les États membres soumis à l’écrêtement, (Bulgarie, Estonie, Croatie, Hongrie, Lituanie, Lettonie, Pologne, Rouman</w:t>
      </w:r>
      <w:r>
        <w:rPr>
          <w:noProof/>
        </w:rPr>
        <w:t>ie et Slovaquie), la comparaison entre les niveaux de PIB observés pour 2014 et 2015 et les niveaux prévus en 2012 pour ces deux exercices;</w:t>
      </w:r>
    </w:p>
    <w:p w:rsidR="00E84155" w:rsidRDefault="00A01F78">
      <w:pPr>
        <w:pBdr>
          <w:top w:val="nil"/>
          <w:left w:val="nil"/>
          <w:bottom w:val="nil"/>
          <w:right w:val="nil"/>
          <w:between w:val="nil"/>
          <w:bar w:val="nil"/>
        </w:pBdr>
        <w:spacing w:before="0" w:after="240"/>
        <w:ind w:left="360" w:hanging="360"/>
        <w:rPr>
          <w:rFonts w:eastAsia="Arial Unicode MS"/>
          <w:noProof/>
        </w:rPr>
      </w:pPr>
      <w:r>
        <w:rPr>
          <w:noProof/>
        </w:rPr>
        <w:t>c)</w:t>
      </w:r>
      <w:r>
        <w:rPr>
          <w:noProof/>
        </w:rPr>
        <w:tab/>
        <w:t>le réexamen de l’éligibilité au bénéfice du Fonds de cohésion sur la base des données RNB/habitant pour la périod</w:t>
      </w:r>
      <w:r>
        <w:rPr>
          <w:noProof/>
        </w:rPr>
        <w:t>e 2012-2014 par rapport à la moyenne de l’UE-27.</w:t>
      </w:r>
    </w:p>
    <w:p w:rsidR="00E84155" w:rsidRDefault="00A01F78">
      <w:pPr>
        <w:pBdr>
          <w:top w:val="nil"/>
          <w:left w:val="nil"/>
          <w:bottom w:val="nil"/>
          <w:right w:val="nil"/>
          <w:between w:val="nil"/>
          <w:bar w:val="nil"/>
        </w:pBdr>
        <w:spacing w:before="0" w:after="240"/>
        <w:rPr>
          <w:rFonts w:eastAsia="Arial Unicode MS"/>
          <w:noProof/>
        </w:rPr>
      </w:pPr>
      <w:r>
        <w:rPr>
          <w:noProof/>
        </w:rPr>
        <w:t>L’exercice a résulté en un écart cumulé supérieur à +/- 5 % entre les montants totaux alloués et les dotations révisées pour la Belgique, la République tchèque, le Danemark, l'Estonie, l'Irlande, la Grèce, l</w:t>
      </w:r>
      <w:r>
        <w:rPr>
          <w:noProof/>
        </w:rPr>
        <w:t>'Espagne, la Croatie, l'Italie, Chypre, les Pays-Bas, la Slovénie, la Slovaquie, la Finlande, la Suède et le Royaume-Uni. L’ajustement des ressources respectives a été publié dans la communication de la Commission au Conseil et au Parlement européen [COM(2</w:t>
      </w:r>
      <w:r>
        <w:rPr>
          <w:noProof/>
        </w:rPr>
        <w:t>016) 311 final] relative à l’ajustement technique du cadre financier pour 2017 à l'évolution du RNB et à l’ajustement des enveloppes en faveur de la politique de cohésion.</w:t>
      </w:r>
    </w:p>
    <w:p w:rsidR="00E84155" w:rsidRDefault="00A01F78">
      <w:pPr>
        <w:pBdr>
          <w:top w:val="nil"/>
          <w:left w:val="nil"/>
          <w:bottom w:val="nil"/>
          <w:right w:val="nil"/>
          <w:between w:val="nil"/>
          <w:bar w:val="nil"/>
        </w:pBdr>
        <w:spacing w:before="0" w:after="240"/>
        <w:rPr>
          <w:rFonts w:eastAsia="Arial Unicode MS"/>
          <w:noProof/>
        </w:rPr>
      </w:pPr>
      <w:r>
        <w:rPr>
          <w:noProof/>
        </w:rPr>
        <w:t>Le réexamen de l’éligibilité au bénéfice du Fonds de cohésion entraîne dans un cas u</w:t>
      </w:r>
      <w:r>
        <w:rPr>
          <w:noProof/>
        </w:rPr>
        <w:t>ne modification en la matière, Chypre devenant pleinement éligible au soutien du Fonds de cohésion en 2017-2020, ce qui débouche sur un montant supplémentaire de 19 400 000 EUR.</w:t>
      </w:r>
    </w:p>
    <w:p w:rsidR="00E84155" w:rsidRDefault="00A01F78">
      <w:pPr>
        <w:pBdr>
          <w:top w:val="nil"/>
          <w:left w:val="nil"/>
          <w:bottom w:val="nil"/>
          <w:right w:val="nil"/>
          <w:between w:val="nil"/>
          <w:bar w:val="nil"/>
        </w:pBdr>
        <w:spacing w:before="0" w:after="240"/>
        <w:rPr>
          <w:rFonts w:eastAsia="Arial Unicode MS"/>
          <w:noProof/>
        </w:rPr>
      </w:pPr>
      <w:r>
        <w:rPr>
          <w:noProof/>
        </w:rPr>
        <w:t xml:space="preserve">Conformément à l'article 94, paragraphe 2, du règlement (UE) n° 1303/2013, la </w:t>
      </w:r>
      <w:r>
        <w:rPr>
          <w:noProof/>
        </w:rPr>
        <w:t>Commission a accepté une proposition présentée par le Danemark de transférer à l'objectif «Investissement pour la croissance et l'emploi» une partie de ses crédits alloués à l'objectif «Coopération territoriale européenne».</w:t>
      </w:r>
    </w:p>
    <w:p w:rsidR="00E84155" w:rsidRDefault="00A01F78">
      <w:pPr>
        <w:pBdr>
          <w:top w:val="nil"/>
          <w:left w:val="nil"/>
          <w:bottom w:val="nil"/>
          <w:right w:val="nil"/>
          <w:between w:val="nil"/>
          <w:bar w:val="nil"/>
        </w:pBdr>
        <w:spacing w:before="0" w:after="240"/>
        <w:rPr>
          <w:rFonts w:eastAsia="Arial Unicode MS"/>
          <w:noProof/>
        </w:rPr>
      </w:pPr>
      <w:r>
        <w:rPr>
          <w:noProof/>
        </w:rPr>
        <w:t>Enfin, le Conseil a décidé, le 2</w:t>
      </w:r>
      <w:r>
        <w:rPr>
          <w:noProof/>
        </w:rPr>
        <w:t>0 juin 2017, de prolonger l’IEJ jusqu’en 2020 avec un montant total de 1 200 000 000 EUR en prix courants pour la dotation spécifique y afférente, ventilé comme suit: 500 000 000 EUR en 2017 puis 233 333 333 EUR par an sur la période 2018-2020.</w:t>
      </w:r>
    </w:p>
    <w:p w:rsidR="00E84155" w:rsidRDefault="00E84155">
      <w:pPr>
        <w:pBdr>
          <w:top w:val="nil"/>
          <w:left w:val="nil"/>
          <w:bottom w:val="nil"/>
          <w:right w:val="nil"/>
          <w:between w:val="nil"/>
          <w:bar w:val="nil"/>
        </w:pBdr>
        <w:spacing w:before="0" w:after="240"/>
        <w:rPr>
          <w:rFonts w:eastAsia="Arial Unicode MS"/>
          <w:noProof/>
        </w:rPr>
        <w:sectPr w:rsidR="00E84155" w:rsidSect="00A01F78">
          <w:footerReference w:type="default" r:id="rId16"/>
          <w:footerReference w:type="first" r:id="rId17"/>
          <w:pgSz w:w="11907" w:h="16839"/>
          <w:pgMar w:top="1134" w:right="1417" w:bottom="1134" w:left="1417" w:header="709" w:footer="709" w:gutter="0"/>
          <w:cols w:space="708"/>
          <w:docGrid w:linePitch="360"/>
        </w:sectPr>
      </w:pPr>
    </w:p>
    <w:p w:rsidR="00E84155" w:rsidRDefault="00A01F78">
      <w:pPr>
        <w:pStyle w:val="Rfrenceinterinstitutionnelle"/>
        <w:rPr>
          <w:noProof/>
        </w:rPr>
      </w:pPr>
      <w:r>
        <w:rPr>
          <w:noProof/>
        </w:rPr>
        <w:t>2017/0247 (COD)</w:t>
      </w:r>
    </w:p>
    <w:p w:rsidR="00E84155" w:rsidRDefault="00A01F78">
      <w:pPr>
        <w:pStyle w:val="Statut"/>
        <w:rPr>
          <w:noProof/>
        </w:rPr>
      </w:pPr>
      <w:r>
        <w:rPr>
          <w:noProof/>
        </w:rPr>
        <w:t>Proposition de</w:t>
      </w:r>
    </w:p>
    <w:p w:rsidR="00E84155" w:rsidRDefault="00A01F78">
      <w:pPr>
        <w:pStyle w:val="Typedudocument"/>
        <w:rPr>
          <w:noProof/>
        </w:rPr>
      </w:pPr>
      <w:r>
        <w:rPr>
          <w:noProof/>
        </w:rPr>
        <w:t>RÈGLEMENT DU PARLEMENT EUROPÉEN ET DU CONSEIL</w:t>
      </w:r>
    </w:p>
    <w:p w:rsidR="00E84155" w:rsidRDefault="00A01F78">
      <w:pPr>
        <w:pStyle w:val="Titreobjet"/>
        <w:rPr>
          <w:noProof/>
        </w:rPr>
      </w:pPr>
      <w:r>
        <w:rPr>
          <w:noProof/>
        </w:rPr>
        <w:t>modifiant le règlement (UE) n° 1303/2013 en ce qui concerne les changements appo</w:t>
      </w:r>
      <w:r>
        <w:rPr>
          <w:noProof/>
        </w:rPr>
        <w:t>rtés aux ressources affectées à la cohésion économique, sociale et territoriale et aux ressources affectées aux objectifs «Investissement pour la croissance et l'emploi» et «Coopération territoriale européenne»</w:t>
      </w:r>
    </w:p>
    <w:p w:rsidR="00E84155" w:rsidRDefault="00A01F78">
      <w:pPr>
        <w:pStyle w:val="Institutionquiagit"/>
        <w:rPr>
          <w:noProof/>
          <w:szCs w:val="24"/>
        </w:rPr>
      </w:pPr>
      <w:r>
        <w:rPr>
          <w:noProof/>
        </w:rPr>
        <w:t xml:space="preserve">LE PARLEMENT EUROPÉEN ET LE CONSEIL DE </w:t>
      </w:r>
      <w:r>
        <w:rPr>
          <w:noProof/>
        </w:rPr>
        <w:t>L’UNION EUROPÉENNE,</w:t>
      </w:r>
    </w:p>
    <w:p w:rsidR="00E84155" w:rsidRDefault="00A01F78">
      <w:pPr>
        <w:rPr>
          <w:noProof/>
          <w:szCs w:val="24"/>
        </w:rPr>
      </w:pPr>
      <w:r>
        <w:rPr>
          <w:noProof/>
        </w:rPr>
        <w:t xml:space="preserve">vu le traité sur le fonctionnement de l’Union européenne, et notamment son article 177, </w:t>
      </w:r>
    </w:p>
    <w:p w:rsidR="00E84155" w:rsidRDefault="00A01F78">
      <w:pPr>
        <w:rPr>
          <w:noProof/>
          <w:szCs w:val="24"/>
        </w:rPr>
      </w:pPr>
      <w:r>
        <w:rPr>
          <w:noProof/>
        </w:rPr>
        <w:t>vu la proposition de la Commission européenne,</w:t>
      </w:r>
    </w:p>
    <w:p w:rsidR="00E84155" w:rsidRDefault="00A01F78">
      <w:pPr>
        <w:rPr>
          <w:noProof/>
          <w:szCs w:val="24"/>
        </w:rPr>
      </w:pPr>
      <w:r>
        <w:rPr>
          <w:noProof/>
        </w:rPr>
        <w:t>après transmission du projet d'acte législatif aux parlements nationaux,</w:t>
      </w:r>
    </w:p>
    <w:p w:rsidR="00E84155" w:rsidRDefault="00A01F78">
      <w:pPr>
        <w:rPr>
          <w:noProof/>
          <w:szCs w:val="24"/>
        </w:rPr>
      </w:pPr>
      <w:r>
        <w:rPr>
          <w:noProof/>
        </w:rPr>
        <w:t>vu l'avis du Comité économi</w:t>
      </w:r>
      <w:r>
        <w:rPr>
          <w:noProof/>
        </w:rPr>
        <w:t>que et social européen</w:t>
      </w:r>
      <w:r>
        <w:rPr>
          <w:rStyle w:val="FootnoteReference"/>
          <w:noProof/>
        </w:rPr>
        <w:footnoteReference w:id="6"/>
      </w:r>
      <w:r>
        <w:rPr>
          <w:noProof/>
        </w:rPr>
        <w:t>,</w:t>
      </w:r>
    </w:p>
    <w:p w:rsidR="00E84155" w:rsidRDefault="00A01F78">
      <w:pPr>
        <w:rPr>
          <w:noProof/>
          <w:szCs w:val="24"/>
        </w:rPr>
      </w:pPr>
      <w:r>
        <w:rPr>
          <w:noProof/>
        </w:rPr>
        <w:t>après consultation du Comité des régions</w:t>
      </w:r>
      <w:r>
        <w:rPr>
          <w:rStyle w:val="FootnoteReference"/>
          <w:noProof/>
        </w:rPr>
        <w:footnoteReference w:id="7"/>
      </w:r>
      <w:r>
        <w:rPr>
          <w:noProof/>
        </w:rPr>
        <w:t>,</w:t>
      </w:r>
    </w:p>
    <w:p w:rsidR="00E84155" w:rsidRDefault="00A01F78">
      <w:pPr>
        <w:rPr>
          <w:noProof/>
          <w:szCs w:val="24"/>
        </w:rPr>
      </w:pPr>
      <w:r>
        <w:rPr>
          <w:noProof/>
        </w:rPr>
        <w:t>statuant conformément à la procédure législative ordinaire,</w:t>
      </w:r>
    </w:p>
    <w:p w:rsidR="00E84155" w:rsidRDefault="00A01F78">
      <w:pPr>
        <w:rPr>
          <w:noProof/>
          <w:szCs w:val="24"/>
        </w:rPr>
      </w:pPr>
      <w:r>
        <w:rPr>
          <w:noProof/>
        </w:rPr>
        <w:t>considérant ce qui suit:</w:t>
      </w:r>
    </w:p>
    <w:p w:rsidR="00E84155" w:rsidRDefault="00A01F78">
      <w:pPr>
        <w:pStyle w:val="ManualConsidrant"/>
        <w:rPr>
          <w:noProof/>
          <w:szCs w:val="24"/>
        </w:rPr>
      </w:pPr>
      <w:r>
        <w:t>(1)</w:t>
      </w:r>
      <w:r>
        <w:tab/>
      </w:r>
      <w:r>
        <w:rPr>
          <w:noProof/>
        </w:rPr>
        <w:t>Le règlement (UE) n° 1303/2013 du Parlement européen et du Conseil</w:t>
      </w:r>
      <w:r>
        <w:rPr>
          <w:rStyle w:val="FootnoteReference"/>
          <w:noProof/>
        </w:rPr>
        <w:footnoteReference w:id="8"/>
      </w:r>
      <w:r>
        <w:rPr>
          <w:noProof/>
        </w:rPr>
        <w:t xml:space="preserve"> arrête les règles communes et l</w:t>
      </w:r>
      <w:r>
        <w:rPr>
          <w:noProof/>
        </w:rPr>
        <w:t>es règles générales applicables aux fonds structurels et d'investissement européens («Fonds ESI»).</w:t>
      </w:r>
    </w:p>
    <w:p w:rsidR="00E84155" w:rsidRDefault="00A01F78">
      <w:pPr>
        <w:pStyle w:val="ManualConsidrant"/>
        <w:rPr>
          <w:noProof/>
          <w:szCs w:val="24"/>
        </w:rPr>
      </w:pPr>
      <w:r>
        <w:t>(2)</w:t>
      </w:r>
      <w:r>
        <w:tab/>
      </w:r>
      <w:r>
        <w:rPr>
          <w:noProof/>
        </w:rPr>
        <w:t>Conformément à l’article 7, paragraphe 1, du règlement (UE, Euratom) n° 1311/2013</w:t>
      </w:r>
      <w:r>
        <w:rPr>
          <w:rStyle w:val="FootnoteReference"/>
          <w:noProof/>
        </w:rPr>
        <w:footnoteReference w:id="9"/>
      </w:r>
      <w:r>
        <w:rPr>
          <w:noProof/>
        </w:rPr>
        <w:t xml:space="preserve"> du Conseil et à l’article 92, paragraphe 3, du règlement (UE) n° 1303/</w:t>
      </w:r>
      <w:r>
        <w:rPr>
          <w:noProof/>
        </w:rPr>
        <w:t>2013, la Commission a procédé au réexamen, en 2016, des montants totaux alloués à l'ensemble des États membres au titre de l'objectif «Investissement pour la croissance et l'emploi» de la politique de cohésion pour la période 2017-2020.</w:t>
      </w:r>
    </w:p>
    <w:p w:rsidR="00E84155" w:rsidRDefault="00A01F78">
      <w:pPr>
        <w:pStyle w:val="ManualConsidrant"/>
        <w:rPr>
          <w:noProof/>
          <w:szCs w:val="24"/>
        </w:rPr>
      </w:pPr>
      <w:r>
        <w:t>(3)</w:t>
      </w:r>
      <w:r>
        <w:tab/>
      </w:r>
      <w:r>
        <w:rPr>
          <w:noProof/>
        </w:rPr>
        <w:t xml:space="preserve">Conformément à </w:t>
      </w:r>
      <w:r>
        <w:rPr>
          <w:noProof/>
        </w:rPr>
        <w:t>l'article 7, paragraphe 3, du règlement (UE, Euratom) n° 1311/2013 et à l'article 92, paragraphe 3, du règlement (UE) n° 1303/2013, la Commission a présenté les résultats de ce réexamen au Conseil et au Parlement européen</w:t>
      </w:r>
      <w:r>
        <w:rPr>
          <w:rStyle w:val="FootnoteReference"/>
          <w:noProof/>
        </w:rPr>
        <w:footnoteReference w:id="10"/>
      </w:r>
      <w:r>
        <w:rPr>
          <w:noProof/>
        </w:rPr>
        <w:t>. Dans la communication, il est in</w:t>
      </w:r>
      <w:r>
        <w:rPr>
          <w:noProof/>
        </w:rPr>
        <w:t>diqué que, sur la base des statistiques les plus récentes, il y a un écart cumulé supérieur à +/- 5 % entre les montants totaux alloués et les dotations révisées pour la Belgique, la République tchèque, le Danemark, l'Estonie, l'Irlande, la Grèce, l'Espagn</w:t>
      </w:r>
      <w:r>
        <w:rPr>
          <w:noProof/>
        </w:rPr>
        <w:t>e, la Croatie, l'Italie, Chypre, les Pays-Bas, la Slovénie, la Slovaquie, la Finlande, la Suède et le Royaume-Uni. En outre, il est précisé que, sur la base de son revenu national brut (RNB) par habitant de 2012 à 2014, Chypre deviendra pleinement éligible</w:t>
      </w:r>
      <w:r>
        <w:rPr>
          <w:noProof/>
        </w:rPr>
        <w:t xml:space="preserve"> au soutien du Fonds de cohésion à compter du 1</w:t>
      </w:r>
      <w:r>
        <w:rPr>
          <w:noProof/>
          <w:vertAlign w:val="superscript"/>
        </w:rPr>
        <w:t>er</w:t>
      </w:r>
      <w:r>
        <w:rPr>
          <w:noProof/>
        </w:rPr>
        <w:t xml:space="preserve"> janvier 2017. </w:t>
      </w:r>
    </w:p>
    <w:p w:rsidR="00E84155" w:rsidRDefault="00A01F78">
      <w:pPr>
        <w:pStyle w:val="ManualConsidrant"/>
        <w:rPr>
          <w:noProof/>
          <w:szCs w:val="24"/>
        </w:rPr>
      </w:pPr>
      <w:r>
        <w:t>(4)</w:t>
      </w:r>
      <w:r>
        <w:tab/>
      </w:r>
      <w:r>
        <w:rPr>
          <w:noProof/>
        </w:rPr>
        <w:t>Conformément à l'article 7, paragraphes 4 et 5, du règlement (UE, Euratom) n° 1311/2013 et à l'article 92, paragraphe 3, du règlement (UE) n° 1303/2013, il convient que les montants allou</w:t>
      </w:r>
      <w:r>
        <w:rPr>
          <w:noProof/>
        </w:rPr>
        <w:t>és à ces États membres soient ajustés en conséquence, pour autant que l'effet total net desdits ajustements ne dépasse pas 4 000 000 000 EUR.</w:t>
      </w:r>
    </w:p>
    <w:p w:rsidR="00E84155" w:rsidRDefault="00A01F78">
      <w:pPr>
        <w:pStyle w:val="ManualConsidrant"/>
        <w:rPr>
          <w:noProof/>
          <w:szCs w:val="24"/>
        </w:rPr>
      </w:pPr>
      <w:r>
        <w:t>(5)</w:t>
      </w:r>
      <w:r>
        <w:tab/>
      </w:r>
      <w:r>
        <w:rPr>
          <w:noProof/>
        </w:rPr>
        <w:t xml:space="preserve">Dans la mesure où le réexamen a eu une incidence sur la ventilation annuelle par État membre des </w:t>
      </w:r>
      <w:r>
        <w:rPr>
          <w:rStyle w:val="bold"/>
          <w:b w:val="0"/>
          <w:noProof/>
        </w:rPr>
        <w:t>ressources gl</w:t>
      </w:r>
      <w:r>
        <w:rPr>
          <w:rStyle w:val="bold"/>
          <w:b w:val="0"/>
          <w:noProof/>
        </w:rPr>
        <w:t>obales allouées au titre de l'objectif «Investissement pour la croissance et l'emploi» et de l'objectif «Coopération territoriale européenne», ainsi que des ressources allouées à l'initiative pour l'emploi des jeunes (ci-après l’«IEJ»)</w:t>
      </w:r>
      <w:r>
        <w:rPr>
          <w:noProof/>
        </w:rPr>
        <w:t>, il a été mis en œuv</w:t>
      </w:r>
      <w:r>
        <w:rPr>
          <w:noProof/>
        </w:rPr>
        <w:t>re par la décision d’exécution (UE) 2016/1941 de la Commission</w:t>
      </w:r>
      <w:r>
        <w:rPr>
          <w:rStyle w:val="FootnoteReference"/>
          <w:noProof/>
        </w:rPr>
        <w:footnoteReference w:id="11"/>
      </w:r>
      <w:r>
        <w:rPr>
          <w:noProof/>
        </w:rPr>
        <w:t>.</w:t>
      </w:r>
    </w:p>
    <w:p w:rsidR="00E84155" w:rsidRDefault="00A01F78">
      <w:pPr>
        <w:pStyle w:val="ManualConsidrant"/>
        <w:rPr>
          <w:noProof/>
          <w:szCs w:val="24"/>
        </w:rPr>
      </w:pPr>
      <w:r>
        <w:t>(6)</w:t>
      </w:r>
      <w:r>
        <w:tab/>
      </w:r>
      <w:r>
        <w:rPr>
          <w:noProof/>
        </w:rPr>
        <w:t>L’effet total net desdits ajustements représentera une augmentation de 4 000 000 000 EUR des ressources affectées à la cohésion économique, sociale et territoriale. Cette hausse devrait f</w:t>
      </w:r>
      <w:r>
        <w:rPr>
          <w:noProof/>
        </w:rPr>
        <w:t>igurer dans l'article 91, paragraphe 1, du règlement (UE) n° 1303/2013, qu’il convient donc d'adapter en conséquence.</w:t>
      </w:r>
      <w:r>
        <w:rPr>
          <w:noProof/>
          <w:highlight w:val="yellow"/>
        </w:rPr>
        <w:t xml:space="preserve"> </w:t>
      </w:r>
    </w:p>
    <w:p w:rsidR="00E84155" w:rsidRDefault="00A01F78">
      <w:pPr>
        <w:pStyle w:val="ManualConsidrant"/>
        <w:rPr>
          <w:noProof/>
          <w:szCs w:val="24"/>
        </w:rPr>
      </w:pPr>
      <w:r>
        <w:t>(7)</w:t>
      </w:r>
      <w:r>
        <w:tab/>
      </w:r>
      <w:r>
        <w:rPr>
          <w:noProof/>
        </w:rPr>
        <w:t xml:space="preserve">Les ressources destinées à l'objectif «Investissement pour la croissance et l'emploi» et leur répartition entre les régions moins </w:t>
      </w:r>
      <w:r>
        <w:rPr>
          <w:noProof/>
        </w:rPr>
        <w:t>développées, les régions en transition, les régions plus développées, les États membres bénéficiant du soutien du Fonds de cohésion et les régions ultrapériphériques telles que définies à l'article 92, paragraphe 1, du règlement (UE) n° 1303/2013, devraien</w:t>
      </w:r>
      <w:r>
        <w:rPr>
          <w:noProof/>
        </w:rPr>
        <w:t>t donc être adaptées en conséquence.</w:t>
      </w:r>
      <w:r>
        <w:rPr>
          <w:noProof/>
          <w:highlight w:val="yellow"/>
        </w:rPr>
        <w:t xml:space="preserve"> </w:t>
      </w:r>
    </w:p>
    <w:p w:rsidR="00E84155" w:rsidRDefault="00A01F78">
      <w:pPr>
        <w:pStyle w:val="ManualConsidrant"/>
        <w:rPr>
          <w:noProof/>
          <w:szCs w:val="24"/>
        </w:rPr>
      </w:pPr>
      <w:r>
        <w:t>(8)</w:t>
      </w:r>
      <w:r>
        <w:tab/>
      </w:r>
      <w:r>
        <w:rPr>
          <w:noProof/>
        </w:rPr>
        <w:t>Conformément à l’article 14, paragraphe 1, du règlement (UE, Euratom) n° 1311/2013, les marges laissées disponibles sous les plafonds du cadre financier pluriannuel (ci-après le «CFP») pour les crédits d'engagement</w:t>
      </w:r>
      <w:r>
        <w:rPr>
          <w:noProof/>
        </w:rPr>
        <w:t xml:space="preserve"> pour les années 2014-2017 constituent une marge globale du CFP en engagements, à mobiliser au-delà des plafonds établis dans le CFP pour les années 2016 à 2020 afin d'atteindre les objectifs des politiques liées à la croissance et à l'emploi, en particuli</w:t>
      </w:r>
      <w:r>
        <w:rPr>
          <w:noProof/>
        </w:rPr>
        <w:t>er celui des jeunes. Le règlement (UE, Euratom) 2017/1123 du Conseil</w:t>
      </w:r>
      <w:r>
        <w:rPr>
          <w:rStyle w:val="FootnoteReference"/>
          <w:noProof/>
        </w:rPr>
        <w:footnoteReference w:id="12"/>
      </w:r>
      <w:r>
        <w:rPr>
          <w:noProof/>
        </w:rPr>
        <w:t xml:space="preserve"> a supprimé la limitation des marges laissées disponibles sous les plafonds du CFP pour les crédits d’engagement pour les années 2014 à 2017, ce qui a permis de prolonger l’IEJ jusqu’en 2</w:t>
      </w:r>
      <w:r>
        <w:rPr>
          <w:noProof/>
        </w:rPr>
        <w:t>020 et d’accroître la dotation spécifique y afférente de 1 200 000 000 EUR en prix courants pour la période 2017-2020. Il convient donc de modifier en conséquence la dotation spécifique allouée à l’IEJ telle que fixée à l’article 91, paragraphe 1, et à l’a</w:t>
      </w:r>
      <w:r>
        <w:rPr>
          <w:noProof/>
        </w:rPr>
        <w:t>rticle 92, paragraphe 5, du règlement (UE) n° 1303/2013.</w:t>
      </w:r>
    </w:p>
    <w:p w:rsidR="00E84155" w:rsidRDefault="00A01F78">
      <w:pPr>
        <w:pStyle w:val="ManualConsidrant"/>
        <w:rPr>
          <w:noProof/>
          <w:szCs w:val="24"/>
        </w:rPr>
      </w:pPr>
      <w:r>
        <w:t>(9)</w:t>
      </w:r>
      <w:r>
        <w:tab/>
      </w:r>
      <w:r>
        <w:rPr>
          <w:noProof/>
        </w:rPr>
        <w:t>Conformément à l'article 94, paragraphe 2, du règlement (UE) n° 1303/2013, la Commission a accepté une proposition présentée par le Danemark de transférer une partie de ses crédits destinés à l'o</w:t>
      </w:r>
      <w:r>
        <w:rPr>
          <w:noProof/>
        </w:rPr>
        <w:t>bjectif «Coopération territoriale européenne» à l'objectif «Investissement pour la croissance et l'emploi». Ce transfert devrait se traduire par une modification des ressources globales affectées à l’objectif «Coopération territoriale européenne » en vertu</w:t>
      </w:r>
      <w:r>
        <w:rPr>
          <w:noProof/>
        </w:rPr>
        <w:t xml:space="preserve"> de l'article 92, paragraphe 9, dudit règlement. </w:t>
      </w:r>
    </w:p>
    <w:p w:rsidR="00E84155" w:rsidRDefault="00A01F78">
      <w:pPr>
        <w:pStyle w:val="ManualConsidrant"/>
        <w:rPr>
          <w:noProof/>
          <w:szCs w:val="24"/>
        </w:rPr>
      </w:pPr>
      <w:r>
        <w:t>(10)</w:t>
      </w:r>
      <w:r>
        <w:tab/>
      </w:r>
      <w:r>
        <w:rPr>
          <w:noProof/>
        </w:rPr>
        <w:t>En application de la procédure prévue à l'article 19, paragraphe 1, du règlement (UE, Euratom) n° 1311/2013, le règlement (UE, Euratom) 2015/623</w:t>
      </w:r>
      <w:r>
        <w:rPr>
          <w:rStyle w:val="FootnoteReference"/>
          <w:noProof/>
        </w:rPr>
        <w:footnoteReference w:id="13"/>
      </w:r>
      <w:r>
        <w:rPr>
          <w:noProof/>
        </w:rPr>
        <w:t xml:space="preserve"> du Conseil a prévu le transfert aux années ultérieures </w:t>
      </w:r>
      <w:r>
        <w:rPr>
          <w:noProof/>
        </w:rPr>
        <w:t xml:space="preserve">d'un montant de 11 216 187 326 EUR en prix courants de la dotation allouée aux Fonds structurels et au Fonds de cohésion. Un montant de 9 446 050 652 EUR en prix courants de la dotation prévue pour le Fonds européen agricole pour le développement rural et </w:t>
      </w:r>
      <w:r>
        <w:rPr>
          <w:noProof/>
        </w:rPr>
        <w:t>le Fonds européen pour les affaires maritimes et la pêche, qui n’avait pas pu être engagé en 2014 ni reporté à 2015, a été transféré aux années ultérieures. Ce transfert devrait apparaître à l'annexe VI du règlement (UE) n° 1303/2013, qui fixe la ventilati</w:t>
      </w:r>
      <w:r>
        <w:rPr>
          <w:noProof/>
        </w:rPr>
        <w:t>on annuelle des crédits d'engagement pour la période 2014-2020.</w:t>
      </w:r>
    </w:p>
    <w:p w:rsidR="00E84155" w:rsidRDefault="00A01F78">
      <w:pPr>
        <w:pStyle w:val="ManualConsidrant"/>
        <w:rPr>
          <w:noProof/>
        </w:rPr>
      </w:pPr>
      <w:r>
        <w:t>(11)</w:t>
      </w:r>
      <w:r>
        <w:tab/>
      </w:r>
      <w:r>
        <w:rPr>
          <w:noProof/>
        </w:rPr>
        <w:t xml:space="preserve">Étant donné l’urgence de prolonger les programmes de mise en œuvre de l’IEJ, le présent règlement devrait entrer en vigueur le jour suivant celui de sa publication au </w:t>
      </w:r>
      <w:r>
        <w:rPr>
          <w:i/>
          <w:noProof/>
        </w:rPr>
        <w:t xml:space="preserve">Journal officiel de </w:t>
      </w:r>
      <w:r>
        <w:rPr>
          <w:i/>
          <w:noProof/>
        </w:rPr>
        <w:t>l'Union européenne</w:t>
      </w:r>
      <w:r>
        <w:rPr>
          <w:noProof/>
        </w:rPr>
        <w:t>.</w:t>
      </w:r>
    </w:p>
    <w:p w:rsidR="00E84155" w:rsidRDefault="00A01F78">
      <w:pPr>
        <w:pStyle w:val="ManualConsidrant"/>
        <w:rPr>
          <w:noProof/>
        </w:rPr>
      </w:pPr>
      <w:r>
        <w:t>(12)</w:t>
      </w:r>
      <w:r>
        <w:tab/>
      </w:r>
      <w:r>
        <w:rPr>
          <w:noProof/>
        </w:rPr>
        <w:t xml:space="preserve">Il convient dès lors de modifier le règlement (UE) n° 1303/2013, </w:t>
      </w:r>
    </w:p>
    <w:p w:rsidR="00E84155" w:rsidRDefault="00A01F78">
      <w:pPr>
        <w:pStyle w:val="Formuledadoption"/>
        <w:rPr>
          <w:noProof/>
        </w:rPr>
      </w:pPr>
      <w:r>
        <w:rPr>
          <w:noProof/>
        </w:rPr>
        <w:t>ONT ADOPTÉ LE PRÉSENT RÈGLEMENT:</w:t>
      </w:r>
    </w:p>
    <w:p w:rsidR="00E84155" w:rsidRDefault="00A01F78">
      <w:pPr>
        <w:pStyle w:val="Titrearticle"/>
        <w:rPr>
          <w:noProof/>
        </w:rPr>
      </w:pPr>
      <w:r>
        <w:rPr>
          <w:noProof/>
        </w:rPr>
        <w:t>Article premier</w:t>
      </w:r>
    </w:p>
    <w:p w:rsidR="00E84155" w:rsidRDefault="00A01F78">
      <w:pPr>
        <w:rPr>
          <w:noProof/>
        </w:rPr>
      </w:pPr>
      <w:r>
        <w:rPr>
          <w:noProof/>
        </w:rPr>
        <w:t>Le règlement (UE) n° 1303/2013 est modifié comme suit:</w:t>
      </w:r>
    </w:p>
    <w:p w:rsidR="00E84155" w:rsidRDefault="00A01F78">
      <w:pPr>
        <w:pStyle w:val="ManualNumPar1"/>
        <w:rPr>
          <w:noProof/>
        </w:rPr>
      </w:pPr>
      <w:r>
        <w:t>1.</w:t>
      </w:r>
      <w:r>
        <w:tab/>
      </w:r>
      <w:r>
        <w:rPr>
          <w:noProof/>
        </w:rPr>
        <w:t>L’article 91, paragraphe 1, est remplacé par le texte suiv</w:t>
      </w:r>
      <w:r>
        <w:rPr>
          <w:noProof/>
        </w:rPr>
        <w:t>ant:</w:t>
      </w:r>
    </w:p>
    <w:p w:rsidR="00E84155" w:rsidRDefault="00A01F78">
      <w:pPr>
        <w:pStyle w:val="Text1"/>
        <w:rPr>
          <w:noProof/>
        </w:rPr>
      </w:pPr>
      <w:r>
        <w:rPr>
          <w:noProof/>
        </w:rPr>
        <w:t xml:space="preserve">«1. Les ressources affectées à la cohésion économique, sociale et territoriale disponibles pour les engagements budgétaires pour la période 2014-2020, exprimées aux prix de 2011, s'élèvent à 329 978 401 458 EUR, conformément à la ventilation annuelle </w:t>
      </w:r>
      <w:r>
        <w:rPr>
          <w:noProof/>
        </w:rPr>
        <w:t>présentée à l'annexe VI, dont 325 938 694 233 EUR représentent les ressources globales allouées au FEDER, au FSE et au Fonds de cohésion et 4 039 707 225 EUR représentent une dotation spécifique allouée à l'IEJ. Aux fins de la programmation et de l'inscrip</w:t>
      </w:r>
      <w:r>
        <w:rPr>
          <w:noProof/>
        </w:rPr>
        <w:t>tion ultérieure au budget général de l'Union, le montant des ressources affectées à la cohésion économique, sociale et territoriale est indexé de 2 % par an.»;</w:t>
      </w:r>
    </w:p>
    <w:p w:rsidR="00E84155" w:rsidRDefault="00A01F78">
      <w:pPr>
        <w:pStyle w:val="ManualNumPar1"/>
        <w:rPr>
          <w:noProof/>
        </w:rPr>
      </w:pPr>
      <w:r>
        <w:t>2.</w:t>
      </w:r>
      <w:r>
        <w:tab/>
      </w:r>
      <w:r>
        <w:rPr>
          <w:noProof/>
        </w:rPr>
        <w:t>l’article 92 est modifié comme suit:</w:t>
      </w:r>
    </w:p>
    <w:p w:rsidR="00E84155" w:rsidRDefault="00A01F78">
      <w:pPr>
        <w:pStyle w:val="Point1letter"/>
        <w:numPr>
          <w:ilvl w:val="3"/>
          <w:numId w:val="14"/>
        </w:numPr>
        <w:rPr>
          <w:noProof/>
        </w:rPr>
      </w:pPr>
      <w:r>
        <w:rPr>
          <w:noProof/>
        </w:rPr>
        <w:t>le paragraphe 1 est remplacé par le texte suivant:</w:t>
      </w:r>
    </w:p>
    <w:p w:rsidR="00E84155" w:rsidRDefault="00A01F78">
      <w:pPr>
        <w:pStyle w:val="Text2"/>
        <w:rPr>
          <w:noProof/>
        </w:rPr>
      </w:pPr>
      <w:r>
        <w:rPr>
          <w:noProof/>
        </w:rPr>
        <w:t xml:space="preserve">«1. </w:t>
      </w:r>
      <w:r>
        <w:rPr>
          <w:noProof/>
        </w:rPr>
        <w:t>Les ressources destinées à l’objectif «Investissement pour la croissance et l’emploi» s’élèvent à 96,09 % des ressources globales (soit un total de 317 103 114 309 EUR) et sont réparties comme suit:</w:t>
      </w:r>
    </w:p>
    <w:p w:rsidR="00E84155" w:rsidRDefault="00A01F78">
      <w:pPr>
        <w:pStyle w:val="Text2"/>
        <w:rPr>
          <w:noProof/>
        </w:rPr>
      </w:pPr>
      <w:r>
        <w:rPr>
          <w:noProof/>
        </w:rPr>
        <w:t>a) 48,64 % (soit un total de 160 498 028 177 EUR) pour le</w:t>
      </w:r>
      <w:r>
        <w:rPr>
          <w:noProof/>
        </w:rPr>
        <w:t>s régions moins développées;</w:t>
      </w:r>
    </w:p>
    <w:p w:rsidR="00E84155" w:rsidRDefault="00A01F78">
      <w:pPr>
        <w:pStyle w:val="Text2"/>
        <w:rPr>
          <w:noProof/>
        </w:rPr>
      </w:pPr>
      <w:r>
        <w:rPr>
          <w:noProof/>
        </w:rPr>
        <w:t>b) 10,19 % (soit un total de 33 621 675 154 EUR) pour les régions en transition;</w:t>
      </w:r>
    </w:p>
    <w:p w:rsidR="00E84155" w:rsidRDefault="00A01F78">
      <w:pPr>
        <w:pStyle w:val="Text2"/>
        <w:rPr>
          <w:noProof/>
        </w:rPr>
      </w:pPr>
      <w:r>
        <w:rPr>
          <w:noProof/>
        </w:rPr>
        <w:t>c) 15,43 % (soit un total de 50 914 723 304 EUR) pour les régions plus développées;</w:t>
      </w:r>
    </w:p>
    <w:p w:rsidR="00E84155" w:rsidRDefault="00A01F78">
      <w:pPr>
        <w:pStyle w:val="Text2"/>
        <w:rPr>
          <w:noProof/>
        </w:rPr>
      </w:pPr>
      <w:r>
        <w:rPr>
          <w:noProof/>
        </w:rPr>
        <w:t>d) 20,01 % (soit un total de 66 029 882 135 EUR) pour les État</w:t>
      </w:r>
      <w:r>
        <w:rPr>
          <w:noProof/>
        </w:rPr>
        <w:t>s membres bénéficiant du soutien du Fonds de cohésion;</w:t>
      </w:r>
    </w:p>
    <w:p w:rsidR="00E84155" w:rsidRDefault="00A01F78">
      <w:pPr>
        <w:pStyle w:val="Text2"/>
        <w:rPr>
          <w:noProof/>
        </w:rPr>
      </w:pPr>
      <w:r>
        <w:rPr>
          <w:noProof/>
        </w:rPr>
        <w:t>e) 0,42 % (soit un total de 1 378 882 914 EUR) en tant que financement supplémentaire pour les régions ultrapériphériques visées à l'article 349 du traité sur le fonctionnement de l'Union européenne et</w:t>
      </w:r>
      <w:r>
        <w:rPr>
          <w:noProof/>
        </w:rPr>
        <w:t xml:space="preserve"> les régions de niveau NUTS 2 répondant aux critères fixés à l'article 2 du protocole n° 6 annexé à l'acte d'adhésion de 1994.»;</w:t>
      </w:r>
    </w:p>
    <w:p w:rsidR="00E84155" w:rsidRDefault="00A01F78">
      <w:pPr>
        <w:pStyle w:val="Point1letter"/>
        <w:rPr>
          <w:noProof/>
        </w:rPr>
      </w:pPr>
      <w:r>
        <w:rPr>
          <w:noProof/>
        </w:rPr>
        <w:t>le paragraphe 5 est remplacé par le texte suivant:</w:t>
      </w:r>
    </w:p>
    <w:p w:rsidR="00E84155" w:rsidRDefault="00A01F78">
      <w:pPr>
        <w:pStyle w:val="Text2"/>
        <w:rPr>
          <w:noProof/>
        </w:rPr>
      </w:pPr>
      <w:r>
        <w:rPr>
          <w:noProof/>
        </w:rPr>
        <w:t>«5. Les ressources affectées à l'IEJ s'élèvent à 4 039 707 225 EUR provenant</w:t>
      </w:r>
      <w:r>
        <w:rPr>
          <w:noProof/>
        </w:rPr>
        <w:t xml:space="preserve"> de la dotation spécifique allouée à l'IEJ et au moins 4 039 707 225 EUR provenant d'investissements ciblés du FSE.»;</w:t>
      </w:r>
    </w:p>
    <w:p w:rsidR="00E84155" w:rsidRDefault="00A01F78">
      <w:pPr>
        <w:pStyle w:val="Point1letter"/>
        <w:rPr>
          <w:noProof/>
        </w:rPr>
      </w:pPr>
      <w:r>
        <w:rPr>
          <w:noProof/>
        </w:rPr>
        <w:t>le paragraphe 9 est remplacé par le texte suivant:</w:t>
      </w:r>
    </w:p>
    <w:p w:rsidR="00E84155" w:rsidRDefault="00A01F78">
      <w:pPr>
        <w:pStyle w:val="Text2"/>
        <w:rPr>
          <w:noProof/>
        </w:rPr>
      </w:pPr>
      <w:r>
        <w:rPr>
          <w:noProof/>
        </w:rPr>
        <w:t>«9. Les ressources affectées à l'objectif «Coopération territoriale européenne» s'élève</w:t>
      </w:r>
      <w:r>
        <w:rPr>
          <w:noProof/>
        </w:rPr>
        <w:t>nt à 2,69 % des ressources globales disponibles pour les engagements budgétaires des Fonds pour la période 2014-2020 (soit un total de 8 865 148 841 EUR).».</w:t>
      </w:r>
    </w:p>
    <w:p w:rsidR="00E84155" w:rsidRDefault="00A01F78">
      <w:pPr>
        <w:pStyle w:val="ManualNumPar1"/>
        <w:rPr>
          <w:noProof/>
        </w:rPr>
      </w:pPr>
      <w:r>
        <w:rPr>
          <w:noProof/>
        </w:rPr>
        <w:t>3.</w:t>
      </w:r>
      <w:r>
        <w:rPr>
          <w:noProof/>
        </w:rPr>
        <w:tab/>
        <w:t>L'annexe VI est remplacée par le texte figurant à l'annexe du présent règlement.</w:t>
      </w:r>
    </w:p>
    <w:p w:rsidR="00E84155" w:rsidRDefault="00A01F78">
      <w:pPr>
        <w:pStyle w:val="Titrearticle"/>
        <w:rPr>
          <w:noProof/>
        </w:rPr>
      </w:pPr>
      <w:r>
        <w:rPr>
          <w:noProof/>
        </w:rPr>
        <w:t>Article 2</w:t>
      </w:r>
    </w:p>
    <w:p w:rsidR="00E84155" w:rsidRDefault="00A01F78">
      <w:pPr>
        <w:rPr>
          <w:noProof/>
        </w:rPr>
      </w:pPr>
      <w:r>
        <w:rPr>
          <w:noProof/>
        </w:rPr>
        <w:t>Le pr</w:t>
      </w:r>
      <w:r>
        <w:rPr>
          <w:noProof/>
        </w:rPr>
        <w:t xml:space="preserve">ésent règlement entre en vigueur le jour suivant celui de sa publication au </w:t>
      </w:r>
      <w:r>
        <w:rPr>
          <w:i/>
          <w:noProof/>
        </w:rPr>
        <w:t>Journal officiel de l’Union européenne</w:t>
      </w:r>
      <w:r>
        <w:rPr>
          <w:noProof/>
        </w:rPr>
        <w:t>.</w:t>
      </w:r>
    </w:p>
    <w:p w:rsidR="00E84155" w:rsidRDefault="00A01F78">
      <w:pPr>
        <w:pStyle w:val="Applicationdirecte"/>
        <w:keepNext/>
        <w:keepLines/>
        <w:rPr>
          <w:noProof/>
        </w:rPr>
      </w:pPr>
      <w:r>
        <w:rPr>
          <w:noProof/>
        </w:rPr>
        <w:t>Le présent règlement est obligatoire dans tous ses éléments et directement applicable dans tout État membre.</w:t>
      </w:r>
    </w:p>
    <w:p w:rsidR="00E84155" w:rsidRDefault="00A01F78">
      <w:pPr>
        <w:pStyle w:val="Fait"/>
        <w:rPr>
          <w:noProof/>
        </w:rPr>
      </w:pPr>
      <w:r>
        <w:rPr>
          <w:noProof/>
        </w:rPr>
        <w:t>Fait à Bruxelles, le</w:t>
      </w:r>
    </w:p>
    <w:p w:rsidR="00E84155" w:rsidRDefault="00A01F78">
      <w:pPr>
        <w:pStyle w:val="Institutionquisigne"/>
        <w:rPr>
          <w:noProof/>
        </w:rPr>
      </w:pPr>
      <w:r>
        <w:rPr>
          <w:noProof/>
        </w:rPr>
        <w:t>Par le Par</w:t>
      </w:r>
      <w:r>
        <w:rPr>
          <w:noProof/>
        </w:rPr>
        <w:t>lement européen</w:t>
      </w:r>
      <w:r>
        <w:rPr>
          <w:noProof/>
        </w:rPr>
        <w:tab/>
        <w:t>Par le Conseil</w:t>
      </w:r>
    </w:p>
    <w:p w:rsidR="00E84155" w:rsidRDefault="00A01F78">
      <w:pPr>
        <w:pStyle w:val="Personnequisigne"/>
        <w:rPr>
          <w:noProof/>
        </w:rPr>
        <w:sectPr w:rsidR="00E84155" w:rsidSect="00A01F78">
          <w:pgSz w:w="11907" w:h="16839"/>
          <w:pgMar w:top="1134" w:right="1417" w:bottom="1134" w:left="1417" w:header="709" w:footer="709" w:gutter="0"/>
          <w:cols w:space="708"/>
          <w:docGrid w:linePitch="360"/>
        </w:sectPr>
      </w:pPr>
      <w:r>
        <w:rPr>
          <w:noProof/>
        </w:rPr>
        <w:t>Le président</w:t>
      </w:r>
      <w:r>
        <w:rPr>
          <w:noProof/>
        </w:rPr>
        <w:tab/>
        <w:t>Le président</w:t>
      </w:r>
    </w:p>
    <w:p w:rsidR="00E84155" w:rsidRDefault="00A01F78">
      <w:pPr>
        <w:pStyle w:val="Fichefinanciretitre"/>
        <w:rPr>
          <w:noProof/>
        </w:rPr>
      </w:pPr>
      <w:r>
        <w:rPr>
          <w:noProof/>
        </w:rPr>
        <w:t xml:space="preserve">FICHE FINANCIÈRE LÉGISLATIVE </w:t>
      </w:r>
    </w:p>
    <w:p w:rsidR="00E84155" w:rsidRDefault="00A01F78">
      <w:pPr>
        <w:pStyle w:val="ManualHeading1"/>
        <w:rPr>
          <w:noProof/>
        </w:rPr>
      </w:pPr>
      <w:r>
        <w:rPr>
          <w:noProof/>
        </w:rPr>
        <w:t>1.</w:t>
      </w:r>
      <w:r>
        <w:rPr>
          <w:noProof/>
        </w:rPr>
        <w:tab/>
        <w:t xml:space="preserve">CADRE DE LA PROPOSITION/DE L'INITIATIVE </w:t>
      </w:r>
    </w:p>
    <w:p w:rsidR="00E84155" w:rsidRDefault="00A01F78">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E84155" w:rsidRDefault="00A01F78">
      <w:pPr>
        <w:pStyle w:val="ManualHeading2"/>
        <w:rPr>
          <w:b w:val="0"/>
          <w:noProof/>
        </w:rPr>
      </w:pPr>
      <w:r>
        <w:rPr>
          <w:noProof/>
        </w:rPr>
        <w:tab/>
      </w:r>
      <w:r>
        <w:rPr>
          <w:b w:val="0"/>
          <w:noProof/>
        </w:rPr>
        <w:t>1.2.</w:t>
      </w:r>
      <w:r>
        <w:rPr>
          <w:noProof/>
        </w:rPr>
        <w:tab/>
      </w:r>
      <w:r>
        <w:rPr>
          <w:b w:val="0"/>
          <w:noProof/>
        </w:rPr>
        <w:t xml:space="preserve">Domaine(s) politique(s) concerné(s) dans la </w:t>
      </w:r>
      <w:r>
        <w:rPr>
          <w:b w:val="0"/>
          <w:noProof/>
        </w:rPr>
        <w:t>structure ABM/ABB</w:t>
      </w:r>
    </w:p>
    <w:p w:rsidR="00E84155" w:rsidRDefault="00A01F78">
      <w:pPr>
        <w:pStyle w:val="ManualHeading2"/>
        <w:rPr>
          <w:b w:val="0"/>
          <w:noProof/>
        </w:rPr>
      </w:pPr>
      <w:r>
        <w:rPr>
          <w:noProof/>
        </w:rPr>
        <w:tab/>
      </w:r>
      <w:r>
        <w:rPr>
          <w:b w:val="0"/>
          <w:noProof/>
        </w:rPr>
        <w:t>1.3.</w:t>
      </w:r>
      <w:r>
        <w:rPr>
          <w:noProof/>
        </w:rPr>
        <w:tab/>
      </w:r>
      <w:r>
        <w:rPr>
          <w:b w:val="0"/>
          <w:noProof/>
        </w:rPr>
        <w:t xml:space="preserve">Nature de la proposition/de l'initiative </w:t>
      </w:r>
    </w:p>
    <w:p w:rsidR="00E84155" w:rsidRDefault="00A01F78">
      <w:pPr>
        <w:pStyle w:val="ManualHeading2"/>
        <w:rPr>
          <w:b w:val="0"/>
          <w:noProof/>
        </w:rPr>
      </w:pPr>
      <w:r>
        <w:rPr>
          <w:noProof/>
        </w:rPr>
        <w:tab/>
      </w:r>
      <w:r>
        <w:rPr>
          <w:b w:val="0"/>
          <w:noProof/>
        </w:rPr>
        <w:t>1.4.</w:t>
      </w:r>
      <w:r>
        <w:rPr>
          <w:noProof/>
        </w:rPr>
        <w:tab/>
      </w:r>
      <w:r>
        <w:rPr>
          <w:b w:val="0"/>
          <w:noProof/>
        </w:rPr>
        <w:t xml:space="preserve">Objectif(s) </w:t>
      </w:r>
    </w:p>
    <w:p w:rsidR="00E84155" w:rsidRDefault="00A01F78">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E84155" w:rsidRDefault="00A01F78">
      <w:pPr>
        <w:pStyle w:val="ManualHeading2"/>
        <w:rPr>
          <w:b w:val="0"/>
          <w:noProof/>
        </w:rPr>
      </w:pPr>
      <w:r>
        <w:rPr>
          <w:noProof/>
        </w:rPr>
        <w:tab/>
      </w:r>
      <w:r>
        <w:rPr>
          <w:b w:val="0"/>
          <w:noProof/>
        </w:rPr>
        <w:t>1.6.</w:t>
      </w:r>
      <w:r>
        <w:rPr>
          <w:noProof/>
        </w:rPr>
        <w:tab/>
      </w:r>
      <w:r>
        <w:rPr>
          <w:b w:val="0"/>
          <w:noProof/>
        </w:rPr>
        <w:t xml:space="preserve">Durée et incidence financière </w:t>
      </w:r>
    </w:p>
    <w:p w:rsidR="00E84155" w:rsidRDefault="00A01F78">
      <w:pPr>
        <w:pStyle w:val="ManualHeading2"/>
        <w:rPr>
          <w:b w:val="0"/>
          <w:noProof/>
        </w:rPr>
      </w:pPr>
      <w:r>
        <w:rPr>
          <w:noProof/>
        </w:rPr>
        <w:tab/>
      </w:r>
      <w:r>
        <w:rPr>
          <w:b w:val="0"/>
          <w:noProof/>
        </w:rPr>
        <w:t>1.7.</w:t>
      </w:r>
      <w:r>
        <w:rPr>
          <w:noProof/>
        </w:rPr>
        <w:tab/>
      </w:r>
      <w:r>
        <w:rPr>
          <w:b w:val="0"/>
          <w:noProof/>
        </w:rPr>
        <w:t xml:space="preserve">Mode(s) de gestion prévu(s) </w:t>
      </w:r>
    </w:p>
    <w:p w:rsidR="00E84155" w:rsidRDefault="00A01F78">
      <w:pPr>
        <w:pStyle w:val="ManualHeading1"/>
        <w:rPr>
          <w:noProof/>
        </w:rPr>
      </w:pPr>
      <w:r>
        <w:rPr>
          <w:noProof/>
        </w:rPr>
        <w:t>2.</w:t>
      </w:r>
      <w:r>
        <w:rPr>
          <w:noProof/>
        </w:rPr>
        <w:tab/>
        <w:t xml:space="preserve">MESURES DE GESTION </w:t>
      </w:r>
    </w:p>
    <w:p w:rsidR="00E84155" w:rsidRDefault="00A01F78">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E84155" w:rsidRDefault="00A01F78">
      <w:pPr>
        <w:pStyle w:val="ManualHeading2"/>
        <w:rPr>
          <w:b w:val="0"/>
          <w:noProof/>
        </w:rPr>
      </w:pPr>
      <w:r>
        <w:rPr>
          <w:noProof/>
        </w:rPr>
        <w:tab/>
      </w:r>
      <w:r>
        <w:rPr>
          <w:b w:val="0"/>
          <w:noProof/>
        </w:rPr>
        <w:t>2.2.</w:t>
      </w:r>
      <w:r>
        <w:rPr>
          <w:noProof/>
        </w:rPr>
        <w:tab/>
      </w:r>
      <w:r>
        <w:rPr>
          <w:b w:val="0"/>
          <w:noProof/>
        </w:rPr>
        <w:t xml:space="preserve">Système de gestion et de contrôle </w:t>
      </w:r>
    </w:p>
    <w:p w:rsidR="00E84155" w:rsidRDefault="00A01F78">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E84155" w:rsidRDefault="00A01F78">
      <w:pPr>
        <w:pStyle w:val="ManualHeading1"/>
        <w:rPr>
          <w:noProof/>
        </w:rPr>
      </w:pPr>
      <w:r>
        <w:rPr>
          <w:noProof/>
        </w:rPr>
        <w:t>3.</w:t>
      </w:r>
      <w:r>
        <w:rPr>
          <w:noProof/>
        </w:rPr>
        <w:tab/>
        <w:t xml:space="preserve">INCIDENCE FINANCIÈRE ESTIMÉE DE LA PROPOSITION/DE L'INITIATIVE </w:t>
      </w:r>
    </w:p>
    <w:p w:rsidR="00E84155" w:rsidRDefault="00A01F78">
      <w:pPr>
        <w:pStyle w:val="ManualHeading2"/>
        <w:rPr>
          <w:b w:val="0"/>
          <w:noProof/>
        </w:rPr>
      </w:pPr>
      <w:r>
        <w:rPr>
          <w:noProof/>
        </w:rPr>
        <w:tab/>
      </w:r>
      <w:r>
        <w:rPr>
          <w:b w:val="0"/>
          <w:noProof/>
        </w:rPr>
        <w:t>3.1.</w:t>
      </w:r>
      <w:r>
        <w:rPr>
          <w:noProof/>
        </w:rPr>
        <w:tab/>
      </w:r>
      <w:r>
        <w:rPr>
          <w:b w:val="0"/>
          <w:noProof/>
        </w:rPr>
        <w:t xml:space="preserve">Rubrique(s) du cadre financier </w:t>
      </w:r>
      <w:r>
        <w:rPr>
          <w:b w:val="0"/>
          <w:noProof/>
        </w:rPr>
        <w:t xml:space="preserve">pluriannuel et ligne(s) budgétaire(s) de dépenses concernée(s) </w:t>
      </w:r>
    </w:p>
    <w:p w:rsidR="00E84155" w:rsidRDefault="00A01F78">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E84155" w:rsidRDefault="00A01F78">
      <w:pPr>
        <w:pStyle w:val="ManualHeading3"/>
        <w:rPr>
          <w:noProof/>
        </w:rPr>
      </w:pPr>
      <w:r>
        <w:rPr>
          <w:noProof/>
        </w:rPr>
        <w:tab/>
        <w:t>3.2.1.</w:t>
      </w:r>
      <w:r>
        <w:rPr>
          <w:noProof/>
        </w:rPr>
        <w:tab/>
        <w:t xml:space="preserve">Synthèse de l'incidence estimée sur les dépenses </w:t>
      </w:r>
    </w:p>
    <w:p w:rsidR="00E84155" w:rsidRDefault="00A01F78">
      <w:pPr>
        <w:pStyle w:val="ManualHeading3"/>
        <w:rPr>
          <w:noProof/>
        </w:rPr>
      </w:pPr>
      <w:r>
        <w:rPr>
          <w:noProof/>
        </w:rPr>
        <w:tab/>
        <w:t>3.2.2.</w:t>
      </w:r>
      <w:r>
        <w:rPr>
          <w:noProof/>
        </w:rPr>
        <w:tab/>
        <w:t xml:space="preserve">Incidence estimée sur les crédits opérationnels </w:t>
      </w:r>
    </w:p>
    <w:p w:rsidR="00E84155" w:rsidRDefault="00A01F78">
      <w:pPr>
        <w:pStyle w:val="ManualHeading3"/>
        <w:rPr>
          <w:noProof/>
        </w:rPr>
      </w:pPr>
      <w:r>
        <w:rPr>
          <w:noProof/>
        </w:rPr>
        <w:tab/>
        <w:t>3.2.3.</w:t>
      </w:r>
      <w:r>
        <w:rPr>
          <w:noProof/>
        </w:rPr>
        <w:tab/>
        <w:t>Incidence estimée sur les c</w:t>
      </w:r>
      <w:r>
        <w:rPr>
          <w:noProof/>
        </w:rPr>
        <w:t>rédits de nature administrative</w:t>
      </w:r>
    </w:p>
    <w:p w:rsidR="00E84155" w:rsidRDefault="00A01F78">
      <w:pPr>
        <w:pStyle w:val="ManualHeading3"/>
        <w:rPr>
          <w:noProof/>
        </w:rPr>
      </w:pPr>
      <w:r>
        <w:rPr>
          <w:noProof/>
        </w:rPr>
        <w:tab/>
        <w:t>3.2.4.</w:t>
      </w:r>
      <w:r>
        <w:rPr>
          <w:noProof/>
        </w:rPr>
        <w:tab/>
        <w:t>Compatibilité avec le cadre financier pluriannuel actuel</w:t>
      </w:r>
    </w:p>
    <w:p w:rsidR="00E84155" w:rsidRDefault="00A01F78">
      <w:pPr>
        <w:pStyle w:val="ManualHeading3"/>
        <w:rPr>
          <w:noProof/>
        </w:rPr>
      </w:pPr>
      <w:r>
        <w:rPr>
          <w:noProof/>
        </w:rPr>
        <w:tab/>
        <w:t>3.2.5.</w:t>
      </w:r>
      <w:r>
        <w:rPr>
          <w:noProof/>
        </w:rPr>
        <w:tab/>
        <w:t xml:space="preserve">Participation de tiers au financement </w:t>
      </w:r>
    </w:p>
    <w:p w:rsidR="00E84155" w:rsidRDefault="00A01F78">
      <w:pPr>
        <w:pStyle w:val="ManualHeading2"/>
        <w:jc w:val="left"/>
        <w:rPr>
          <w:b w:val="0"/>
          <w:noProof/>
        </w:rPr>
        <w:sectPr w:rsidR="00E84155" w:rsidSect="00A01F78">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E84155" w:rsidRDefault="00A01F78">
      <w:pPr>
        <w:jc w:val="center"/>
        <w:rPr>
          <w:b/>
          <w:noProof/>
          <w:u w:val="single"/>
        </w:rPr>
      </w:pPr>
      <w:r>
        <w:rPr>
          <w:b/>
          <w:noProof/>
          <w:u w:val="single"/>
        </w:rPr>
        <w:t>FICHE FINANCIÈRE LÉGISLATIVE</w:t>
      </w:r>
    </w:p>
    <w:p w:rsidR="00E84155" w:rsidRDefault="00A01F78">
      <w:pPr>
        <w:pStyle w:val="ManualHeading1"/>
        <w:rPr>
          <w:noProof/>
        </w:rPr>
      </w:pPr>
      <w:r>
        <w:rPr>
          <w:noProof/>
        </w:rPr>
        <w:t>1.</w:t>
      </w:r>
      <w:r>
        <w:rPr>
          <w:noProof/>
        </w:rPr>
        <w:tab/>
        <w:t>CADRE DE LA PROP</w:t>
      </w:r>
      <w:r>
        <w:rPr>
          <w:noProof/>
        </w:rPr>
        <w:t xml:space="preserve">OSITION/DE L'INITIATIVE </w:t>
      </w:r>
    </w:p>
    <w:p w:rsidR="00E84155" w:rsidRDefault="00A01F78">
      <w:pPr>
        <w:pStyle w:val="ManualHeading2"/>
        <w:rPr>
          <w:noProof/>
        </w:rPr>
      </w:pPr>
      <w:r>
        <w:rPr>
          <w:noProof/>
        </w:rPr>
        <w:t>1.1.</w:t>
      </w:r>
      <w:r>
        <w:rPr>
          <w:noProof/>
        </w:rPr>
        <w:tab/>
        <w:t xml:space="preserve">Dénomination de la proposition/de l'initiative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Proposition de</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 xml:space="preserve">modifiant le règlement (UE) n° 1303/2013 en ce qui concerne les changements apportés aux ressources affectées à la </w:t>
      </w:r>
      <w:r>
        <w:rPr>
          <w:noProof/>
        </w:rPr>
        <w:t>cohésion économique, sociale et territoriale et aux ressources affectées aux objectifs «Investissement pour la croissance et l'emploi» et «Coopération territoriale européenne»</w:t>
      </w:r>
    </w:p>
    <w:p w:rsidR="00E84155" w:rsidRDefault="00A01F78">
      <w:pPr>
        <w:pStyle w:val="ManualHeading2"/>
        <w:rPr>
          <w:noProof/>
          <w:szCs w:val="24"/>
        </w:rPr>
      </w:pPr>
      <w:r>
        <w:rPr>
          <w:noProof/>
        </w:rPr>
        <w:t>1.2.</w:t>
      </w:r>
      <w:r>
        <w:rPr>
          <w:noProof/>
        </w:rPr>
        <w:tab/>
        <w:t>Domaine(s) politique(s) concerné(s) dans la structure ABM/ABB</w:t>
      </w:r>
      <w:r>
        <w:rPr>
          <w:rStyle w:val="FootnoteReference"/>
          <w:noProof/>
        </w:rPr>
        <w:footnoteReference w:id="14"/>
      </w:r>
      <w:r>
        <w:rPr>
          <w:i/>
          <w:noProof/>
        </w:rPr>
        <w:t xml:space="preserve">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4 Emploi, a</w:t>
      </w:r>
      <w:r>
        <w:rPr>
          <w:noProof/>
        </w:rPr>
        <w:t>ffaires sociales et inclusion</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04 02 60 – Fonds social européen – Régions moins développées – Objectif «Investissement pour la croissance et l’emploi»</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04 02 61 – Fonds social européen – Régions en transition – Objectif «Investissement pour la croissance et</w:t>
      </w:r>
      <w:r>
        <w:rPr>
          <w:noProof/>
        </w:rPr>
        <w:t xml:space="preserve"> l’emploi»</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 xml:space="preserve">04 02 62 – Fonds social européen – Régions plus développées – Objectif «Investissement pour la croissance et l’emploi» </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04 02 64 – Initiative pour l’emploi des jeunes</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 xml:space="preserve">13 Politique régionale et urbaine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13 03 60 – Fonds européen de développeme</w:t>
      </w:r>
      <w:r>
        <w:rPr>
          <w:noProof/>
        </w:rPr>
        <w:t xml:space="preserve">nt régional (FEDER) – Régions moins développées – Objectif «Investissement pour la croissance et l’emploi» </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 xml:space="preserve">13 03 61 – Fonds européen de développement régional (FEDER) – Régions en transition – Objectif «Investissement pour la croissance et l’emploi» </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13</w:t>
      </w:r>
      <w:r>
        <w:rPr>
          <w:noProof/>
        </w:rPr>
        <w:t xml:space="preserve"> 03 62 – Fonds européen de développement régional (FEDER) – Régions plus développées – Objectif «Investissement pour la croissance et l’emploi» </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13 03 63 – Fonds européen de développement régional (FEDER) — Dotation supplémentaire pour les régions ultrapé</w:t>
      </w:r>
      <w:r>
        <w:rPr>
          <w:noProof/>
        </w:rPr>
        <w:t>riphériques et à faible densité de population — Objectif «Investissement pour la croissance et l’emploi»</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13 03 64 01 – Fonds européen de développement régional (FEDER) — Coopération territoriale européenne</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13 04 60 – Fonds de cohésion — Objectif «Investi</w:t>
      </w:r>
      <w:r>
        <w:rPr>
          <w:noProof/>
        </w:rPr>
        <w:t>ssement pour la croissance et l’emploi»</w:t>
      </w:r>
    </w:p>
    <w:p w:rsidR="00E84155" w:rsidRDefault="00A01F78">
      <w:pPr>
        <w:pStyle w:val="ManualHeading2"/>
        <w:rPr>
          <w:bCs/>
          <w:noProof/>
          <w:szCs w:val="24"/>
        </w:rPr>
      </w:pPr>
      <w:r>
        <w:rPr>
          <w:noProof/>
        </w:rPr>
        <w:t>1.3.</w:t>
      </w:r>
      <w:r>
        <w:rPr>
          <w:noProof/>
        </w:rPr>
        <w:tab/>
        <w:t xml:space="preserve">Nature de la proposition/de l'initiative </w:t>
      </w:r>
    </w:p>
    <w:p w:rsidR="00E84155" w:rsidRDefault="00A01F78">
      <w:pPr>
        <w:pStyle w:val="Text1"/>
        <w:rPr>
          <w:b/>
          <w:noProof/>
          <w:sz w:val="22"/>
        </w:rPr>
      </w:pPr>
      <w:r>
        <w:rPr>
          <w:noProof/>
          <w:sz w:val="22"/>
        </w:rPr>
        <w:sym w:font="Wingdings" w:char="F0A8"/>
      </w:r>
      <w:r>
        <w:rPr>
          <w:b/>
          <w:i/>
          <w:noProof/>
          <w:sz w:val="22"/>
        </w:rPr>
        <w:t xml:space="preserve"> </w:t>
      </w:r>
      <w:r>
        <w:rPr>
          <w:noProof/>
        </w:rPr>
        <w:t xml:space="preserve">La proposition/l'initiative porte sur une </w:t>
      </w:r>
      <w:r>
        <w:rPr>
          <w:b/>
          <w:noProof/>
        </w:rPr>
        <w:t>action nouvelle</w:t>
      </w:r>
      <w:r>
        <w:rPr>
          <w:b/>
          <w:noProof/>
          <w:sz w:val="22"/>
        </w:rPr>
        <w:t xml:space="preserve"> </w:t>
      </w:r>
    </w:p>
    <w:p w:rsidR="00E84155" w:rsidRDefault="00A01F78">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5"/>
      </w:r>
      <w:r>
        <w:rPr>
          <w:noProof/>
          <w:sz w:val="22"/>
        </w:rPr>
        <w:t xml:space="preserve"> </w:t>
      </w:r>
    </w:p>
    <w:p w:rsidR="00E84155" w:rsidRDefault="00A01F78">
      <w:pPr>
        <w:pStyle w:val="Text1"/>
        <w:rPr>
          <w:noProof/>
          <w:sz w:val="22"/>
        </w:rPr>
      </w:pPr>
      <w:r>
        <w:rPr>
          <w:noProof/>
          <w:sz w:val="22"/>
        </w:rPr>
        <w:sym w:font="Wingdings" w:char="F07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E84155" w:rsidRDefault="00A01F78">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E84155" w:rsidRDefault="00A01F78">
      <w:pPr>
        <w:pStyle w:val="ManualHeading2"/>
        <w:rPr>
          <w:bCs/>
          <w:noProof/>
          <w:szCs w:val="24"/>
        </w:rPr>
      </w:pPr>
      <w:r>
        <w:rPr>
          <w:noProof/>
        </w:rPr>
        <w:t>1.4.</w:t>
      </w:r>
      <w:r>
        <w:rPr>
          <w:noProof/>
        </w:rPr>
        <w:tab/>
        <w:t>Objectif(s)</w:t>
      </w:r>
    </w:p>
    <w:p w:rsidR="00E84155" w:rsidRDefault="00A01F78">
      <w:pPr>
        <w:pStyle w:val="ManualHeading3"/>
        <w:rPr>
          <w:noProof/>
        </w:rPr>
      </w:pPr>
      <w:r>
        <w:rPr>
          <w:noProof/>
        </w:rPr>
        <w:t>1.4.1.</w:t>
      </w:r>
      <w:r>
        <w:rPr>
          <w:noProof/>
        </w:rPr>
        <w:tab/>
      </w:r>
      <w:r>
        <w:rPr>
          <w:noProof/>
        </w:rPr>
        <w:t xml:space="preserve">Objectif(s) stratégique(s) pluriannuel(s) de la Commission visé(s) par la proposition/l'initiative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bCs/>
          <w:noProof/>
          <w:szCs w:val="24"/>
        </w:rPr>
      </w:pPr>
      <w:r>
        <w:rPr>
          <w:noProof/>
        </w:rPr>
        <w:t>1.4.2.</w:t>
      </w:r>
      <w:r>
        <w:rPr>
          <w:noProof/>
        </w:rPr>
        <w:tab/>
        <w:t xml:space="preserve">Objectif(s) spécifique(s) et activité(s) ABM/ABB concernée(s) </w:t>
      </w:r>
    </w:p>
    <w:p w:rsidR="00E84155" w:rsidRDefault="00A01F78">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w:t>
      </w:r>
      <w:r>
        <w:rPr>
          <w:noProof/>
        </w:rPr>
        <w:t>bjet.</w:t>
      </w:r>
    </w:p>
    <w:p w:rsidR="00E84155" w:rsidRDefault="00A01F78">
      <w:pPr>
        <w:pStyle w:val="ManualHeading3"/>
        <w:rPr>
          <w:bCs/>
          <w:noProof/>
          <w:szCs w:val="24"/>
        </w:rPr>
      </w:pPr>
      <w:r>
        <w:rPr>
          <w:noProof/>
        </w:rPr>
        <w:t>1.4.3.</w:t>
      </w:r>
      <w:r>
        <w:rPr>
          <w:noProof/>
        </w:rPr>
        <w:tab/>
        <w:t>Résultat(s) et incidence(s) attendu(s)</w:t>
      </w:r>
    </w:p>
    <w:p w:rsidR="00E84155" w:rsidRDefault="00A01F78">
      <w:pPr>
        <w:pStyle w:val="Text1"/>
        <w:rPr>
          <w:i/>
          <w:noProof/>
          <w:sz w:val="20"/>
        </w:rPr>
      </w:pPr>
      <w:r>
        <w:rPr>
          <w:i/>
          <w:noProof/>
          <w:sz w:val="20"/>
        </w:rPr>
        <w:t>Préciser les effets que la proposition/l'initiative devrait avoir sur les bénéficiaires/la population visée.</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bCs/>
          <w:noProof/>
          <w:szCs w:val="24"/>
        </w:rPr>
      </w:pPr>
      <w:r>
        <w:rPr>
          <w:noProof/>
        </w:rPr>
        <w:t>1.4.4.</w:t>
      </w:r>
      <w:r>
        <w:rPr>
          <w:noProof/>
        </w:rPr>
        <w:tab/>
        <w:t xml:space="preserve">Indicateurs de résultats et d'incidences </w:t>
      </w:r>
    </w:p>
    <w:p w:rsidR="00E84155" w:rsidRDefault="00A01F78">
      <w:pPr>
        <w:pStyle w:val="Text1"/>
        <w:rPr>
          <w:i/>
          <w:noProof/>
          <w:sz w:val="20"/>
        </w:rPr>
      </w:pPr>
      <w:r>
        <w:rPr>
          <w:i/>
          <w:noProof/>
          <w:sz w:val="20"/>
        </w:rPr>
        <w:t>Préciser les indicateurs permettan</w:t>
      </w:r>
      <w:r>
        <w:rPr>
          <w:i/>
          <w:noProof/>
          <w:sz w:val="20"/>
        </w:rPr>
        <w:t>t de suivre la réalisation de la proposition/de l'initiative.</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2"/>
        <w:rPr>
          <w:bCs/>
          <w:noProof/>
          <w:szCs w:val="24"/>
        </w:rPr>
      </w:pPr>
      <w:r>
        <w:rPr>
          <w:noProof/>
        </w:rPr>
        <w:t>1.5.</w:t>
      </w:r>
      <w:r>
        <w:rPr>
          <w:noProof/>
        </w:rPr>
        <w:tab/>
        <w:t xml:space="preserve">Justification(s) de la proposition/de l'initiative </w:t>
      </w:r>
    </w:p>
    <w:p w:rsidR="00E84155" w:rsidRDefault="00A01F78">
      <w:pPr>
        <w:pStyle w:val="ManualHeading3"/>
        <w:rPr>
          <w:noProof/>
        </w:rPr>
      </w:pPr>
      <w:r>
        <w:rPr>
          <w:noProof/>
        </w:rPr>
        <w:t>1.5.1.</w:t>
      </w:r>
      <w:r>
        <w:rPr>
          <w:noProof/>
        </w:rPr>
        <w:tab/>
        <w:t xml:space="preserve">Besoin(s) à satisfaire à court ou à long terme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bCs/>
          <w:noProof/>
          <w:szCs w:val="24"/>
        </w:rPr>
      </w:pPr>
      <w:r>
        <w:rPr>
          <w:noProof/>
        </w:rPr>
        <w:t>1.5.2.</w:t>
      </w:r>
      <w:r>
        <w:rPr>
          <w:noProof/>
        </w:rPr>
        <w:tab/>
        <w:t>Valeur ajoutée de l'intervention de l'UE</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r>
        <w:rPr>
          <w:noProof/>
        </w:rPr>
        <w:t>.</w:t>
      </w:r>
    </w:p>
    <w:p w:rsidR="00E84155" w:rsidRDefault="00A01F78">
      <w:pPr>
        <w:pStyle w:val="ManualHeading3"/>
        <w:rPr>
          <w:bCs/>
          <w:noProof/>
          <w:szCs w:val="24"/>
        </w:rPr>
      </w:pPr>
      <w:r>
        <w:rPr>
          <w:noProof/>
        </w:rPr>
        <w:t>1.5.3.</w:t>
      </w:r>
      <w:r>
        <w:rPr>
          <w:noProof/>
        </w:rPr>
        <w:tab/>
        <w:t>Leçons tirées d'expériences similaires</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bCs/>
          <w:noProof/>
          <w:szCs w:val="24"/>
        </w:rPr>
      </w:pPr>
      <w:r>
        <w:rPr>
          <w:noProof/>
        </w:rPr>
        <w:t>1.5.4.</w:t>
      </w:r>
      <w:r>
        <w:rPr>
          <w:noProof/>
        </w:rPr>
        <w:tab/>
        <w:t>Compatibilité et synergie éventuelle avec d'autres instruments appropriés</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2"/>
        <w:rPr>
          <w:bCs/>
          <w:noProof/>
          <w:szCs w:val="24"/>
        </w:rPr>
      </w:pPr>
      <w:r>
        <w:rPr>
          <w:noProof/>
        </w:rPr>
        <w:t>1.6.</w:t>
      </w:r>
      <w:r>
        <w:rPr>
          <w:noProof/>
        </w:rPr>
        <w:tab/>
        <w:t xml:space="preserve">Durée et incidence financière </w:t>
      </w:r>
    </w:p>
    <w:p w:rsidR="00E84155" w:rsidRDefault="00A01F78">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E84155" w:rsidRDefault="00A01F78">
      <w:pPr>
        <w:pStyle w:val="ListDash2"/>
        <w:rPr>
          <w:noProof/>
        </w:rPr>
      </w:pPr>
      <w:r>
        <w:rPr>
          <w:noProof/>
        </w:rPr>
        <w:sym w:font="Wingdings" w:char="F078"/>
      </w:r>
      <w:r>
        <w:rPr>
          <w:noProof/>
        </w:rPr>
        <w:tab/>
        <w:t xml:space="preserve">Proposition/initiative </w:t>
      </w:r>
      <w:r>
        <w:rPr>
          <w:noProof/>
        </w:rPr>
        <w:t>en vigueur du 1/1/2017 au 31/12/2023</w:t>
      </w:r>
    </w:p>
    <w:p w:rsidR="00E84155" w:rsidRDefault="00A01F78">
      <w:pPr>
        <w:pStyle w:val="ListDash2"/>
        <w:rPr>
          <w:noProof/>
        </w:rPr>
      </w:pPr>
      <w:r>
        <w:rPr>
          <w:noProof/>
        </w:rPr>
        <w:sym w:font="Wingdings" w:char="F078"/>
      </w:r>
      <w:r>
        <w:rPr>
          <w:noProof/>
        </w:rPr>
        <w:tab/>
        <w:t>Incidence financière de 2017 à 2020</w:t>
      </w:r>
    </w:p>
    <w:p w:rsidR="00E84155" w:rsidRDefault="00A01F78">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rsidR="00E84155" w:rsidRDefault="00A01F78">
      <w:pPr>
        <w:pStyle w:val="ListDash1"/>
        <w:rPr>
          <w:noProof/>
        </w:rPr>
      </w:pPr>
      <w:r>
        <w:rPr>
          <w:noProof/>
        </w:rPr>
        <w:t>Mise en œuvre avec une période de montée en puissance de AAAA jusqu'en AAAA,</w:t>
      </w:r>
    </w:p>
    <w:p w:rsidR="00E84155" w:rsidRDefault="00A01F78">
      <w:pPr>
        <w:pStyle w:val="ListDash1"/>
        <w:rPr>
          <w:noProof/>
        </w:rPr>
      </w:pPr>
      <w:r>
        <w:rPr>
          <w:noProof/>
        </w:rPr>
        <w:t>puis un fonctionnement en rythme de croisière au-delà.</w:t>
      </w:r>
    </w:p>
    <w:p w:rsidR="00E84155" w:rsidRDefault="00A01F78">
      <w:pPr>
        <w:pStyle w:val="ManualHeading2"/>
        <w:rPr>
          <w:bCs/>
          <w:noProof/>
          <w:szCs w:val="24"/>
        </w:rPr>
      </w:pPr>
      <w:r>
        <w:rPr>
          <w:noProof/>
        </w:rPr>
        <w:t>1.7.</w:t>
      </w:r>
      <w:r>
        <w:rPr>
          <w:noProof/>
        </w:rPr>
        <w:tab/>
        <w:t>M</w:t>
      </w:r>
      <w:r>
        <w:rPr>
          <w:noProof/>
        </w:rPr>
        <w:t>ode(s) de gestion prévu(s)</w:t>
      </w:r>
      <w:r>
        <w:rPr>
          <w:rStyle w:val="FootnoteReference"/>
          <w:noProof/>
        </w:rPr>
        <w:footnoteReference w:id="16"/>
      </w:r>
      <w:r>
        <w:rPr>
          <w:rStyle w:val="FootnoteReference"/>
          <w:noProof/>
        </w:rPr>
        <w:t xml:space="preserve"> </w:t>
      </w:r>
    </w:p>
    <w:p w:rsidR="00E84155" w:rsidRDefault="00A01F78">
      <w:pPr>
        <w:pStyle w:val="Text1"/>
        <w:rPr>
          <w:noProof/>
        </w:rPr>
      </w:pPr>
      <w:r>
        <w:rPr>
          <w:noProof/>
        </w:rPr>
        <w:sym w:font="Wingdings" w:char="F0A8"/>
      </w:r>
      <w:r>
        <w:rPr>
          <w:i/>
          <w:noProof/>
        </w:rPr>
        <w:t xml:space="preserve"> </w:t>
      </w:r>
      <w:r>
        <w:rPr>
          <w:b/>
          <w:noProof/>
        </w:rPr>
        <w:t>Gestion directe</w:t>
      </w:r>
      <w:r>
        <w:rPr>
          <w:noProof/>
        </w:rPr>
        <w:t xml:space="preserve"> par la Commission</w:t>
      </w:r>
    </w:p>
    <w:p w:rsidR="00E84155" w:rsidRDefault="00A01F78">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rsidR="00E84155" w:rsidRDefault="00A01F78">
      <w:pPr>
        <w:pStyle w:val="ListDash2"/>
        <w:rPr>
          <w:noProof/>
        </w:rPr>
      </w:pPr>
      <w:r>
        <w:rPr>
          <w:noProof/>
        </w:rPr>
        <w:sym w:font="Wingdings" w:char="F0A8"/>
      </w:r>
      <w:r>
        <w:rPr>
          <w:noProof/>
        </w:rPr>
        <w:tab/>
        <w:t xml:space="preserve">par les agences exécutives </w:t>
      </w:r>
    </w:p>
    <w:p w:rsidR="00E84155" w:rsidRDefault="00A01F78">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rsidR="00E84155" w:rsidRDefault="00A01F78">
      <w:pPr>
        <w:pStyle w:val="Text1"/>
        <w:rPr>
          <w:noProof/>
        </w:rPr>
      </w:pPr>
      <w:r>
        <w:rPr>
          <w:noProof/>
        </w:rPr>
        <w:sym w:font="Wingdings" w:char="F0A8"/>
      </w:r>
      <w:r>
        <w:rPr>
          <w:i/>
          <w:noProof/>
        </w:rPr>
        <w:t xml:space="preserve"> </w:t>
      </w:r>
      <w:r>
        <w:rPr>
          <w:b/>
          <w:noProof/>
        </w:rPr>
        <w:t>Gestion indirec</w:t>
      </w:r>
      <w:r>
        <w:rPr>
          <w:b/>
          <w:noProof/>
        </w:rPr>
        <w:t>te</w:t>
      </w:r>
      <w:r>
        <w:rPr>
          <w:noProof/>
        </w:rPr>
        <w:t xml:space="preserve"> en confiant des tâches d'exécution budgétaire:</w:t>
      </w:r>
    </w:p>
    <w:p w:rsidR="00E84155" w:rsidRDefault="00A01F78">
      <w:pPr>
        <w:pStyle w:val="ListDash2"/>
        <w:rPr>
          <w:noProof/>
        </w:rPr>
      </w:pPr>
      <w:r>
        <w:rPr>
          <w:noProof/>
        </w:rPr>
        <w:sym w:font="Wingdings" w:char="F0A8"/>
      </w:r>
      <w:r>
        <w:rPr>
          <w:noProof/>
        </w:rPr>
        <w:t xml:space="preserve"> à des pays tiers ou aux organismes qu'ils ont désignés;</w:t>
      </w:r>
    </w:p>
    <w:p w:rsidR="00E84155" w:rsidRDefault="00A01F78">
      <w:pPr>
        <w:pStyle w:val="ListDash2"/>
        <w:rPr>
          <w:noProof/>
        </w:rPr>
      </w:pPr>
      <w:r>
        <w:rPr>
          <w:noProof/>
        </w:rPr>
        <w:sym w:font="Wingdings" w:char="F0A8"/>
      </w:r>
      <w:r>
        <w:rPr>
          <w:noProof/>
        </w:rPr>
        <w:t xml:space="preserve"> à des organisations internationales et à leurs agences (à préciser);</w:t>
      </w:r>
    </w:p>
    <w:p w:rsidR="00E84155" w:rsidRDefault="00A01F78">
      <w:pPr>
        <w:pStyle w:val="ListDash2"/>
        <w:rPr>
          <w:noProof/>
        </w:rPr>
      </w:pPr>
      <w:r>
        <w:rPr>
          <w:noProof/>
        </w:rPr>
        <w:sym w:font="Wingdings" w:char="F0A8"/>
      </w:r>
      <w:r>
        <w:rPr>
          <w:noProof/>
        </w:rPr>
        <w:t xml:space="preserve"> à la BEI et au Fonds européen d'investissement;</w:t>
      </w:r>
    </w:p>
    <w:p w:rsidR="00E84155" w:rsidRDefault="00A01F78">
      <w:pPr>
        <w:pStyle w:val="ListDash2"/>
        <w:rPr>
          <w:noProof/>
        </w:rPr>
      </w:pPr>
      <w:r>
        <w:rPr>
          <w:noProof/>
        </w:rPr>
        <w:sym w:font="Wingdings" w:char="F0A8"/>
      </w:r>
      <w:r>
        <w:rPr>
          <w:noProof/>
        </w:rPr>
        <w:t xml:space="preserve"> aux organismes visés aux </w:t>
      </w:r>
      <w:r>
        <w:rPr>
          <w:noProof/>
        </w:rPr>
        <w:t>articles 208 et 209 du règlement financier;</w:t>
      </w:r>
    </w:p>
    <w:p w:rsidR="00E84155" w:rsidRDefault="00A01F78">
      <w:pPr>
        <w:pStyle w:val="ListDash2"/>
        <w:rPr>
          <w:noProof/>
        </w:rPr>
      </w:pPr>
      <w:r>
        <w:rPr>
          <w:noProof/>
        </w:rPr>
        <w:sym w:font="Wingdings" w:char="F0A8"/>
      </w:r>
      <w:r>
        <w:rPr>
          <w:noProof/>
        </w:rPr>
        <w:t xml:space="preserve"> à des organismes de droit public;</w:t>
      </w:r>
    </w:p>
    <w:p w:rsidR="00E84155" w:rsidRDefault="00A01F78">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E84155" w:rsidRDefault="00A01F78">
      <w:pPr>
        <w:pStyle w:val="ListDash2"/>
        <w:rPr>
          <w:noProof/>
        </w:rPr>
      </w:pPr>
      <w:r>
        <w:rPr>
          <w:noProof/>
        </w:rPr>
        <w:sym w:font="Wingdings" w:char="F0A8"/>
      </w:r>
      <w:r>
        <w:rPr>
          <w:noProof/>
        </w:rPr>
        <w:t xml:space="preserve"> à des organismes de droit pri</w:t>
      </w:r>
      <w:r>
        <w:rPr>
          <w:noProof/>
        </w:rPr>
        <w:t>vé d'un État membre qui sont chargés de la mise en œuvre d'un partenariat public-privé et présentent les garanties financières suffisantes;</w:t>
      </w:r>
    </w:p>
    <w:p w:rsidR="00E84155" w:rsidRDefault="00A01F78">
      <w:pPr>
        <w:pStyle w:val="ListDash2"/>
        <w:rPr>
          <w:noProof/>
        </w:rPr>
      </w:pPr>
      <w:r>
        <w:rPr>
          <w:noProof/>
        </w:rPr>
        <w:sym w:font="Wingdings" w:char="F0A8"/>
      </w:r>
      <w:r>
        <w:rPr>
          <w:noProof/>
        </w:rPr>
        <w:t xml:space="preserve"> à des personnes chargées de l'exécution d'actions spécifiques relevant de la PESC, en vertu du titre V du traité s</w:t>
      </w:r>
      <w:r>
        <w:rPr>
          <w:noProof/>
        </w:rPr>
        <w:t>ur l'Union européenne, identifiées dans l'acte de base concerné.</w:t>
      </w:r>
    </w:p>
    <w:p w:rsidR="00E84155" w:rsidRDefault="00A01F78">
      <w:pPr>
        <w:pStyle w:val="ListDash2"/>
        <w:rPr>
          <w:i/>
          <w:noProof/>
          <w:sz w:val="18"/>
          <w:u w:val="single"/>
        </w:rPr>
      </w:pPr>
      <w:r>
        <w:rPr>
          <w:i/>
          <w:noProof/>
          <w:sz w:val="18"/>
        </w:rPr>
        <w:t>Si plusieurs modes de gestion sont indiqués, veuillez donner des précisions dans la partie «Remarques».</w:t>
      </w:r>
    </w:p>
    <w:p w:rsidR="00E84155" w:rsidRDefault="00A01F78">
      <w:pPr>
        <w:rPr>
          <w:noProof/>
        </w:rPr>
      </w:pPr>
      <w:r>
        <w:rPr>
          <w:noProof/>
        </w:rPr>
        <w:t xml:space="preserve">Remarques </w:t>
      </w:r>
    </w:p>
    <w:p w:rsidR="00E84155" w:rsidRDefault="00A01F78">
      <w:pPr>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1"/>
        <w:rPr>
          <w:bCs/>
          <w:noProof/>
          <w:szCs w:val="24"/>
        </w:rPr>
      </w:pPr>
      <w:r>
        <w:rPr>
          <w:noProof/>
        </w:rPr>
        <w:t>2.</w:t>
      </w:r>
      <w:r>
        <w:rPr>
          <w:noProof/>
        </w:rPr>
        <w:tab/>
        <w:t xml:space="preserve">MESURES DE GESTION </w:t>
      </w:r>
    </w:p>
    <w:p w:rsidR="00E84155" w:rsidRDefault="00A01F78">
      <w:pPr>
        <w:pStyle w:val="ManualHeading2"/>
        <w:rPr>
          <w:noProof/>
        </w:rPr>
      </w:pPr>
      <w:r>
        <w:rPr>
          <w:noProof/>
        </w:rPr>
        <w:t>2.1.</w:t>
      </w:r>
      <w:r>
        <w:rPr>
          <w:noProof/>
        </w:rPr>
        <w:tab/>
      </w:r>
      <w:r>
        <w:rPr>
          <w:noProof/>
        </w:rPr>
        <w:t xml:space="preserve">Dispositions en matière de suivi et de compte rendu </w:t>
      </w:r>
    </w:p>
    <w:p w:rsidR="00E84155" w:rsidRDefault="00A01F78">
      <w:pPr>
        <w:pStyle w:val="Text1"/>
        <w:rPr>
          <w:i/>
          <w:noProof/>
          <w:sz w:val="20"/>
          <w:u w:val="single"/>
        </w:rPr>
      </w:pPr>
      <w:r>
        <w:rPr>
          <w:i/>
          <w:noProof/>
          <w:sz w:val="20"/>
        </w:rPr>
        <w:t>Préciser la fréquence et les conditions de ces dispositions.</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2"/>
        <w:rPr>
          <w:bCs/>
          <w:noProof/>
          <w:szCs w:val="24"/>
        </w:rPr>
      </w:pPr>
      <w:r>
        <w:rPr>
          <w:noProof/>
        </w:rPr>
        <w:t>2.2.</w:t>
      </w:r>
      <w:r>
        <w:rPr>
          <w:noProof/>
        </w:rPr>
        <w:tab/>
        <w:t xml:space="preserve">Système de gestion et de contrôle </w:t>
      </w:r>
    </w:p>
    <w:p w:rsidR="00E84155" w:rsidRDefault="00A01F78">
      <w:pPr>
        <w:pStyle w:val="ManualHeading3"/>
        <w:rPr>
          <w:noProof/>
        </w:rPr>
      </w:pPr>
      <w:r>
        <w:rPr>
          <w:noProof/>
        </w:rPr>
        <w:t>2.2.1.</w:t>
      </w:r>
      <w:r>
        <w:rPr>
          <w:noProof/>
        </w:rPr>
        <w:tab/>
        <w:t xml:space="preserve">Risque(s) identifié(s)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bCs/>
          <w:noProof/>
          <w:szCs w:val="24"/>
        </w:rPr>
      </w:pPr>
      <w:r>
        <w:rPr>
          <w:noProof/>
        </w:rPr>
        <w:t>2.2.2.</w:t>
      </w:r>
      <w:r>
        <w:rPr>
          <w:noProof/>
        </w:rPr>
        <w:tab/>
        <w:t xml:space="preserve">Informations concernant le système de </w:t>
      </w:r>
      <w:r>
        <w:rPr>
          <w:noProof/>
        </w:rPr>
        <w:t>contrôle interne mis en place</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3"/>
        <w:rPr>
          <w:noProof/>
        </w:rPr>
      </w:pPr>
      <w:r>
        <w:rPr>
          <w:noProof/>
        </w:rPr>
        <w:t>2.2.3.</w:t>
      </w:r>
      <w:r>
        <w:rPr>
          <w:noProof/>
        </w:rPr>
        <w:tab/>
        <w:t xml:space="preserve">Estimation du coût et des avantages des contrôles et évaluation du niveau attendu de risque d'erreur </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A01F78">
      <w:pPr>
        <w:pStyle w:val="ManualHeading2"/>
        <w:rPr>
          <w:bCs/>
          <w:noProof/>
          <w:szCs w:val="24"/>
        </w:rPr>
      </w:pPr>
      <w:r>
        <w:rPr>
          <w:noProof/>
        </w:rPr>
        <w:t>2.3.</w:t>
      </w:r>
      <w:r>
        <w:rPr>
          <w:noProof/>
        </w:rPr>
        <w:tab/>
        <w:t xml:space="preserve">Mesures de prévention des fraudes et irrégularités </w:t>
      </w:r>
    </w:p>
    <w:p w:rsidR="00E84155" w:rsidRDefault="00A01F78">
      <w:pPr>
        <w:pStyle w:val="Text1"/>
        <w:rPr>
          <w:i/>
          <w:noProof/>
          <w:sz w:val="20"/>
        </w:rPr>
      </w:pPr>
      <w:r>
        <w:rPr>
          <w:i/>
          <w:noProof/>
          <w:sz w:val="20"/>
        </w:rPr>
        <w:t>Préciser les mesures de prévention e</w:t>
      </w:r>
      <w:r>
        <w:rPr>
          <w:i/>
          <w:noProof/>
          <w:sz w:val="20"/>
        </w:rPr>
        <w:t>t de protection existantes ou envisagées.</w:t>
      </w:r>
    </w:p>
    <w:p w:rsidR="00E84155" w:rsidRDefault="00A01F7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84155" w:rsidRDefault="00E84155">
      <w:pPr>
        <w:rPr>
          <w:noProof/>
        </w:rPr>
        <w:sectPr w:rsidR="00E84155" w:rsidSect="00A01F78">
          <w:pgSz w:w="11907" w:h="16840" w:code="9"/>
          <w:pgMar w:top="1134" w:right="1418" w:bottom="1134" w:left="1418" w:header="709" w:footer="709" w:gutter="0"/>
          <w:cols w:space="708"/>
          <w:docGrid w:linePitch="360"/>
        </w:sectPr>
      </w:pPr>
    </w:p>
    <w:p w:rsidR="00E84155" w:rsidRDefault="00A01F78">
      <w:pPr>
        <w:pStyle w:val="ManualHeading1"/>
        <w:rPr>
          <w:bCs/>
          <w:noProof/>
          <w:szCs w:val="24"/>
        </w:rPr>
      </w:pPr>
      <w:r>
        <w:rPr>
          <w:noProof/>
        </w:rPr>
        <w:t>3.</w:t>
      </w:r>
      <w:r>
        <w:rPr>
          <w:noProof/>
        </w:rPr>
        <w:tab/>
        <w:t xml:space="preserve">INCIDENCE FINANCIÈRE ESTIMÉE DE LA PROPOSITION/DE L'INITIATIVE </w:t>
      </w:r>
    </w:p>
    <w:p w:rsidR="00E84155" w:rsidRDefault="00A01F78">
      <w:pPr>
        <w:pStyle w:val="ManualHeading2"/>
        <w:rPr>
          <w:noProof/>
        </w:rPr>
      </w:pPr>
      <w:r>
        <w:rPr>
          <w:noProof/>
        </w:rPr>
        <w:t>3.1.</w:t>
      </w:r>
      <w:r>
        <w:rPr>
          <w:noProof/>
        </w:rPr>
        <w:tab/>
        <w:t xml:space="preserve">Rubrique(s) du cadre financier pluriannuel et ligne(s) budgétaire(s) de dépenses concernée(s) </w:t>
      </w:r>
    </w:p>
    <w:p w:rsidR="00E84155" w:rsidRDefault="00A01F78">
      <w:pPr>
        <w:pStyle w:val="ListBullet1"/>
        <w:rPr>
          <w:noProof/>
        </w:rPr>
      </w:pPr>
      <w:r>
        <w:rPr>
          <w:noProof/>
        </w:rPr>
        <w:t>Lignes budg</w:t>
      </w:r>
      <w:r>
        <w:rPr>
          <w:noProof/>
        </w:rPr>
        <w:t xml:space="preserve">étaires existantes </w:t>
      </w:r>
    </w:p>
    <w:p w:rsidR="00E84155" w:rsidRDefault="00A01F78">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84155">
        <w:tc>
          <w:tcPr>
            <w:tcW w:w="1080" w:type="dxa"/>
            <w:vMerge w:val="restart"/>
            <w:vAlign w:val="center"/>
          </w:tcPr>
          <w:p w:rsidR="00E84155" w:rsidRDefault="00A01F78">
            <w:pPr>
              <w:spacing w:before="60" w:after="60"/>
              <w:jc w:val="center"/>
              <w:rPr>
                <w:noProof/>
              </w:rPr>
            </w:pPr>
            <w:r>
              <w:rPr>
                <w:noProof/>
                <w:sz w:val="18"/>
              </w:rPr>
              <w:t>Rubrique du cadre financier pluriannuel</w:t>
            </w:r>
          </w:p>
        </w:tc>
        <w:tc>
          <w:tcPr>
            <w:tcW w:w="3960" w:type="dxa"/>
            <w:vAlign w:val="center"/>
          </w:tcPr>
          <w:p w:rsidR="00E84155" w:rsidRDefault="00A01F78">
            <w:pPr>
              <w:spacing w:before="60" w:after="60"/>
              <w:jc w:val="center"/>
              <w:rPr>
                <w:noProof/>
              </w:rPr>
            </w:pPr>
            <w:r>
              <w:rPr>
                <w:noProof/>
                <w:sz w:val="20"/>
              </w:rPr>
              <w:t>Ligne budgétaire</w:t>
            </w:r>
          </w:p>
        </w:tc>
        <w:tc>
          <w:tcPr>
            <w:tcW w:w="1080" w:type="dxa"/>
            <w:vAlign w:val="center"/>
          </w:tcPr>
          <w:p w:rsidR="00E84155" w:rsidRDefault="00A01F78">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rsidR="00E84155" w:rsidRDefault="00A01F78">
            <w:pPr>
              <w:spacing w:before="60" w:after="60"/>
              <w:jc w:val="center"/>
              <w:rPr>
                <w:noProof/>
              </w:rPr>
            </w:pPr>
            <w:r>
              <w:rPr>
                <w:noProof/>
                <w:sz w:val="20"/>
              </w:rPr>
              <w:t xml:space="preserve">Participation </w:t>
            </w:r>
          </w:p>
        </w:tc>
      </w:tr>
      <w:tr w:rsidR="00E84155">
        <w:tc>
          <w:tcPr>
            <w:tcW w:w="1080" w:type="dxa"/>
            <w:vMerge/>
            <w:vAlign w:val="center"/>
          </w:tcPr>
          <w:p w:rsidR="00E84155" w:rsidRDefault="00E84155">
            <w:pPr>
              <w:jc w:val="center"/>
              <w:rPr>
                <w:noProof/>
              </w:rPr>
            </w:pPr>
          </w:p>
        </w:tc>
        <w:tc>
          <w:tcPr>
            <w:tcW w:w="3960" w:type="dxa"/>
            <w:vAlign w:val="center"/>
          </w:tcPr>
          <w:p w:rsidR="00E84155" w:rsidRDefault="00A01F78">
            <w:pPr>
              <w:rPr>
                <w:noProof/>
              </w:rPr>
            </w:pPr>
            <w:r>
              <w:rPr>
                <w:noProof/>
              </w:rPr>
              <w:t>Numéro</w:t>
            </w:r>
            <w:r>
              <w:rPr>
                <w:noProof/>
              </w:rPr>
              <w:br/>
            </w:r>
            <w:r>
              <w:rPr>
                <w:noProof/>
                <w:sz w:val="20"/>
              </w:rPr>
              <w:t>[Libellé………………………...……………]</w:t>
            </w:r>
          </w:p>
        </w:tc>
        <w:tc>
          <w:tcPr>
            <w:tcW w:w="1080" w:type="dxa"/>
            <w:vAlign w:val="center"/>
          </w:tcPr>
          <w:p w:rsidR="00E84155" w:rsidRDefault="00A01F78">
            <w:pPr>
              <w:jc w:val="center"/>
              <w:rPr>
                <w:noProof/>
              </w:rPr>
            </w:pPr>
            <w:r>
              <w:rPr>
                <w:noProof/>
                <w:sz w:val="18"/>
              </w:rPr>
              <w:t>CD/CND</w:t>
            </w:r>
            <w:r>
              <w:rPr>
                <w:rStyle w:val="FootnoteReference"/>
                <w:noProof/>
                <w:sz w:val="18"/>
              </w:rPr>
              <w:footnoteReference w:id="17"/>
            </w:r>
            <w:r>
              <w:rPr>
                <w:noProof/>
              </w:rPr>
              <w:t>.</w:t>
            </w:r>
          </w:p>
        </w:tc>
        <w:tc>
          <w:tcPr>
            <w:tcW w:w="956" w:type="dxa"/>
            <w:vAlign w:val="center"/>
          </w:tcPr>
          <w:p w:rsidR="00E84155" w:rsidRDefault="00A01F78">
            <w:pPr>
              <w:jc w:val="center"/>
              <w:rPr>
                <w:noProof/>
              </w:rPr>
            </w:pPr>
            <w:r>
              <w:rPr>
                <w:noProof/>
                <w:sz w:val="18"/>
              </w:rPr>
              <w:t>de pays AELE</w:t>
            </w:r>
            <w:r>
              <w:rPr>
                <w:rStyle w:val="FootnoteReference"/>
                <w:noProof/>
                <w:sz w:val="18"/>
              </w:rPr>
              <w:footnoteReference w:id="18"/>
            </w:r>
          </w:p>
          <w:p w:rsidR="00E84155" w:rsidRDefault="00E84155">
            <w:pPr>
              <w:spacing w:before="0" w:after="0"/>
              <w:jc w:val="center"/>
              <w:rPr>
                <w:b/>
                <w:noProof/>
                <w:sz w:val="18"/>
              </w:rPr>
            </w:pPr>
          </w:p>
        </w:tc>
        <w:tc>
          <w:tcPr>
            <w:tcW w:w="1080" w:type="dxa"/>
            <w:vAlign w:val="center"/>
          </w:tcPr>
          <w:p w:rsidR="00E84155" w:rsidRDefault="00A01F78">
            <w:pPr>
              <w:jc w:val="center"/>
              <w:rPr>
                <w:noProof/>
              </w:rPr>
            </w:pPr>
            <w:r>
              <w:rPr>
                <w:noProof/>
                <w:sz w:val="18"/>
              </w:rPr>
              <w:t>de pays candidats</w:t>
            </w:r>
            <w:r>
              <w:rPr>
                <w:rStyle w:val="FootnoteReference"/>
                <w:noProof/>
                <w:sz w:val="18"/>
              </w:rPr>
              <w:footnoteReference w:id="19"/>
            </w:r>
          </w:p>
          <w:p w:rsidR="00E84155" w:rsidRDefault="00E84155">
            <w:pPr>
              <w:spacing w:before="0" w:after="0"/>
              <w:jc w:val="center"/>
              <w:rPr>
                <w:noProof/>
                <w:sz w:val="18"/>
              </w:rPr>
            </w:pPr>
          </w:p>
        </w:tc>
        <w:tc>
          <w:tcPr>
            <w:tcW w:w="956" w:type="dxa"/>
            <w:vAlign w:val="center"/>
          </w:tcPr>
          <w:p w:rsidR="00E84155" w:rsidRDefault="00A01F78">
            <w:pPr>
              <w:jc w:val="center"/>
              <w:rPr>
                <w:noProof/>
                <w:sz w:val="18"/>
              </w:rPr>
            </w:pPr>
            <w:r>
              <w:rPr>
                <w:noProof/>
                <w:sz w:val="18"/>
              </w:rPr>
              <w:t>de pays tiers</w:t>
            </w:r>
          </w:p>
        </w:tc>
        <w:tc>
          <w:tcPr>
            <w:tcW w:w="1448" w:type="dxa"/>
            <w:vAlign w:val="center"/>
          </w:tcPr>
          <w:p w:rsidR="00E84155" w:rsidRDefault="00A01F78">
            <w:pPr>
              <w:jc w:val="center"/>
              <w:rPr>
                <w:noProof/>
              </w:rPr>
            </w:pPr>
            <w:r>
              <w:rPr>
                <w:noProof/>
                <w:sz w:val="16"/>
              </w:rPr>
              <w:t xml:space="preserve">au sens de l'article 21, paragraphe 2, point b), du règlement financier </w:t>
            </w:r>
          </w:p>
        </w:tc>
      </w:tr>
      <w:tr w:rsidR="00E84155">
        <w:tc>
          <w:tcPr>
            <w:tcW w:w="1080" w:type="dxa"/>
            <w:shd w:val="clear" w:color="auto" w:fill="auto"/>
            <w:vAlign w:val="center"/>
          </w:tcPr>
          <w:p w:rsidR="00E84155" w:rsidRDefault="00A01F78">
            <w:pPr>
              <w:jc w:val="center"/>
              <w:rPr>
                <w:noProof/>
              </w:rPr>
            </w:pPr>
            <w:r>
              <w:rPr>
                <w:noProof/>
              </w:rPr>
              <w:t>1 Croissance intelligente et inclusive</w:t>
            </w:r>
          </w:p>
        </w:tc>
        <w:tc>
          <w:tcPr>
            <w:tcW w:w="3960" w:type="dxa"/>
            <w:vAlign w:val="center"/>
          </w:tcPr>
          <w:p w:rsidR="00E84155" w:rsidRDefault="00A01F78">
            <w:pPr>
              <w:spacing w:after="60"/>
              <w:rPr>
                <w:noProof/>
              </w:rPr>
            </w:pPr>
            <w:r>
              <w:rPr>
                <w:noProof/>
              </w:rPr>
              <w:t xml:space="preserve">04 02 60 – Fonds social européen – Régions moins développées – Objectif «Investissement pour la croissance </w:t>
            </w:r>
            <w:r>
              <w:rPr>
                <w:noProof/>
              </w:rPr>
              <w:t>et l’emploi»</w:t>
            </w:r>
          </w:p>
          <w:p w:rsidR="00E84155" w:rsidRDefault="00E84155">
            <w:pPr>
              <w:spacing w:after="60"/>
              <w:rPr>
                <w:noProof/>
              </w:rPr>
            </w:pPr>
          </w:p>
          <w:p w:rsidR="00E84155" w:rsidRDefault="00A01F78">
            <w:pPr>
              <w:spacing w:after="60"/>
              <w:rPr>
                <w:noProof/>
              </w:rPr>
            </w:pPr>
            <w:r>
              <w:rPr>
                <w:noProof/>
              </w:rPr>
              <w:t>04 02 61 – Fonds social européen – Régions en transition – Objectif «Investissement pour la croissance et l’emploi»</w:t>
            </w:r>
          </w:p>
          <w:p w:rsidR="00E84155" w:rsidRDefault="00E84155">
            <w:pPr>
              <w:spacing w:after="60"/>
              <w:rPr>
                <w:noProof/>
              </w:rPr>
            </w:pPr>
          </w:p>
          <w:p w:rsidR="00E84155" w:rsidRDefault="00A01F78">
            <w:pPr>
              <w:spacing w:after="60"/>
              <w:rPr>
                <w:noProof/>
              </w:rPr>
            </w:pPr>
            <w:r>
              <w:rPr>
                <w:noProof/>
              </w:rPr>
              <w:t>04 02 62 – Fonds social européen – Régions plus développées – Objectif «Investissement pour la croissance et l’emploi»</w:t>
            </w:r>
          </w:p>
          <w:p w:rsidR="00E84155" w:rsidRDefault="00E84155">
            <w:pPr>
              <w:spacing w:after="60"/>
              <w:rPr>
                <w:noProof/>
              </w:rPr>
            </w:pPr>
          </w:p>
          <w:p w:rsidR="00E84155" w:rsidRDefault="00A01F78">
            <w:pPr>
              <w:spacing w:after="60"/>
              <w:rPr>
                <w:noProof/>
              </w:rPr>
            </w:pPr>
            <w:r>
              <w:rPr>
                <w:noProof/>
              </w:rPr>
              <w:t>04 02</w:t>
            </w:r>
            <w:r>
              <w:rPr>
                <w:noProof/>
              </w:rPr>
              <w:t xml:space="preserve"> 64 – Initiative pour l’emploi des jeunes</w:t>
            </w:r>
          </w:p>
          <w:p w:rsidR="00E84155" w:rsidRDefault="00E84155">
            <w:pPr>
              <w:spacing w:after="60"/>
              <w:rPr>
                <w:noProof/>
              </w:rPr>
            </w:pPr>
          </w:p>
          <w:p w:rsidR="00E84155" w:rsidRDefault="00A01F78">
            <w:pPr>
              <w:spacing w:after="60"/>
              <w:rPr>
                <w:noProof/>
              </w:rPr>
            </w:pPr>
            <w:r>
              <w:rPr>
                <w:noProof/>
              </w:rPr>
              <w:t xml:space="preserve">13 03 60 – Fonds européen de développement régional (FEDER) – Régions moins développées – Objectif «Investissement pour la croissance et l’emploi» </w:t>
            </w:r>
          </w:p>
          <w:p w:rsidR="00E84155" w:rsidRDefault="00E84155">
            <w:pPr>
              <w:spacing w:after="60"/>
              <w:rPr>
                <w:noProof/>
              </w:rPr>
            </w:pPr>
          </w:p>
          <w:p w:rsidR="00E84155" w:rsidRDefault="00A01F78">
            <w:pPr>
              <w:spacing w:after="60"/>
              <w:rPr>
                <w:noProof/>
              </w:rPr>
            </w:pPr>
            <w:r>
              <w:rPr>
                <w:noProof/>
              </w:rPr>
              <w:t>13 03 61 – Fonds européen de développement régional (FEDER) – Ré</w:t>
            </w:r>
            <w:r>
              <w:rPr>
                <w:noProof/>
              </w:rPr>
              <w:t xml:space="preserve">gions en transition – Objectif «Investissement pour la croissance et l’emploi» </w:t>
            </w:r>
          </w:p>
          <w:p w:rsidR="00E84155" w:rsidRDefault="00E84155">
            <w:pPr>
              <w:spacing w:after="60"/>
              <w:rPr>
                <w:noProof/>
              </w:rPr>
            </w:pPr>
          </w:p>
          <w:p w:rsidR="00E84155" w:rsidRDefault="00A01F78">
            <w:pPr>
              <w:spacing w:after="60"/>
              <w:rPr>
                <w:noProof/>
              </w:rPr>
            </w:pPr>
            <w:r>
              <w:rPr>
                <w:noProof/>
              </w:rPr>
              <w:t xml:space="preserve">13 03 62 – Fonds européen de développement régional (FEDER) – Régions plus développées – Objectif «Investissement pour la croissance et l’emploi» </w:t>
            </w:r>
          </w:p>
          <w:p w:rsidR="00E84155" w:rsidRDefault="00E84155">
            <w:pPr>
              <w:spacing w:after="60"/>
              <w:rPr>
                <w:noProof/>
              </w:rPr>
            </w:pPr>
          </w:p>
          <w:p w:rsidR="00E84155" w:rsidRDefault="00A01F78">
            <w:pPr>
              <w:spacing w:after="60"/>
              <w:rPr>
                <w:bCs/>
                <w:iCs/>
                <w:noProof/>
              </w:rPr>
            </w:pPr>
            <w:r>
              <w:rPr>
                <w:noProof/>
              </w:rPr>
              <w:t xml:space="preserve">13 03 63 – Fonds européen </w:t>
            </w:r>
            <w:r>
              <w:rPr>
                <w:noProof/>
              </w:rPr>
              <w:t>de développement régional (FEDER) — Dotation supplémentaire pour les régions ultrapériphériques et à faible densité de population — Objectif «Investissement pour la croissance et l’emploi»</w:t>
            </w:r>
          </w:p>
          <w:p w:rsidR="00E84155" w:rsidRDefault="00E84155">
            <w:pPr>
              <w:spacing w:after="60"/>
              <w:rPr>
                <w:bCs/>
                <w:iCs/>
                <w:noProof/>
              </w:rPr>
            </w:pPr>
          </w:p>
          <w:p w:rsidR="00E84155" w:rsidRDefault="00A01F78">
            <w:pPr>
              <w:spacing w:after="60"/>
              <w:rPr>
                <w:bCs/>
                <w:iCs/>
                <w:noProof/>
              </w:rPr>
            </w:pPr>
            <w:r>
              <w:rPr>
                <w:noProof/>
              </w:rPr>
              <w:t>13 03 64 01 – Fonds européen de développement régional (FEDER) — C</w:t>
            </w:r>
            <w:r>
              <w:rPr>
                <w:noProof/>
              </w:rPr>
              <w:t>oopération territoriale européenne</w:t>
            </w:r>
          </w:p>
          <w:p w:rsidR="00E84155" w:rsidRDefault="00E84155">
            <w:pPr>
              <w:spacing w:after="60"/>
              <w:rPr>
                <w:noProof/>
              </w:rPr>
            </w:pPr>
          </w:p>
          <w:p w:rsidR="00E84155" w:rsidRDefault="00A01F78">
            <w:pPr>
              <w:spacing w:after="60"/>
              <w:rPr>
                <w:noProof/>
              </w:rPr>
            </w:pPr>
            <w:r>
              <w:rPr>
                <w:noProof/>
              </w:rPr>
              <w:t>13 04 60 – Fonds de cohésion — Objectif «Investissement pour la croissance et l’emploi»</w:t>
            </w:r>
          </w:p>
        </w:tc>
        <w:tc>
          <w:tcPr>
            <w:tcW w:w="1080" w:type="dxa"/>
            <w:vAlign w:val="center"/>
          </w:tcPr>
          <w:p w:rsidR="00E84155" w:rsidRDefault="00A01F78">
            <w:pPr>
              <w:jc w:val="center"/>
              <w:rPr>
                <w:noProof/>
              </w:rPr>
            </w:pPr>
            <w:r>
              <w:rPr>
                <w:noProof/>
              </w:rPr>
              <w:t>CD</w:t>
            </w:r>
          </w:p>
        </w:tc>
        <w:tc>
          <w:tcPr>
            <w:tcW w:w="956" w:type="dxa"/>
            <w:vAlign w:val="center"/>
          </w:tcPr>
          <w:p w:rsidR="00E84155" w:rsidRDefault="00A01F78">
            <w:pPr>
              <w:jc w:val="center"/>
              <w:rPr>
                <w:noProof/>
              </w:rPr>
            </w:pPr>
            <w:r>
              <w:rPr>
                <w:noProof/>
              </w:rPr>
              <w:t>NON</w:t>
            </w:r>
          </w:p>
        </w:tc>
        <w:tc>
          <w:tcPr>
            <w:tcW w:w="1080" w:type="dxa"/>
            <w:vAlign w:val="center"/>
          </w:tcPr>
          <w:p w:rsidR="00E84155" w:rsidRDefault="00A01F78">
            <w:pPr>
              <w:jc w:val="center"/>
              <w:rPr>
                <w:noProof/>
              </w:rPr>
            </w:pPr>
            <w:r>
              <w:rPr>
                <w:noProof/>
              </w:rPr>
              <w:t>NON</w:t>
            </w:r>
          </w:p>
        </w:tc>
        <w:tc>
          <w:tcPr>
            <w:tcW w:w="956" w:type="dxa"/>
            <w:vAlign w:val="center"/>
          </w:tcPr>
          <w:p w:rsidR="00E84155" w:rsidRDefault="00A01F78">
            <w:pPr>
              <w:jc w:val="center"/>
              <w:rPr>
                <w:noProof/>
              </w:rPr>
            </w:pPr>
            <w:r>
              <w:rPr>
                <w:noProof/>
              </w:rPr>
              <w:t>NON</w:t>
            </w:r>
          </w:p>
        </w:tc>
        <w:tc>
          <w:tcPr>
            <w:tcW w:w="1448" w:type="dxa"/>
            <w:vAlign w:val="center"/>
          </w:tcPr>
          <w:p w:rsidR="00E84155" w:rsidRDefault="00A01F78">
            <w:pPr>
              <w:jc w:val="center"/>
              <w:rPr>
                <w:noProof/>
              </w:rPr>
            </w:pPr>
            <w:r>
              <w:rPr>
                <w:noProof/>
              </w:rPr>
              <w:t>NON</w:t>
            </w:r>
          </w:p>
        </w:tc>
      </w:tr>
    </w:tbl>
    <w:p w:rsidR="00E84155" w:rsidRDefault="00E84155">
      <w:pPr>
        <w:rPr>
          <w:noProof/>
        </w:rPr>
      </w:pPr>
    </w:p>
    <w:p w:rsidR="00E84155" w:rsidRDefault="00A01F78">
      <w:pPr>
        <w:pStyle w:val="ListBullet1"/>
        <w:rPr>
          <w:noProof/>
        </w:rPr>
      </w:pPr>
      <w:r>
        <w:rPr>
          <w:noProof/>
        </w:rPr>
        <w:t xml:space="preserve">Nouvelles lignes budgétaires, dont la création est demandée </w:t>
      </w:r>
    </w:p>
    <w:p w:rsidR="00E84155" w:rsidRDefault="00A01F78">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84155">
        <w:tc>
          <w:tcPr>
            <w:tcW w:w="1080" w:type="dxa"/>
            <w:vMerge w:val="restart"/>
            <w:vAlign w:val="center"/>
          </w:tcPr>
          <w:p w:rsidR="00E84155" w:rsidRDefault="00A01F78">
            <w:pPr>
              <w:spacing w:before="60" w:after="60"/>
              <w:jc w:val="center"/>
              <w:rPr>
                <w:noProof/>
                <w:sz w:val="18"/>
                <w:szCs w:val="18"/>
              </w:rPr>
            </w:pPr>
            <w:r>
              <w:rPr>
                <w:noProof/>
                <w:sz w:val="18"/>
              </w:rPr>
              <w:t>Rubrique du cadre financier pluriannuel</w:t>
            </w:r>
          </w:p>
        </w:tc>
        <w:tc>
          <w:tcPr>
            <w:tcW w:w="3960" w:type="dxa"/>
            <w:vAlign w:val="center"/>
          </w:tcPr>
          <w:p w:rsidR="00E84155" w:rsidRDefault="00A01F78">
            <w:pPr>
              <w:spacing w:before="60" w:after="60"/>
              <w:jc w:val="center"/>
              <w:rPr>
                <w:noProof/>
              </w:rPr>
            </w:pPr>
            <w:r>
              <w:rPr>
                <w:noProof/>
                <w:sz w:val="20"/>
              </w:rPr>
              <w:t>Ligne budgétaire</w:t>
            </w:r>
          </w:p>
        </w:tc>
        <w:tc>
          <w:tcPr>
            <w:tcW w:w="1080" w:type="dxa"/>
            <w:vAlign w:val="center"/>
          </w:tcPr>
          <w:p w:rsidR="00E84155" w:rsidRDefault="00A01F78">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rsidR="00E84155" w:rsidRDefault="00A01F78">
            <w:pPr>
              <w:spacing w:before="60" w:after="60"/>
              <w:jc w:val="center"/>
              <w:rPr>
                <w:noProof/>
              </w:rPr>
            </w:pPr>
            <w:r>
              <w:rPr>
                <w:noProof/>
                <w:sz w:val="20"/>
              </w:rPr>
              <w:t xml:space="preserve">Participation </w:t>
            </w:r>
          </w:p>
        </w:tc>
      </w:tr>
      <w:tr w:rsidR="00E84155">
        <w:tc>
          <w:tcPr>
            <w:tcW w:w="1080" w:type="dxa"/>
            <w:vMerge/>
            <w:vAlign w:val="center"/>
          </w:tcPr>
          <w:p w:rsidR="00E84155" w:rsidRDefault="00E84155">
            <w:pPr>
              <w:jc w:val="center"/>
              <w:rPr>
                <w:noProof/>
              </w:rPr>
            </w:pPr>
          </w:p>
        </w:tc>
        <w:tc>
          <w:tcPr>
            <w:tcW w:w="3960" w:type="dxa"/>
            <w:vAlign w:val="center"/>
          </w:tcPr>
          <w:p w:rsidR="00E84155" w:rsidRDefault="00A01F78">
            <w:pPr>
              <w:rPr>
                <w:noProof/>
              </w:rPr>
            </w:pPr>
            <w:r>
              <w:rPr>
                <w:noProof/>
                <w:sz w:val="20"/>
              </w:rPr>
              <w:t>Numéro</w:t>
            </w:r>
            <w:r>
              <w:rPr>
                <w:noProof/>
              </w:rPr>
              <w:br/>
            </w:r>
            <w:r>
              <w:rPr>
                <w:noProof/>
                <w:sz w:val="20"/>
              </w:rPr>
              <w:t>[Libellé………………………………………]</w:t>
            </w:r>
          </w:p>
        </w:tc>
        <w:tc>
          <w:tcPr>
            <w:tcW w:w="1080" w:type="dxa"/>
            <w:vAlign w:val="center"/>
          </w:tcPr>
          <w:p w:rsidR="00E84155" w:rsidRDefault="00A01F78">
            <w:pPr>
              <w:jc w:val="center"/>
              <w:rPr>
                <w:noProof/>
              </w:rPr>
            </w:pPr>
            <w:r>
              <w:rPr>
                <w:noProof/>
                <w:sz w:val="18"/>
              </w:rPr>
              <w:t>CD/CND</w:t>
            </w:r>
          </w:p>
        </w:tc>
        <w:tc>
          <w:tcPr>
            <w:tcW w:w="956" w:type="dxa"/>
            <w:vAlign w:val="center"/>
          </w:tcPr>
          <w:p w:rsidR="00E84155" w:rsidRDefault="00A01F78">
            <w:pPr>
              <w:jc w:val="center"/>
              <w:rPr>
                <w:noProof/>
                <w:sz w:val="18"/>
              </w:rPr>
            </w:pPr>
            <w:r>
              <w:rPr>
                <w:noProof/>
                <w:sz w:val="18"/>
              </w:rPr>
              <w:t>de pays AELE</w:t>
            </w:r>
          </w:p>
        </w:tc>
        <w:tc>
          <w:tcPr>
            <w:tcW w:w="1080" w:type="dxa"/>
            <w:vAlign w:val="center"/>
          </w:tcPr>
          <w:p w:rsidR="00E84155" w:rsidRDefault="00A01F78">
            <w:pPr>
              <w:jc w:val="center"/>
              <w:rPr>
                <w:noProof/>
                <w:sz w:val="18"/>
              </w:rPr>
            </w:pPr>
            <w:r>
              <w:rPr>
                <w:noProof/>
                <w:sz w:val="18"/>
              </w:rPr>
              <w:t>de pays candidats</w:t>
            </w:r>
          </w:p>
        </w:tc>
        <w:tc>
          <w:tcPr>
            <w:tcW w:w="956" w:type="dxa"/>
            <w:vAlign w:val="center"/>
          </w:tcPr>
          <w:p w:rsidR="00E84155" w:rsidRDefault="00A01F78">
            <w:pPr>
              <w:jc w:val="center"/>
              <w:rPr>
                <w:noProof/>
                <w:sz w:val="18"/>
              </w:rPr>
            </w:pPr>
            <w:r>
              <w:rPr>
                <w:noProof/>
                <w:sz w:val="18"/>
              </w:rPr>
              <w:t>de pays tiers</w:t>
            </w:r>
          </w:p>
        </w:tc>
        <w:tc>
          <w:tcPr>
            <w:tcW w:w="1448" w:type="dxa"/>
            <w:vAlign w:val="center"/>
          </w:tcPr>
          <w:p w:rsidR="00E84155" w:rsidRDefault="00A01F78">
            <w:pPr>
              <w:jc w:val="center"/>
              <w:rPr>
                <w:noProof/>
              </w:rPr>
            </w:pPr>
            <w:r>
              <w:rPr>
                <w:noProof/>
                <w:sz w:val="16"/>
              </w:rPr>
              <w:t xml:space="preserve">au sens de l'article 21, paragraphe 2, point b), du règlement financier </w:t>
            </w:r>
          </w:p>
        </w:tc>
      </w:tr>
      <w:tr w:rsidR="00E84155">
        <w:tc>
          <w:tcPr>
            <w:tcW w:w="1080" w:type="dxa"/>
            <w:vAlign w:val="center"/>
          </w:tcPr>
          <w:p w:rsidR="00E84155" w:rsidRDefault="00E84155">
            <w:pPr>
              <w:jc w:val="center"/>
              <w:rPr>
                <w:noProof/>
              </w:rPr>
            </w:pPr>
          </w:p>
        </w:tc>
        <w:tc>
          <w:tcPr>
            <w:tcW w:w="3960" w:type="dxa"/>
            <w:vAlign w:val="center"/>
          </w:tcPr>
          <w:p w:rsidR="00E84155" w:rsidRDefault="00A01F78">
            <w:pPr>
              <w:spacing w:before="60"/>
              <w:rPr>
                <w:noProof/>
              </w:rPr>
            </w:pPr>
            <w:r>
              <w:rPr>
                <w:noProof/>
              </w:rPr>
              <w:t>[XX.YY.YY.YY]</w:t>
            </w:r>
          </w:p>
          <w:p w:rsidR="00E84155" w:rsidRDefault="00E84155">
            <w:pPr>
              <w:spacing w:after="60"/>
              <w:rPr>
                <w:noProof/>
              </w:rPr>
            </w:pPr>
          </w:p>
        </w:tc>
        <w:tc>
          <w:tcPr>
            <w:tcW w:w="1080" w:type="dxa"/>
            <w:vAlign w:val="center"/>
          </w:tcPr>
          <w:p w:rsidR="00E84155" w:rsidRDefault="00E84155">
            <w:pPr>
              <w:jc w:val="center"/>
              <w:rPr>
                <w:noProof/>
              </w:rPr>
            </w:pPr>
          </w:p>
        </w:tc>
        <w:tc>
          <w:tcPr>
            <w:tcW w:w="956" w:type="dxa"/>
            <w:vAlign w:val="center"/>
          </w:tcPr>
          <w:p w:rsidR="00E84155" w:rsidRDefault="00A01F78">
            <w:pPr>
              <w:jc w:val="center"/>
              <w:rPr>
                <w:noProof/>
              </w:rPr>
            </w:pPr>
            <w:r>
              <w:rPr>
                <w:noProof/>
              </w:rPr>
              <w:t>OUI/NON</w:t>
            </w:r>
          </w:p>
        </w:tc>
        <w:tc>
          <w:tcPr>
            <w:tcW w:w="1080" w:type="dxa"/>
            <w:vAlign w:val="center"/>
          </w:tcPr>
          <w:p w:rsidR="00E84155" w:rsidRDefault="00A01F78">
            <w:pPr>
              <w:jc w:val="center"/>
              <w:rPr>
                <w:noProof/>
                <w:sz w:val="18"/>
              </w:rPr>
            </w:pPr>
            <w:r>
              <w:rPr>
                <w:noProof/>
              </w:rPr>
              <w:t>OUI/NON</w:t>
            </w:r>
          </w:p>
        </w:tc>
        <w:tc>
          <w:tcPr>
            <w:tcW w:w="956" w:type="dxa"/>
            <w:vAlign w:val="center"/>
          </w:tcPr>
          <w:p w:rsidR="00E84155" w:rsidRDefault="00A01F78">
            <w:pPr>
              <w:jc w:val="center"/>
              <w:rPr>
                <w:noProof/>
                <w:sz w:val="18"/>
              </w:rPr>
            </w:pPr>
            <w:r>
              <w:rPr>
                <w:noProof/>
              </w:rPr>
              <w:t>OUI/NON</w:t>
            </w:r>
          </w:p>
        </w:tc>
        <w:tc>
          <w:tcPr>
            <w:tcW w:w="1448" w:type="dxa"/>
            <w:vAlign w:val="center"/>
          </w:tcPr>
          <w:p w:rsidR="00E84155" w:rsidRDefault="00A01F78">
            <w:pPr>
              <w:jc w:val="center"/>
              <w:rPr>
                <w:noProof/>
              </w:rPr>
            </w:pPr>
            <w:r>
              <w:rPr>
                <w:noProof/>
              </w:rPr>
              <w:t>OUI/NON</w:t>
            </w:r>
          </w:p>
        </w:tc>
      </w:tr>
    </w:tbl>
    <w:p w:rsidR="00E84155" w:rsidRDefault="00E84155">
      <w:pPr>
        <w:pStyle w:val="Institutionquisigne"/>
        <w:rPr>
          <w:noProof/>
        </w:rPr>
        <w:sectPr w:rsidR="00E84155" w:rsidSect="00A01F78">
          <w:pgSz w:w="11907" w:h="16839"/>
          <w:pgMar w:top="1134" w:right="1417" w:bottom="1134" w:left="1417" w:header="709" w:footer="709" w:gutter="0"/>
          <w:cols w:space="708"/>
          <w:docGrid w:linePitch="360"/>
        </w:sectPr>
      </w:pPr>
    </w:p>
    <w:p w:rsidR="00E84155" w:rsidRDefault="00A01F78">
      <w:pPr>
        <w:pStyle w:val="ManualHeading2"/>
        <w:rPr>
          <w:bCs/>
          <w:noProof/>
          <w:szCs w:val="24"/>
        </w:rPr>
      </w:pPr>
      <w:r>
        <w:rPr>
          <w:noProof/>
        </w:rPr>
        <w:t>3.2.</w:t>
      </w:r>
      <w:r>
        <w:rPr>
          <w:noProof/>
        </w:rPr>
        <w:tab/>
        <w:t xml:space="preserve">Incidence estimée sur les dépenses </w:t>
      </w:r>
    </w:p>
    <w:p w:rsidR="00E84155" w:rsidRDefault="00A01F78">
      <w:pPr>
        <w:rPr>
          <w:noProof/>
        </w:rPr>
      </w:pPr>
      <w:r>
        <w:rPr>
          <w:noProof/>
        </w:rPr>
        <w:t xml:space="preserve">La modification proposée entraînera, aussi bien pour les crédits </w:t>
      </w:r>
      <w:r>
        <w:rPr>
          <w:noProof/>
        </w:rPr>
        <w:t>d’engagement que pour les crédits de paiement, des changements dans le titre «Cohésion économique, sociale et territoriale» du cadre financier pluriannuel pour la période 2014-2020.</w:t>
      </w:r>
    </w:p>
    <w:p w:rsidR="00E84155" w:rsidRDefault="00A01F78">
      <w:pPr>
        <w:rPr>
          <w:noProof/>
        </w:rPr>
      </w:pPr>
      <w:r>
        <w:rPr>
          <w:noProof/>
        </w:rPr>
        <w:t xml:space="preserve">Premièrement, en ce qui concerne les crédits d’engagement, les ressources </w:t>
      </w:r>
      <w:r>
        <w:rPr>
          <w:noProof/>
        </w:rPr>
        <w:t>affectées à la cohésion économique, sociale et territoriale disponibles pour les engagements budgétaires pour la période 2017-2020 augmenteront de 5 841 600 033 EUR en prix courants. Sur ce total, un montant de 14 200 000 000 EUR constitue la dotation spéc</w:t>
      </w:r>
      <w:r>
        <w:rPr>
          <w:noProof/>
        </w:rPr>
        <w:t>ifique allouée à l’IEJ.</w:t>
      </w:r>
    </w:p>
    <w:p w:rsidR="00E84155" w:rsidRDefault="00A01F78">
      <w:pPr>
        <w:pStyle w:val="Text1"/>
        <w:ind w:left="0"/>
        <w:rPr>
          <w:noProof/>
        </w:rPr>
      </w:pPr>
      <w:r>
        <w:rPr>
          <w:noProof/>
        </w:rPr>
        <w:t>Deuxièmement, en ce qui concerne les crédits de paiement, les besoins additionnels sont calculés sur la base des hypothèses suivantes:</w:t>
      </w:r>
    </w:p>
    <w:p w:rsidR="00E84155" w:rsidRDefault="00A01F78">
      <w:pPr>
        <w:pStyle w:val="Bullet1"/>
        <w:numPr>
          <w:ilvl w:val="0"/>
          <w:numId w:val="17"/>
        </w:numPr>
        <w:rPr>
          <w:noProof/>
        </w:rPr>
      </w:pPr>
      <w:r>
        <w:rPr>
          <w:noProof/>
        </w:rPr>
        <w:t>étant donné que l’adoption des programmes opérationnels modifiés ne sera achevée qu’au cours du d</w:t>
      </w:r>
      <w:r>
        <w:rPr>
          <w:noProof/>
        </w:rPr>
        <w:t>euxième semestre de l’année 2017, les besoins annuels de préfinancement sont rattachés à la période 2018-2020;</w:t>
      </w:r>
    </w:p>
    <w:p w:rsidR="00E84155" w:rsidRDefault="00A01F78">
      <w:pPr>
        <w:pStyle w:val="Bullet1"/>
        <w:rPr>
          <w:noProof/>
        </w:rPr>
      </w:pPr>
      <w:r>
        <w:rPr>
          <w:noProof/>
        </w:rPr>
        <w:t>les paiements intermédiaires liés aux ressources additionnelles issues des ajustements techniques visés à l'article 7 devraient suivre le même ry</w:t>
      </w:r>
      <w:r>
        <w:rPr>
          <w:noProof/>
        </w:rPr>
        <w:t xml:space="preserve">thme qu’au début de la présente période de programmation; </w:t>
      </w:r>
    </w:p>
    <w:p w:rsidR="00E84155" w:rsidRDefault="00A01F78">
      <w:pPr>
        <w:pStyle w:val="Bullet1"/>
        <w:rPr>
          <w:noProof/>
        </w:rPr>
      </w:pPr>
      <w:r>
        <w:rPr>
          <w:noProof/>
        </w:rPr>
        <w:t>les paiements intermédiaires liés à la hausse de la dotation spécifique allouée à l’IEJ devraient suivre un rythme plus rapide étant donné que tous les blocages administratifs sont désormais suppri</w:t>
      </w:r>
      <w:r>
        <w:rPr>
          <w:noProof/>
        </w:rPr>
        <w:t>més et que la mise en œuvre sur le terrain progresse plus vite que celle des autres Fonds ESI.</w:t>
      </w:r>
    </w:p>
    <w:p w:rsidR="00E84155" w:rsidRDefault="00A01F78">
      <w:pPr>
        <w:pStyle w:val="ManualHeading3"/>
        <w:rPr>
          <w:noProof/>
          <w:u w:val="single"/>
        </w:rPr>
      </w:pPr>
      <w:r>
        <w:rPr>
          <w:noProof/>
        </w:rPr>
        <w:t>3.2.1.</w:t>
      </w:r>
      <w:r>
        <w:rPr>
          <w:noProof/>
        </w:rPr>
        <w:tab/>
        <w:t xml:space="preserve">Synthèse de l'incidence estimée sur les dépenses </w:t>
      </w:r>
    </w:p>
    <w:p w:rsidR="00E84155" w:rsidRDefault="00A01F78">
      <w:pPr>
        <w:jc w:val="right"/>
        <w:rPr>
          <w:noProof/>
          <w:sz w:val="20"/>
        </w:rPr>
      </w:pPr>
      <w:r>
        <w:rPr>
          <w:noProof/>
          <w:sz w:val="20"/>
        </w:rPr>
        <w:t>En millions d’EUR en prix courants (à la 3</w:t>
      </w:r>
      <w:r>
        <w:rPr>
          <w:noProof/>
          <w:sz w:val="20"/>
          <w:vertAlign w:val="superscript"/>
        </w:rPr>
        <w:t>e</w:t>
      </w:r>
      <w:r>
        <w:rPr>
          <w:noProof/>
          <w:sz w:val="20"/>
        </w:rPr>
        <w:t xml:space="preserve"> décimale)</w:t>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rsidR="00E84155">
        <w:trPr>
          <w:jc w:val="center"/>
        </w:trPr>
        <w:tc>
          <w:tcPr>
            <w:tcW w:w="5351" w:type="dxa"/>
            <w:shd w:val="thinDiagStripe" w:color="C0C0C0" w:fill="auto"/>
            <w:vAlign w:val="center"/>
          </w:tcPr>
          <w:p w:rsidR="00E84155" w:rsidRDefault="00A01F78">
            <w:pPr>
              <w:spacing w:before="60" w:after="60"/>
              <w:jc w:val="center"/>
              <w:rPr>
                <w:b/>
                <w:noProof/>
              </w:rPr>
            </w:pPr>
            <w:r>
              <w:rPr>
                <w:b/>
                <w:noProof/>
              </w:rPr>
              <w:t>Rubrique du cadre financier</w:t>
            </w:r>
            <w:r>
              <w:rPr>
                <w:noProof/>
              </w:rPr>
              <w:br/>
            </w:r>
            <w:r>
              <w:rPr>
                <w:b/>
                <w:noProof/>
              </w:rPr>
              <w:t xml:space="preserve">pluriannuel </w:t>
            </w:r>
          </w:p>
        </w:tc>
        <w:tc>
          <w:tcPr>
            <w:tcW w:w="1080" w:type="dxa"/>
            <w:vAlign w:val="center"/>
          </w:tcPr>
          <w:p w:rsidR="00E84155" w:rsidRDefault="00A01F78">
            <w:pPr>
              <w:spacing w:before="60" w:after="60"/>
              <w:jc w:val="center"/>
              <w:rPr>
                <w:noProof/>
              </w:rPr>
            </w:pPr>
            <w:r>
              <w:rPr>
                <w:noProof/>
                <w:sz w:val="22"/>
              </w:rPr>
              <w:t>Numéro</w:t>
            </w:r>
          </w:p>
          <w:p w:rsidR="00E84155" w:rsidRDefault="00A01F78">
            <w:pPr>
              <w:spacing w:before="60" w:after="60"/>
              <w:jc w:val="center"/>
              <w:rPr>
                <w:noProof/>
              </w:rPr>
            </w:pPr>
            <w:r>
              <w:rPr>
                <w:noProof/>
                <w:sz w:val="22"/>
              </w:rPr>
              <w:t>1</w:t>
            </w:r>
          </w:p>
        </w:tc>
        <w:tc>
          <w:tcPr>
            <w:tcW w:w="7817" w:type="dxa"/>
            <w:vAlign w:val="center"/>
          </w:tcPr>
          <w:p w:rsidR="00E84155" w:rsidRDefault="00A01F78">
            <w:pPr>
              <w:spacing w:before="60" w:after="60"/>
              <w:rPr>
                <w:noProof/>
              </w:rPr>
            </w:pPr>
            <w:r>
              <w:rPr>
                <w:noProof/>
              </w:rPr>
              <w:t>Croissance intelligente et inclusive</w:t>
            </w:r>
          </w:p>
        </w:tc>
      </w:tr>
    </w:tbl>
    <w:p w:rsidR="00E84155" w:rsidRDefault="00E84155">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rsidR="00E84155">
        <w:tc>
          <w:tcPr>
            <w:tcW w:w="2203" w:type="dxa"/>
            <w:vAlign w:val="center"/>
          </w:tcPr>
          <w:p w:rsidR="00E84155" w:rsidRDefault="00A01F78">
            <w:pPr>
              <w:jc w:val="center"/>
              <w:rPr>
                <w:noProof/>
              </w:rPr>
            </w:pPr>
            <w:r>
              <w:rPr>
                <w:noProof/>
                <w:sz w:val="22"/>
              </w:rPr>
              <w:t xml:space="preserve">DG: </w:t>
            </w:r>
            <w:r>
              <w:rPr>
                <w:noProof/>
              </w:rPr>
              <w:t xml:space="preserve">EMPL, REGIO </w:t>
            </w:r>
          </w:p>
        </w:tc>
        <w:tc>
          <w:tcPr>
            <w:tcW w:w="3119" w:type="dxa"/>
          </w:tcPr>
          <w:p w:rsidR="00E84155" w:rsidRDefault="00E84155">
            <w:pPr>
              <w:rPr>
                <w:noProof/>
                <w:sz w:val="20"/>
              </w:rPr>
            </w:pPr>
          </w:p>
        </w:tc>
        <w:tc>
          <w:tcPr>
            <w:tcW w:w="425" w:type="dxa"/>
          </w:tcPr>
          <w:p w:rsidR="00E84155" w:rsidRDefault="00E84155">
            <w:pPr>
              <w:jc w:val="center"/>
              <w:rPr>
                <w:noProof/>
                <w:sz w:val="20"/>
              </w:rPr>
            </w:pPr>
          </w:p>
        </w:tc>
        <w:tc>
          <w:tcPr>
            <w:tcW w:w="709" w:type="dxa"/>
          </w:tcPr>
          <w:p w:rsidR="00E84155" w:rsidRDefault="00A01F78">
            <w:pPr>
              <w:rPr>
                <w:noProof/>
              </w:rPr>
            </w:pPr>
            <w:r>
              <w:rPr>
                <w:noProof/>
              </w:rPr>
              <w:t>2014</w:t>
            </w:r>
          </w:p>
        </w:tc>
        <w:tc>
          <w:tcPr>
            <w:tcW w:w="708" w:type="dxa"/>
          </w:tcPr>
          <w:p w:rsidR="00E84155" w:rsidRDefault="00A01F78">
            <w:pPr>
              <w:rPr>
                <w:noProof/>
              </w:rPr>
            </w:pPr>
            <w:r>
              <w:rPr>
                <w:noProof/>
              </w:rPr>
              <w:t>2015</w:t>
            </w:r>
          </w:p>
        </w:tc>
        <w:tc>
          <w:tcPr>
            <w:tcW w:w="709" w:type="dxa"/>
          </w:tcPr>
          <w:p w:rsidR="00E84155" w:rsidRDefault="00A01F78">
            <w:pPr>
              <w:rPr>
                <w:noProof/>
              </w:rPr>
            </w:pPr>
            <w:r>
              <w:rPr>
                <w:noProof/>
              </w:rPr>
              <w:t>2016</w:t>
            </w:r>
          </w:p>
        </w:tc>
        <w:tc>
          <w:tcPr>
            <w:tcW w:w="1276" w:type="dxa"/>
          </w:tcPr>
          <w:p w:rsidR="00E84155" w:rsidRDefault="00A01F78">
            <w:pPr>
              <w:rPr>
                <w:noProof/>
              </w:rPr>
            </w:pPr>
            <w:r>
              <w:rPr>
                <w:noProof/>
              </w:rPr>
              <w:t>2017</w:t>
            </w:r>
          </w:p>
        </w:tc>
        <w:tc>
          <w:tcPr>
            <w:tcW w:w="1276" w:type="dxa"/>
          </w:tcPr>
          <w:p w:rsidR="00E84155" w:rsidRDefault="00A01F78">
            <w:pPr>
              <w:rPr>
                <w:noProof/>
              </w:rPr>
            </w:pPr>
            <w:r>
              <w:rPr>
                <w:noProof/>
              </w:rPr>
              <w:t>2018</w:t>
            </w:r>
            <w:r>
              <w:rPr>
                <w:rStyle w:val="FootnoteReference"/>
                <w:noProof/>
              </w:rPr>
              <w:footnoteReference w:id="20"/>
            </w:r>
          </w:p>
        </w:tc>
        <w:tc>
          <w:tcPr>
            <w:tcW w:w="1275" w:type="dxa"/>
          </w:tcPr>
          <w:p w:rsidR="00E84155" w:rsidRDefault="00A01F78">
            <w:pPr>
              <w:rPr>
                <w:noProof/>
              </w:rPr>
            </w:pPr>
            <w:r>
              <w:rPr>
                <w:noProof/>
              </w:rPr>
              <w:t>2019</w:t>
            </w:r>
          </w:p>
        </w:tc>
        <w:tc>
          <w:tcPr>
            <w:tcW w:w="1276" w:type="dxa"/>
          </w:tcPr>
          <w:p w:rsidR="00E84155" w:rsidRDefault="00A01F78">
            <w:pPr>
              <w:rPr>
                <w:noProof/>
              </w:rPr>
            </w:pPr>
            <w:r>
              <w:rPr>
                <w:noProof/>
              </w:rPr>
              <w:t>2020</w:t>
            </w:r>
          </w:p>
        </w:tc>
        <w:tc>
          <w:tcPr>
            <w:tcW w:w="1518" w:type="dxa"/>
            <w:vAlign w:val="center"/>
          </w:tcPr>
          <w:p w:rsidR="00E84155" w:rsidRDefault="00A01F78">
            <w:pPr>
              <w:jc w:val="center"/>
              <w:rPr>
                <w:b/>
                <w:noProof/>
                <w:sz w:val="20"/>
              </w:rPr>
            </w:pPr>
            <w:r>
              <w:rPr>
                <w:b/>
                <w:noProof/>
                <w:sz w:val="20"/>
              </w:rPr>
              <w:t>TOTAL</w:t>
            </w:r>
          </w:p>
        </w:tc>
      </w:tr>
      <w:tr w:rsidR="00E84155">
        <w:trPr>
          <w:trHeight w:val="213"/>
        </w:trPr>
        <w:tc>
          <w:tcPr>
            <w:tcW w:w="5747" w:type="dxa"/>
            <w:gridSpan w:val="3"/>
            <w:vAlign w:val="center"/>
          </w:tcPr>
          <w:p w:rsidR="00E84155" w:rsidRDefault="00A01F78">
            <w:pPr>
              <w:spacing w:before="20" w:after="20"/>
              <w:rPr>
                <w:noProof/>
                <w:sz w:val="21"/>
              </w:rPr>
            </w:pPr>
            <w:r>
              <w:rPr>
                <w:noProof/>
                <w:sz w:val="21"/>
              </w:rPr>
              <w:sym w:font="Wingdings" w:char="F09F"/>
            </w:r>
            <w:r>
              <w:rPr>
                <w:noProof/>
                <w:sz w:val="21"/>
              </w:rPr>
              <w:t>Crédits opérationnels</w:t>
            </w:r>
          </w:p>
        </w:tc>
        <w:tc>
          <w:tcPr>
            <w:tcW w:w="709" w:type="dxa"/>
            <w:vAlign w:val="center"/>
          </w:tcPr>
          <w:p w:rsidR="00E84155" w:rsidRDefault="00E84155">
            <w:pPr>
              <w:rPr>
                <w:noProof/>
                <w:sz w:val="20"/>
              </w:rPr>
            </w:pPr>
          </w:p>
        </w:tc>
        <w:tc>
          <w:tcPr>
            <w:tcW w:w="708" w:type="dxa"/>
            <w:vAlign w:val="center"/>
          </w:tcPr>
          <w:p w:rsidR="00E84155" w:rsidRDefault="00E84155">
            <w:pPr>
              <w:rPr>
                <w:noProof/>
                <w:sz w:val="20"/>
              </w:rPr>
            </w:pPr>
          </w:p>
        </w:tc>
        <w:tc>
          <w:tcPr>
            <w:tcW w:w="709" w:type="dxa"/>
            <w:vAlign w:val="center"/>
          </w:tcPr>
          <w:p w:rsidR="00E84155" w:rsidRDefault="00E84155">
            <w:pPr>
              <w:rPr>
                <w:noProof/>
                <w:sz w:val="20"/>
              </w:rPr>
            </w:pPr>
          </w:p>
        </w:tc>
        <w:tc>
          <w:tcPr>
            <w:tcW w:w="1276" w:type="dxa"/>
            <w:vAlign w:val="center"/>
          </w:tcPr>
          <w:p w:rsidR="00E84155" w:rsidRDefault="00E84155">
            <w:pPr>
              <w:rPr>
                <w:noProof/>
                <w:sz w:val="20"/>
              </w:rPr>
            </w:pPr>
          </w:p>
        </w:tc>
        <w:tc>
          <w:tcPr>
            <w:tcW w:w="1276" w:type="dxa"/>
            <w:vAlign w:val="center"/>
          </w:tcPr>
          <w:p w:rsidR="00E84155" w:rsidRDefault="00E84155">
            <w:pPr>
              <w:rPr>
                <w:noProof/>
                <w:sz w:val="20"/>
              </w:rPr>
            </w:pPr>
          </w:p>
        </w:tc>
        <w:tc>
          <w:tcPr>
            <w:tcW w:w="1275" w:type="dxa"/>
            <w:vAlign w:val="center"/>
          </w:tcPr>
          <w:p w:rsidR="00E84155" w:rsidRDefault="00E84155">
            <w:pPr>
              <w:rPr>
                <w:noProof/>
                <w:sz w:val="20"/>
              </w:rPr>
            </w:pPr>
          </w:p>
        </w:tc>
        <w:tc>
          <w:tcPr>
            <w:tcW w:w="1276" w:type="dxa"/>
            <w:vAlign w:val="center"/>
          </w:tcPr>
          <w:p w:rsidR="00E84155" w:rsidRDefault="00E84155">
            <w:pPr>
              <w:rPr>
                <w:b/>
                <w:noProof/>
                <w:sz w:val="20"/>
              </w:rPr>
            </w:pPr>
          </w:p>
        </w:tc>
        <w:tc>
          <w:tcPr>
            <w:tcW w:w="1518" w:type="dxa"/>
            <w:vAlign w:val="center"/>
          </w:tcPr>
          <w:p w:rsidR="00E84155" w:rsidRDefault="00E84155">
            <w:pPr>
              <w:rPr>
                <w:b/>
                <w:noProof/>
                <w:sz w:val="20"/>
              </w:rPr>
            </w:pPr>
          </w:p>
        </w:tc>
      </w:tr>
      <w:tr w:rsidR="00E84155">
        <w:trPr>
          <w:trHeight w:val="277"/>
        </w:trPr>
        <w:tc>
          <w:tcPr>
            <w:tcW w:w="2203" w:type="dxa"/>
            <w:vAlign w:val="center"/>
          </w:tcPr>
          <w:p w:rsidR="00E84155" w:rsidRDefault="00A01F78">
            <w:pPr>
              <w:spacing w:before="60"/>
              <w:rPr>
                <w:noProof/>
                <w:sz w:val="21"/>
              </w:rPr>
            </w:pPr>
            <w:r>
              <w:rPr>
                <w:noProof/>
                <w:sz w:val="21"/>
              </w:rPr>
              <w:t>1b: Cohésion économique, sociale et territoriale</w:t>
            </w:r>
          </w:p>
          <w:p w:rsidR="00E84155" w:rsidRDefault="00A01F78">
            <w:pPr>
              <w:spacing w:before="60"/>
              <w:rPr>
                <w:noProof/>
              </w:rPr>
            </w:pPr>
            <w:r>
              <w:rPr>
                <w:noProof/>
                <w:sz w:val="21"/>
              </w:rPr>
              <w:t xml:space="preserve">Fonds européen de développement régional, Fonds social européen et Fonds </w:t>
            </w:r>
            <w:r>
              <w:rPr>
                <w:noProof/>
                <w:sz w:val="21"/>
              </w:rPr>
              <w:t>de cohésion</w:t>
            </w:r>
          </w:p>
        </w:tc>
        <w:tc>
          <w:tcPr>
            <w:tcW w:w="3119" w:type="dxa"/>
            <w:vAlign w:val="center"/>
          </w:tcPr>
          <w:p w:rsidR="00E84155" w:rsidRDefault="00A01F78">
            <w:pPr>
              <w:spacing w:before="20" w:after="20"/>
              <w:rPr>
                <w:noProof/>
                <w:sz w:val="18"/>
              </w:rPr>
            </w:pPr>
            <w:r>
              <w:rPr>
                <w:noProof/>
                <w:sz w:val="18"/>
              </w:rPr>
              <w:t xml:space="preserve">Engagements </w:t>
            </w:r>
          </w:p>
          <w:p w:rsidR="00E84155" w:rsidRDefault="00E84155">
            <w:pPr>
              <w:spacing w:before="20" w:after="20"/>
              <w:rPr>
                <w:noProof/>
                <w:sz w:val="18"/>
              </w:rPr>
            </w:pPr>
          </w:p>
          <w:p w:rsidR="00E84155" w:rsidRDefault="00E84155">
            <w:pPr>
              <w:spacing w:before="20" w:after="20"/>
              <w:rPr>
                <w:noProof/>
                <w:sz w:val="18"/>
              </w:rPr>
            </w:pPr>
          </w:p>
          <w:p w:rsidR="00E84155" w:rsidRDefault="00A01F78">
            <w:pPr>
              <w:spacing w:after="60"/>
              <w:rPr>
                <w:noProof/>
              </w:rPr>
            </w:pPr>
            <w:r>
              <w:rPr>
                <w:noProof/>
              </w:rPr>
              <w:t>04 02 60 – Fonds social européen – Régions moins développées – Objectif «Investissement pour la croissance et l’emploi»</w:t>
            </w:r>
          </w:p>
          <w:p w:rsidR="00E84155" w:rsidRDefault="00E84155">
            <w:pPr>
              <w:spacing w:before="20" w:after="20"/>
              <w:rPr>
                <w:noProof/>
                <w:sz w:val="18"/>
              </w:rPr>
            </w:pPr>
          </w:p>
          <w:p w:rsidR="00E84155" w:rsidRDefault="00A01F78">
            <w:pPr>
              <w:spacing w:after="60"/>
              <w:rPr>
                <w:noProof/>
              </w:rPr>
            </w:pPr>
            <w:r>
              <w:rPr>
                <w:noProof/>
              </w:rPr>
              <w:t xml:space="preserve">04 02 61 – Fonds social européen – Régions en transition – Objectif «Investissement pour la croissance et </w:t>
            </w:r>
            <w:r>
              <w:rPr>
                <w:noProof/>
              </w:rPr>
              <w:t>l’emploi»</w:t>
            </w:r>
          </w:p>
          <w:p w:rsidR="00E84155" w:rsidRDefault="00E84155">
            <w:pPr>
              <w:spacing w:before="20" w:after="20"/>
              <w:rPr>
                <w:noProof/>
                <w:sz w:val="18"/>
              </w:rPr>
            </w:pPr>
          </w:p>
          <w:p w:rsidR="00E84155" w:rsidRDefault="00A01F78">
            <w:pPr>
              <w:spacing w:after="60"/>
              <w:rPr>
                <w:noProof/>
              </w:rPr>
            </w:pPr>
            <w:r>
              <w:rPr>
                <w:noProof/>
              </w:rPr>
              <w:t xml:space="preserve">04 02 62 – Fonds social européen – Régions plus développées – Objectif «Investissement pour la croissance et l’emploi» </w:t>
            </w:r>
          </w:p>
          <w:p w:rsidR="00E84155" w:rsidRDefault="00A01F78">
            <w:pPr>
              <w:spacing w:after="60"/>
              <w:rPr>
                <w:noProof/>
              </w:rPr>
            </w:pPr>
            <w:r>
              <w:rPr>
                <w:noProof/>
              </w:rPr>
              <w:t>04 02 64 – Initiative pour l’emploi des jeunes</w:t>
            </w:r>
          </w:p>
          <w:p w:rsidR="00E84155" w:rsidRDefault="00E84155">
            <w:pPr>
              <w:spacing w:before="20" w:after="20"/>
              <w:rPr>
                <w:noProof/>
                <w:sz w:val="18"/>
              </w:rPr>
            </w:pPr>
          </w:p>
          <w:p w:rsidR="00E84155" w:rsidRDefault="00A01F78">
            <w:pPr>
              <w:spacing w:after="60"/>
              <w:rPr>
                <w:noProof/>
              </w:rPr>
            </w:pPr>
            <w:r>
              <w:rPr>
                <w:noProof/>
              </w:rPr>
              <w:t>13 03 60 – Fonds européen de développement régional (FEDER) – Régions moins d</w:t>
            </w:r>
            <w:r>
              <w:rPr>
                <w:noProof/>
              </w:rPr>
              <w:t xml:space="preserve">éveloppées – Objectif «Investissement pour la croissance et l’emploi» </w:t>
            </w:r>
          </w:p>
          <w:p w:rsidR="00E84155" w:rsidRDefault="00E84155">
            <w:pPr>
              <w:spacing w:before="20" w:after="20"/>
              <w:rPr>
                <w:noProof/>
                <w:sz w:val="18"/>
              </w:rPr>
            </w:pPr>
          </w:p>
          <w:p w:rsidR="00E84155" w:rsidRDefault="00A01F78">
            <w:pPr>
              <w:spacing w:after="60"/>
              <w:rPr>
                <w:noProof/>
              </w:rPr>
            </w:pPr>
            <w:r>
              <w:rPr>
                <w:noProof/>
              </w:rPr>
              <w:t xml:space="preserve">13 03 61 – Fonds européen de développement régional (FEDER) – Régions en transition – Objectif «Investissement pour la croissance et l’emploi» </w:t>
            </w:r>
          </w:p>
          <w:p w:rsidR="00E84155" w:rsidRDefault="00A01F78">
            <w:pPr>
              <w:spacing w:after="60"/>
              <w:rPr>
                <w:noProof/>
              </w:rPr>
            </w:pPr>
            <w:r>
              <w:rPr>
                <w:noProof/>
              </w:rPr>
              <w:t>13 03 62 – Fonds européen de développeme</w:t>
            </w:r>
            <w:r>
              <w:rPr>
                <w:noProof/>
              </w:rPr>
              <w:t xml:space="preserve">nt régional (FEDER) – Régions plus développées – Objectif «Investissement pour la croissance et l’emploi» </w:t>
            </w:r>
          </w:p>
          <w:p w:rsidR="00E84155" w:rsidRDefault="00E84155">
            <w:pPr>
              <w:spacing w:before="20" w:after="20"/>
              <w:rPr>
                <w:noProof/>
                <w:sz w:val="18"/>
              </w:rPr>
            </w:pPr>
          </w:p>
          <w:p w:rsidR="00E84155" w:rsidRDefault="00A01F78">
            <w:pPr>
              <w:spacing w:after="60"/>
              <w:rPr>
                <w:noProof/>
                <w:sz w:val="18"/>
              </w:rPr>
            </w:pPr>
            <w:r>
              <w:rPr>
                <w:noProof/>
              </w:rPr>
              <w:t>13 04 60 – Fonds de cohésion — Objectif «Investissement pour la croissance et l’emploi»</w:t>
            </w:r>
          </w:p>
          <w:p w:rsidR="00E84155" w:rsidRDefault="00E84155">
            <w:pPr>
              <w:spacing w:before="20" w:after="20"/>
              <w:rPr>
                <w:noProof/>
                <w:sz w:val="18"/>
              </w:rPr>
            </w:pPr>
          </w:p>
          <w:p w:rsidR="00E84155" w:rsidRDefault="00E84155">
            <w:pPr>
              <w:spacing w:before="20" w:after="20"/>
              <w:rPr>
                <w:noProof/>
                <w:sz w:val="18"/>
              </w:rPr>
            </w:pPr>
          </w:p>
          <w:p w:rsidR="00E84155" w:rsidRDefault="00E84155">
            <w:pPr>
              <w:spacing w:before="20" w:after="20"/>
              <w:rPr>
                <w:noProof/>
                <w:sz w:val="18"/>
              </w:rPr>
            </w:pPr>
          </w:p>
        </w:tc>
        <w:tc>
          <w:tcPr>
            <w:tcW w:w="425" w:type="dxa"/>
            <w:vAlign w:val="center"/>
          </w:tcPr>
          <w:p w:rsidR="00E84155" w:rsidRDefault="00A01F78">
            <w:pPr>
              <w:spacing w:before="20" w:after="20"/>
              <w:jc w:val="center"/>
              <w:rPr>
                <w:noProof/>
                <w:sz w:val="14"/>
              </w:rPr>
            </w:pPr>
            <w:r>
              <w:rPr>
                <w:noProof/>
                <w:sz w:val="14"/>
              </w:rPr>
              <w:t>(1)</w:t>
            </w:r>
          </w:p>
        </w:tc>
        <w:tc>
          <w:tcPr>
            <w:tcW w:w="709" w:type="dxa"/>
            <w:vAlign w:val="center"/>
          </w:tcPr>
          <w:p w:rsidR="00E84155" w:rsidRDefault="00E84155">
            <w:pPr>
              <w:spacing w:before="20" w:after="20"/>
              <w:jc w:val="right"/>
              <w:rPr>
                <w:noProof/>
                <w:sz w:val="20"/>
              </w:rPr>
            </w:pPr>
          </w:p>
          <w:p w:rsidR="00E84155" w:rsidRDefault="00E84155">
            <w:pPr>
              <w:spacing w:before="20" w:after="20"/>
              <w:jc w:val="right"/>
              <w:rPr>
                <w:noProof/>
                <w:sz w:val="20"/>
              </w:rPr>
            </w:pPr>
          </w:p>
        </w:tc>
        <w:tc>
          <w:tcPr>
            <w:tcW w:w="708" w:type="dxa"/>
            <w:vAlign w:val="center"/>
          </w:tcPr>
          <w:p w:rsidR="00E84155" w:rsidRDefault="00E84155">
            <w:pPr>
              <w:spacing w:before="20" w:after="20"/>
              <w:jc w:val="right"/>
              <w:rPr>
                <w:noProof/>
                <w:sz w:val="20"/>
              </w:rPr>
            </w:pPr>
          </w:p>
        </w:tc>
        <w:tc>
          <w:tcPr>
            <w:tcW w:w="709" w:type="dxa"/>
            <w:vAlign w:val="center"/>
          </w:tcPr>
          <w:p w:rsidR="00E84155" w:rsidRDefault="00E84155">
            <w:pPr>
              <w:spacing w:before="20" w:after="20"/>
              <w:jc w:val="right"/>
              <w:rPr>
                <w:noProof/>
                <w:sz w:val="20"/>
              </w:rPr>
            </w:pPr>
          </w:p>
        </w:tc>
        <w:tc>
          <w:tcPr>
            <w:tcW w:w="1276" w:type="dxa"/>
            <w:vAlign w:val="center"/>
          </w:tcPr>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xml:space="preserve">237 320 881 </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251 466 089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87 329 881</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500 000 000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237 320 880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251 466 089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87 329 881</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- 26 071 285</w:t>
            </w:r>
          </w:p>
        </w:tc>
        <w:tc>
          <w:tcPr>
            <w:tcW w:w="1276" w:type="dxa"/>
            <w:vAlign w:val="center"/>
          </w:tcPr>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242 067 299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256 495 412</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89 076 479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233 333 333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242 067 299</w:t>
            </w:r>
          </w:p>
          <w:p w:rsidR="00E84155" w:rsidRDefault="00E84155">
            <w:pPr>
              <w:spacing w:before="20" w:after="20"/>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256 495 411</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89 076 479</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- 26 592 711</w:t>
            </w:r>
          </w:p>
        </w:tc>
        <w:tc>
          <w:tcPr>
            <w:tcW w:w="1275" w:type="dxa"/>
            <w:vAlign w:val="center"/>
          </w:tcPr>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xml:space="preserve">246 908 645 </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261 625 320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90 858 008</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233 333 333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246 908 645</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261 625 320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90 858 009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- 27 124 565</w:t>
            </w:r>
          </w:p>
        </w:tc>
        <w:tc>
          <w:tcPr>
            <w:tcW w:w="1276" w:type="dxa"/>
            <w:vAlign w:val="center"/>
          </w:tcPr>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251 846 817</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266 857 826</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92 675 169</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233 333 333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251 846 645</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266 857 826</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92 675 168</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- 27 667 056</w:t>
            </w:r>
          </w:p>
        </w:tc>
        <w:tc>
          <w:tcPr>
            <w:tcW w:w="1518" w:type="dxa"/>
            <w:vAlign w:val="center"/>
          </w:tcPr>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978 143 642</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1 036 444 647</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359 939 537</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1 200 000 000</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978 143 642</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1 036 444 646</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359 939 537</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- 107 455 617</w:t>
            </w:r>
          </w:p>
        </w:tc>
      </w:tr>
    </w:tbl>
    <w:p w:rsidR="00E84155" w:rsidRDefault="00A01F78">
      <w:pPr>
        <w:rPr>
          <w:noProof/>
        </w:rPr>
      </w:pPr>
      <w:r>
        <w:rPr>
          <w:noProof/>
        </w:rPr>
        <w:br w:type="page"/>
      </w:r>
    </w:p>
    <w:p w:rsidR="00E84155" w:rsidRDefault="00E84155">
      <w:pPr>
        <w:rPr>
          <w:noProof/>
        </w:rPr>
      </w:pPr>
    </w:p>
    <w:p w:rsidR="00E84155" w:rsidRDefault="00E84155">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rsidR="00E84155">
        <w:trPr>
          <w:trHeight w:val="85"/>
        </w:trPr>
        <w:tc>
          <w:tcPr>
            <w:tcW w:w="2203" w:type="dxa"/>
          </w:tcPr>
          <w:p w:rsidR="00E84155" w:rsidRDefault="00A01F78">
            <w:pPr>
              <w:jc w:val="center"/>
              <w:rPr>
                <w:noProof/>
                <w:sz w:val="20"/>
              </w:rPr>
            </w:pPr>
            <w:r>
              <w:rPr>
                <w:noProof/>
              </w:rPr>
              <w:br w:type="page"/>
            </w:r>
          </w:p>
        </w:tc>
        <w:tc>
          <w:tcPr>
            <w:tcW w:w="3119" w:type="dxa"/>
            <w:vAlign w:val="center"/>
          </w:tcPr>
          <w:p w:rsidR="00E84155" w:rsidRDefault="00A01F78">
            <w:pPr>
              <w:spacing w:before="20" w:after="20"/>
              <w:rPr>
                <w:noProof/>
                <w:sz w:val="18"/>
              </w:rPr>
            </w:pPr>
            <w:r>
              <w:rPr>
                <w:noProof/>
                <w:sz w:val="18"/>
              </w:rPr>
              <w:t xml:space="preserve">Paiements </w:t>
            </w:r>
          </w:p>
          <w:p w:rsidR="00E84155" w:rsidRDefault="00A01F78">
            <w:pPr>
              <w:spacing w:after="60"/>
              <w:rPr>
                <w:noProof/>
              </w:rPr>
            </w:pPr>
            <w:r>
              <w:rPr>
                <w:noProof/>
              </w:rPr>
              <w:t xml:space="preserve">04 02 60 – Fonds social européen – Régions moins développées – Objectif «Investissement pour la croissance et </w:t>
            </w:r>
            <w:r>
              <w:rPr>
                <w:noProof/>
              </w:rPr>
              <w:t>l’emploi»</w:t>
            </w:r>
          </w:p>
          <w:p w:rsidR="00E84155" w:rsidRDefault="00E84155">
            <w:pPr>
              <w:spacing w:after="60"/>
              <w:rPr>
                <w:noProof/>
              </w:rPr>
            </w:pPr>
          </w:p>
          <w:p w:rsidR="00E84155" w:rsidRDefault="00A01F78">
            <w:pPr>
              <w:spacing w:after="60"/>
              <w:rPr>
                <w:noProof/>
              </w:rPr>
            </w:pPr>
            <w:r>
              <w:rPr>
                <w:noProof/>
              </w:rPr>
              <w:t>04 02 61 – Fonds social européen – Régions en transition – Objectif «Investissement pour la croissance et l’emploi»</w:t>
            </w:r>
          </w:p>
          <w:p w:rsidR="00E84155" w:rsidRDefault="00E84155">
            <w:pPr>
              <w:spacing w:after="60"/>
              <w:rPr>
                <w:noProof/>
              </w:rPr>
            </w:pPr>
          </w:p>
          <w:p w:rsidR="00E84155" w:rsidRDefault="00A01F78">
            <w:pPr>
              <w:spacing w:after="60"/>
              <w:rPr>
                <w:noProof/>
              </w:rPr>
            </w:pPr>
            <w:r>
              <w:rPr>
                <w:noProof/>
              </w:rPr>
              <w:t xml:space="preserve">04 02 62 – Fonds social européen – Régions plus développées – Objectif «Investissement pour la croissance et l’emploi» </w:t>
            </w:r>
          </w:p>
          <w:p w:rsidR="00E84155" w:rsidRDefault="00E84155">
            <w:pPr>
              <w:spacing w:after="60"/>
              <w:rPr>
                <w:noProof/>
              </w:rPr>
            </w:pPr>
          </w:p>
          <w:p w:rsidR="00E84155" w:rsidRDefault="00A01F78">
            <w:pPr>
              <w:spacing w:after="60"/>
              <w:rPr>
                <w:noProof/>
              </w:rPr>
            </w:pPr>
            <w:r>
              <w:rPr>
                <w:noProof/>
              </w:rPr>
              <w:t>04 02 6</w:t>
            </w:r>
            <w:r>
              <w:rPr>
                <w:noProof/>
              </w:rPr>
              <w:t>4 – Initiative pour l’emploi des jeunes</w:t>
            </w:r>
          </w:p>
          <w:p w:rsidR="00E84155" w:rsidRDefault="00E84155">
            <w:pPr>
              <w:spacing w:after="60"/>
              <w:rPr>
                <w:noProof/>
              </w:rPr>
            </w:pPr>
          </w:p>
          <w:p w:rsidR="00E84155" w:rsidRDefault="00A01F78">
            <w:pPr>
              <w:spacing w:after="60"/>
              <w:rPr>
                <w:noProof/>
              </w:rPr>
            </w:pPr>
            <w:r>
              <w:rPr>
                <w:noProof/>
              </w:rPr>
              <w:t xml:space="preserve"> 13 03 60 – Fonds européen de développement régional (FEDER) – Régions moins développées – Objectif «Investissement pour la croissance et l’emploi» </w:t>
            </w:r>
          </w:p>
          <w:p w:rsidR="00E84155" w:rsidRDefault="00E84155">
            <w:pPr>
              <w:spacing w:after="60"/>
              <w:rPr>
                <w:noProof/>
              </w:rPr>
            </w:pPr>
          </w:p>
          <w:p w:rsidR="00E84155" w:rsidRDefault="00A01F78">
            <w:pPr>
              <w:spacing w:after="60"/>
              <w:rPr>
                <w:noProof/>
              </w:rPr>
            </w:pPr>
            <w:r>
              <w:rPr>
                <w:noProof/>
              </w:rPr>
              <w:t>13 03 61 – Fonds européen de développement régional (FEDER) – Rég</w:t>
            </w:r>
            <w:r>
              <w:rPr>
                <w:noProof/>
              </w:rPr>
              <w:t xml:space="preserve">ions en transition – Objectif «Investissement pour la croissance et l’emploi» </w:t>
            </w:r>
          </w:p>
          <w:p w:rsidR="00E84155" w:rsidRDefault="00E84155">
            <w:pPr>
              <w:spacing w:after="60"/>
              <w:rPr>
                <w:noProof/>
              </w:rPr>
            </w:pPr>
          </w:p>
          <w:p w:rsidR="00E84155" w:rsidRDefault="00A01F78">
            <w:pPr>
              <w:spacing w:after="60"/>
              <w:rPr>
                <w:noProof/>
              </w:rPr>
            </w:pPr>
            <w:r>
              <w:rPr>
                <w:noProof/>
              </w:rPr>
              <w:t xml:space="preserve">13 03 62 – Fonds européen de développement régional (FEDER) – Régions plus développées – Objectif «Investissement pour la croissance et l’emploi» </w:t>
            </w:r>
          </w:p>
          <w:p w:rsidR="00E84155" w:rsidRDefault="00E84155">
            <w:pPr>
              <w:spacing w:after="60"/>
              <w:rPr>
                <w:noProof/>
              </w:rPr>
            </w:pPr>
          </w:p>
          <w:p w:rsidR="00E84155" w:rsidRDefault="00A01F78">
            <w:pPr>
              <w:spacing w:after="60"/>
              <w:rPr>
                <w:bCs/>
                <w:iCs/>
                <w:noProof/>
              </w:rPr>
            </w:pPr>
            <w:r>
              <w:rPr>
                <w:noProof/>
              </w:rPr>
              <w:t>13 03 63 – Fonds européen de</w:t>
            </w:r>
            <w:r>
              <w:rPr>
                <w:noProof/>
              </w:rPr>
              <w:t xml:space="preserve"> développement régional (FEDER) — Dotation supplémentaire pour les régions ultrapériphériques et à faible densité de population — Objectif «Investissement pour la croissance et l’emploi»</w:t>
            </w:r>
          </w:p>
          <w:p w:rsidR="00E84155" w:rsidRDefault="00E84155">
            <w:pPr>
              <w:spacing w:after="60"/>
              <w:rPr>
                <w:bCs/>
                <w:iCs/>
                <w:noProof/>
              </w:rPr>
            </w:pPr>
          </w:p>
          <w:p w:rsidR="00E84155" w:rsidRDefault="00A01F78">
            <w:pPr>
              <w:spacing w:after="60"/>
              <w:rPr>
                <w:bCs/>
                <w:iCs/>
                <w:noProof/>
              </w:rPr>
            </w:pPr>
            <w:r>
              <w:rPr>
                <w:noProof/>
              </w:rPr>
              <w:t>13 03 64 01 – Fonds européen de développement régional (FEDER) — Coo</w:t>
            </w:r>
            <w:r>
              <w:rPr>
                <w:noProof/>
              </w:rPr>
              <w:t>pération territoriale européenne</w:t>
            </w:r>
          </w:p>
          <w:p w:rsidR="00E84155" w:rsidRDefault="00E84155">
            <w:pPr>
              <w:spacing w:after="60"/>
              <w:rPr>
                <w:bCs/>
                <w:iCs/>
                <w:noProof/>
              </w:rPr>
            </w:pPr>
          </w:p>
          <w:p w:rsidR="00E84155" w:rsidRDefault="00A01F78">
            <w:pPr>
              <w:spacing w:after="60"/>
              <w:rPr>
                <w:noProof/>
                <w:sz w:val="18"/>
              </w:rPr>
            </w:pPr>
            <w:r>
              <w:rPr>
                <w:noProof/>
              </w:rPr>
              <w:t>13 04 60 – Fonds de cohésion — Objectif «Investissement pour la croissance et l’emploi»</w:t>
            </w:r>
          </w:p>
        </w:tc>
        <w:tc>
          <w:tcPr>
            <w:tcW w:w="425" w:type="dxa"/>
            <w:gridSpan w:val="2"/>
            <w:vAlign w:val="center"/>
          </w:tcPr>
          <w:p w:rsidR="00E84155" w:rsidRDefault="00A01F78">
            <w:pPr>
              <w:spacing w:before="20" w:after="20"/>
              <w:jc w:val="center"/>
              <w:rPr>
                <w:noProof/>
                <w:sz w:val="14"/>
              </w:rPr>
            </w:pPr>
            <w:r>
              <w:rPr>
                <w:noProof/>
                <w:sz w:val="14"/>
              </w:rPr>
              <w:t>(2)</w:t>
            </w:r>
          </w:p>
        </w:tc>
        <w:tc>
          <w:tcPr>
            <w:tcW w:w="709" w:type="dxa"/>
            <w:vAlign w:val="center"/>
          </w:tcPr>
          <w:p w:rsidR="00E84155" w:rsidRDefault="00E84155">
            <w:pPr>
              <w:spacing w:before="20" w:after="20"/>
              <w:rPr>
                <w:noProof/>
                <w:sz w:val="20"/>
              </w:rPr>
            </w:pPr>
          </w:p>
        </w:tc>
        <w:tc>
          <w:tcPr>
            <w:tcW w:w="708" w:type="dxa"/>
            <w:vAlign w:val="center"/>
          </w:tcPr>
          <w:p w:rsidR="00E84155" w:rsidRDefault="00E84155">
            <w:pPr>
              <w:spacing w:before="20" w:after="20"/>
              <w:rPr>
                <w:noProof/>
                <w:sz w:val="20"/>
              </w:rPr>
            </w:pPr>
          </w:p>
        </w:tc>
        <w:tc>
          <w:tcPr>
            <w:tcW w:w="709" w:type="dxa"/>
            <w:vAlign w:val="center"/>
          </w:tcPr>
          <w:p w:rsidR="00E84155" w:rsidRDefault="00E84155">
            <w:pPr>
              <w:spacing w:before="20" w:after="20"/>
              <w:rPr>
                <w:noProof/>
                <w:sz w:val="20"/>
              </w:rPr>
            </w:pPr>
          </w:p>
        </w:tc>
        <w:tc>
          <w:tcPr>
            <w:tcW w:w="1276" w:type="dxa"/>
            <w:vAlign w:val="center"/>
          </w:tcPr>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85 000 000</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tc>
        <w:tc>
          <w:tcPr>
            <w:tcW w:w="1276" w:type="dxa"/>
            <w:vAlign w:val="center"/>
          </w:tcPr>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25 285 013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26 792 094</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9 304 437</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220 000 000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25 285 013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26 792 094</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9 304 437</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- 2 777 728</w:t>
            </w:r>
          </w:p>
          <w:p w:rsidR="00E84155" w:rsidRDefault="00E84155">
            <w:pPr>
              <w:spacing w:before="20" w:after="20"/>
              <w:rPr>
                <w:noProof/>
                <w:sz w:val="20"/>
              </w:rPr>
            </w:pPr>
          </w:p>
          <w:p w:rsidR="00E84155" w:rsidRDefault="00E84155">
            <w:pPr>
              <w:spacing w:before="20" w:after="20"/>
              <w:rPr>
                <w:noProof/>
                <w:sz w:val="20"/>
              </w:rPr>
            </w:pPr>
          </w:p>
        </w:tc>
        <w:tc>
          <w:tcPr>
            <w:tcW w:w="1275" w:type="dxa"/>
            <w:vAlign w:val="center"/>
          </w:tcPr>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50 887 923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53 921 033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18 725 854</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231 000 000</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50 887 923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53 921 033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18 725 854</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- 5 590 378</w:t>
            </w:r>
          </w:p>
        </w:tc>
        <w:tc>
          <w:tcPr>
            <w:tcW w:w="1276" w:type="dxa"/>
            <w:vAlign w:val="center"/>
          </w:tcPr>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rPr>
                <w:noProof/>
                <w:sz w:val="20"/>
              </w:rPr>
            </w:pPr>
            <w:r>
              <w:rPr>
                <w:noProof/>
                <w:sz w:val="20"/>
              </w:rPr>
              <w:t>108 495 693</w:t>
            </w: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E84155">
            <w:pPr>
              <w:spacing w:before="20" w:after="20"/>
              <w:jc w:val="right"/>
              <w:rPr>
                <w:noProof/>
                <w:sz w:val="20"/>
              </w:rPr>
            </w:pPr>
          </w:p>
          <w:p w:rsidR="00E84155" w:rsidRDefault="00A01F78">
            <w:pPr>
              <w:spacing w:before="20" w:after="20"/>
              <w:jc w:val="right"/>
              <w:rPr>
                <w:noProof/>
                <w:sz w:val="20"/>
              </w:rPr>
            </w:pPr>
            <w:r>
              <w:rPr>
                <w:noProof/>
                <w:sz w:val="20"/>
              </w:rPr>
              <w:t>114 962 440</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jc w:val="right"/>
              <w:rPr>
                <w:noProof/>
                <w:sz w:val="20"/>
              </w:rPr>
            </w:pPr>
            <w:r>
              <w:rPr>
                <w:noProof/>
                <w:sz w:val="20"/>
              </w:rPr>
              <w:t>39 924 494</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rPr>
                <w:noProof/>
                <w:sz w:val="20"/>
              </w:rPr>
            </w:pPr>
            <w:r>
              <w:rPr>
                <w:noProof/>
                <w:sz w:val="20"/>
              </w:rPr>
              <w:t>349 000 000</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rPr>
                <w:noProof/>
                <w:sz w:val="20"/>
              </w:rPr>
            </w:pPr>
            <w:r>
              <w:rPr>
                <w:noProof/>
                <w:sz w:val="20"/>
              </w:rPr>
              <w:t>108 495 693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114 962 440</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39 924 493</w:t>
            </w: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E84155">
            <w:pPr>
              <w:spacing w:before="20" w:after="20"/>
              <w:rPr>
                <w:noProof/>
                <w:sz w:val="20"/>
              </w:rPr>
            </w:pPr>
          </w:p>
          <w:p w:rsidR="00E84155" w:rsidRDefault="00A01F78">
            <w:pPr>
              <w:spacing w:before="20" w:after="20"/>
              <w:rPr>
                <w:noProof/>
                <w:sz w:val="20"/>
              </w:rPr>
            </w:pPr>
            <w:r>
              <w:rPr>
                <w:noProof/>
                <w:sz w:val="20"/>
              </w:rPr>
              <w:t>- 11 918 977</w:t>
            </w:r>
          </w:p>
        </w:tc>
        <w:tc>
          <w:tcPr>
            <w:tcW w:w="1518" w:type="dxa"/>
            <w:vAlign w:val="center"/>
          </w:tcPr>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rPr>
                <w:b/>
                <w:noProof/>
                <w:sz w:val="20"/>
              </w:rPr>
            </w:pPr>
            <w:r>
              <w:rPr>
                <w:b/>
                <w:noProof/>
                <w:sz w:val="20"/>
              </w:rPr>
              <w:t>184 668 629</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jc w:val="center"/>
              <w:rPr>
                <w:b/>
                <w:noProof/>
                <w:sz w:val="20"/>
              </w:rPr>
            </w:pPr>
            <w:r>
              <w:rPr>
                <w:b/>
                <w:noProof/>
                <w:sz w:val="20"/>
              </w:rPr>
              <w:t>195 675 567</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jc w:val="center"/>
              <w:rPr>
                <w:b/>
                <w:noProof/>
                <w:sz w:val="20"/>
              </w:rPr>
            </w:pPr>
            <w:r>
              <w:rPr>
                <w:b/>
                <w:noProof/>
                <w:sz w:val="20"/>
              </w:rPr>
              <w:t>67 954 785</w:t>
            </w: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E84155">
            <w:pPr>
              <w:spacing w:before="20" w:after="20"/>
              <w:jc w:val="right"/>
              <w:rPr>
                <w:b/>
                <w:noProof/>
                <w:sz w:val="20"/>
              </w:rPr>
            </w:pPr>
          </w:p>
          <w:p w:rsidR="00E84155" w:rsidRDefault="00A01F78">
            <w:pPr>
              <w:spacing w:before="20" w:after="20"/>
              <w:rPr>
                <w:b/>
                <w:noProof/>
                <w:sz w:val="20"/>
              </w:rPr>
            </w:pPr>
            <w:r>
              <w:rPr>
                <w:b/>
                <w:noProof/>
                <w:sz w:val="20"/>
              </w:rPr>
              <w:t>885 000 000</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184 668 629</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195 675 567</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67 954 785</w:t>
            </w: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E84155">
            <w:pPr>
              <w:spacing w:before="20" w:after="20"/>
              <w:rPr>
                <w:b/>
                <w:noProof/>
                <w:sz w:val="20"/>
              </w:rPr>
            </w:pPr>
          </w:p>
          <w:p w:rsidR="00E84155" w:rsidRDefault="00A01F78">
            <w:pPr>
              <w:spacing w:before="20" w:after="20"/>
              <w:rPr>
                <w:b/>
                <w:noProof/>
                <w:sz w:val="20"/>
              </w:rPr>
            </w:pPr>
            <w:r>
              <w:rPr>
                <w:b/>
                <w:noProof/>
                <w:sz w:val="20"/>
              </w:rPr>
              <w:t>- 20 287 083</w:t>
            </w:r>
          </w:p>
        </w:tc>
      </w:tr>
      <w:tr w:rsidR="00E84155">
        <w:trPr>
          <w:trHeight w:val="231"/>
        </w:trPr>
        <w:tc>
          <w:tcPr>
            <w:tcW w:w="5747" w:type="dxa"/>
            <w:gridSpan w:val="4"/>
            <w:vAlign w:val="center"/>
          </w:tcPr>
          <w:p w:rsidR="00E84155" w:rsidRDefault="00A01F78">
            <w:pPr>
              <w:spacing w:before="20" w:after="20"/>
              <w:rPr>
                <w:noProof/>
              </w:rPr>
            </w:pPr>
            <w:r>
              <w:rPr>
                <w:noProof/>
                <w:sz w:val="21"/>
              </w:rPr>
              <w:t>Crédits de nature administrative financés par l'enveloppe de certains programmes spécifiques</w:t>
            </w:r>
            <w:r>
              <w:rPr>
                <w:rStyle w:val="FootnoteReference"/>
                <w:noProof/>
                <w:sz w:val="21"/>
              </w:rPr>
              <w:footnoteReference w:id="21"/>
            </w:r>
            <w:r>
              <w:rPr>
                <w:noProof/>
                <w:sz w:val="21"/>
              </w:rPr>
              <w:t xml:space="preserve"> </w:t>
            </w:r>
          </w:p>
          <w:p w:rsidR="00E84155" w:rsidRDefault="00E84155">
            <w:pPr>
              <w:spacing w:before="0" w:after="0"/>
              <w:rPr>
                <w:noProof/>
              </w:rPr>
            </w:pPr>
          </w:p>
        </w:tc>
        <w:tc>
          <w:tcPr>
            <w:tcW w:w="709" w:type="dxa"/>
            <w:vAlign w:val="center"/>
          </w:tcPr>
          <w:p w:rsidR="00E84155" w:rsidRDefault="00E84155">
            <w:pPr>
              <w:rPr>
                <w:b/>
                <w:noProof/>
                <w:sz w:val="20"/>
              </w:rPr>
            </w:pPr>
          </w:p>
        </w:tc>
        <w:tc>
          <w:tcPr>
            <w:tcW w:w="708" w:type="dxa"/>
            <w:vAlign w:val="center"/>
          </w:tcPr>
          <w:p w:rsidR="00E84155" w:rsidRDefault="00E84155">
            <w:pPr>
              <w:rPr>
                <w:b/>
                <w:noProof/>
                <w:sz w:val="20"/>
              </w:rPr>
            </w:pPr>
          </w:p>
        </w:tc>
        <w:tc>
          <w:tcPr>
            <w:tcW w:w="709" w:type="dxa"/>
            <w:vAlign w:val="center"/>
          </w:tcPr>
          <w:p w:rsidR="00E84155" w:rsidRDefault="00E84155">
            <w:pPr>
              <w:rPr>
                <w:b/>
                <w:noProof/>
                <w:sz w:val="20"/>
              </w:rPr>
            </w:pPr>
          </w:p>
        </w:tc>
        <w:tc>
          <w:tcPr>
            <w:tcW w:w="1276" w:type="dxa"/>
            <w:vAlign w:val="center"/>
          </w:tcPr>
          <w:p w:rsidR="00E84155" w:rsidRDefault="00E84155">
            <w:pPr>
              <w:rPr>
                <w:b/>
                <w:noProof/>
                <w:sz w:val="20"/>
              </w:rPr>
            </w:pPr>
          </w:p>
        </w:tc>
        <w:tc>
          <w:tcPr>
            <w:tcW w:w="1276" w:type="dxa"/>
            <w:vAlign w:val="center"/>
          </w:tcPr>
          <w:p w:rsidR="00E84155" w:rsidRDefault="00E84155">
            <w:pPr>
              <w:rPr>
                <w:b/>
                <w:noProof/>
                <w:sz w:val="20"/>
              </w:rPr>
            </w:pPr>
          </w:p>
        </w:tc>
        <w:tc>
          <w:tcPr>
            <w:tcW w:w="1275" w:type="dxa"/>
            <w:vAlign w:val="center"/>
          </w:tcPr>
          <w:p w:rsidR="00E84155" w:rsidRDefault="00E84155">
            <w:pPr>
              <w:rPr>
                <w:b/>
                <w:noProof/>
                <w:sz w:val="20"/>
              </w:rPr>
            </w:pPr>
          </w:p>
        </w:tc>
        <w:tc>
          <w:tcPr>
            <w:tcW w:w="1276" w:type="dxa"/>
            <w:vAlign w:val="center"/>
          </w:tcPr>
          <w:p w:rsidR="00E84155" w:rsidRDefault="00E84155">
            <w:pPr>
              <w:rPr>
                <w:b/>
                <w:noProof/>
                <w:sz w:val="20"/>
              </w:rPr>
            </w:pPr>
          </w:p>
        </w:tc>
        <w:tc>
          <w:tcPr>
            <w:tcW w:w="1518" w:type="dxa"/>
            <w:vAlign w:val="center"/>
          </w:tcPr>
          <w:p w:rsidR="00E84155" w:rsidRDefault="00E84155">
            <w:pPr>
              <w:rPr>
                <w:b/>
                <w:noProof/>
                <w:sz w:val="20"/>
              </w:rPr>
            </w:pPr>
          </w:p>
        </w:tc>
      </w:tr>
      <w:tr w:rsidR="00E84155">
        <w:trPr>
          <w:trHeight w:val="319"/>
        </w:trPr>
        <w:tc>
          <w:tcPr>
            <w:tcW w:w="2203" w:type="dxa"/>
            <w:vAlign w:val="center"/>
          </w:tcPr>
          <w:p w:rsidR="00E84155" w:rsidRDefault="00A01F78">
            <w:pPr>
              <w:spacing w:before="60" w:after="60"/>
              <w:rPr>
                <w:noProof/>
              </w:rPr>
            </w:pPr>
            <w:r>
              <w:rPr>
                <w:noProof/>
                <w:sz w:val="20"/>
              </w:rPr>
              <w:t>Sans objet.</w:t>
            </w:r>
          </w:p>
        </w:tc>
        <w:tc>
          <w:tcPr>
            <w:tcW w:w="3197" w:type="dxa"/>
            <w:gridSpan w:val="2"/>
            <w:vAlign w:val="center"/>
          </w:tcPr>
          <w:p w:rsidR="00E84155" w:rsidRDefault="00E84155">
            <w:pPr>
              <w:spacing w:before="40" w:after="40"/>
              <w:jc w:val="right"/>
              <w:rPr>
                <w:noProof/>
                <w:sz w:val="18"/>
              </w:rPr>
            </w:pPr>
          </w:p>
        </w:tc>
        <w:tc>
          <w:tcPr>
            <w:tcW w:w="347" w:type="dxa"/>
            <w:vAlign w:val="center"/>
          </w:tcPr>
          <w:p w:rsidR="00E84155" w:rsidRDefault="00A01F78">
            <w:pPr>
              <w:spacing w:before="40" w:after="40"/>
              <w:jc w:val="center"/>
              <w:rPr>
                <w:noProof/>
                <w:sz w:val="14"/>
              </w:rPr>
            </w:pPr>
            <w:r>
              <w:rPr>
                <w:noProof/>
                <w:sz w:val="14"/>
              </w:rPr>
              <w:t>(3)</w:t>
            </w:r>
          </w:p>
        </w:tc>
        <w:tc>
          <w:tcPr>
            <w:tcW w:w="709" w:type="dxa"/>
            <w:vAlign w:val="center"/>
          </w:tcPr>
          <w:p w:rsidR="00E84155" w:rsidRDefault="00E84155">
            <w:pPr>
              <w:spacing w:before="40" w:after="40"/>
              <w:jc w:val="right"/>
              <w:rPr>
                <w:b/>
                <w:noProof/>
                <w:sz w:val="20"/>
              </w:rPr>
            </w:pPr>
          </w:p>
        </w:tc>
        <w:tc>
          <w:tcPr>
            <w:tcW w:w="708" w:type="dxa"/>
            <w:vAlign w:val="center"/>
          </w:tcPr>
          <w:p w:rsidR="00E84155" w:rsidRDefault="00E84155">
            <w:pPr>
              <w:spacing w:before="40" w:after="40"/>
              <w:jc w:val="right"/>
              <w:rPr>
                <w:b/>
                <w:noProof/>
                <w:sz w:val="20"/>
              </w:rPr>
            </w:pPr>
          </w:p>
        </w:tc>
        <w:tc>
          <w:tcPr>
            <w:tcW w:w="709" w:type="dxa"/>
            <w:vAlign w:val="center"/>
          </w:tcPr>
          <w:p w:rsidR="00E84155" w:rsidRDefault="00E84155">
            <w:pPr>
              <w:spacing w:before="40" w:after="40"/>
              <w:jc w:val="right"/>
              <w:rPr>
                <w:b/>
                <w:noProof/>
                <w:sz w:val="20"/>
              </w:rPr>
            </w:pPr>
          </w:p>
        </w:tc>
        <w:tc>
          <w:tcPr>
            <w:tcW w:w="1276" w:type="dxa"/>
            <w:vAlign w:val="center"/>
          </w:tcPr>
          <w:p w:rsidR="00E84155" w:rsidRDefault="00E84155">
            <w:pPr>
              <w:spacing w:before="40" w:after="40"/>
              <w:jc w:val="right"/>
              <w:rPr>
                <w:b/>
                <w:noProof/>
                <w:sz w:val="20"/>
              </w:rPr>
            </w:pPr>
          </w:p>
        </w:tc>
        <w:tc>
          <w:tcPr>
            <w:tcW w:w="1276" w:type="dxa"/>
            <w:vAlign w:val="center"/>
          </w:tcPr>
          <w:p w:rsidR="00E84155" w:rsidRDefault="00E84155">
            <w:pPr>
              <w:spacing w:before="40" w:after="40"/>
              <w:jc w:val="right"/>
              <w:rPr>
                <w:b/>
                <w:noProof/>
                <w:sz w:val="20"/>
              </w:rPr>
            </w:pPr>
          </w:p>
        </w:tc>
        <w:tc>
          <w:tcPr>
            <w:tcW w:w="1275" w:type="dxa"/>
            <w:vAlign w:val="center"/>
          </w:tcPr>
          <w:p w:rsidR="00E84155" w:rsidRDefault="00E84155">
            <w:pPr>
              <w:spacing w:before="40" w:after="40"/>
              <w:jc w:val="right"/>
              <w:rPr>
                <w:b/>
                <w:noProof/>
                <w:sz w:val="20"/>
              </w:rPr>
            </w:pPr>
          </w:p>
        </w:tc>
        <w:tc>
          <w:tcPr>
            <w:tcW w:w="1276" w:type="dxa"/>
            <w:vAlign w:val="center"/>
          </w:tcPr>
          <w:p w:rsidR="00E84155" w:rsidRDefault="00E84155">
            <w:pPr>
              <w:spacing w:before="40" w:after="40"/>
              <w:jc w:val="right"/>
              <w:rPr>
                <w:b/>
                <w:noProof/>
                <w:sz w:val="20"/>
              </w:rPr>
            </w:pPr>
          </w:p>
        </w:tc>
        <w:tc>
          <w:tcPr>
            <w:tcW w:w="1518" w:type="dxa"/>
            <w:vAlign w:val="center"/>
          </w:tcPr>
          <w:p w:rsidR="00E84155" w:rsidRDefault="00E84155">
            <w:pPr>
              <w:spacing w:before="40" w:after="40"/>
              <w:jc w:val="right"/>
              <w:rPr>
                <w:b/>
                <w:noProof/>
                <w:sz w:val="20"/>
              </w:rPr>
            </w:pPr>
          </w:p>
        </w:tc>
      </w:tr>
      <w:tr w:rsidR="00E84155">
        <w:tc>
          <w:tcPr>
            <w:tcW w:w="2203" w:type="dxa"/>
            <w:vMerge w:val="restart"/>
            <w:vAlign w:val="center"/>
          </w:tcPr>
          <w:p w:rsidR="00E84155" w:rsidRDefault="00A01F78">
            <w:pPr>
              <w:jc w:val="center"/>
              <w:rPr>
                <w:b/>
                <w:noProof/>
              </w:rPr>
            </w:pPr>
            <w:r>
              <w:rPr>
                <w:b/>
                <w:noProof/>
                <w:sz w:val="22"/>
              </w:rPr>
              <w:t>TOTAL des crédits</w:t>
            </w:r>
            <w:r>
              <w:rPr>
                <w:noProof/>
              </w:rPr>
              <w:br/>
            </w:r>
            <w:r>
              <w:rPr>
                <w:b/>
                <w:noProof/>
                <w:sz w:val="22"/>
              </w:rPr>
              <w:t>pour les DG</w:t>
            </w:r>
            <w:r>
              <w:rPr>
                <w:noProof/>
              </w:rPr>
              <w:t xml:space="preserve"> EMPL et REGIO </w:t>
            </w:r>
          </w:p>
        </w:tc>
        <w:tc>
          <w:tcPr>
            <w:tcW w:w="3197" w:type="dxa"/>
            <w:gridSpan w:val="2"/>
            <w:vAlign w:val="center"/>
          </w:tcPr>
          <w:p w:rsidR="00E84155" w:rsidRDefault="00A01F78">
            <w:pPr>
              <w:rPr>
                <w:noProof/>
                <w:sz w:val="18"/>
              </w:rPr>
            </w:pPr>
            <w:r>
              <w:rPr>
                <w:noProof/>
                <w:sz w:val="18"/>
              </w:rPr>
              <w:t>Engagements</w:t>
            </w:r>
          </w:p>
        </w:tc>
        <w:tc>
          <w:tcPr>
            <w:tcW w:w="347" w:type="dxa"/>
            <w:vAlign w:val="center"/>
          </w:tcPr>
          <w:p w:rsidR="00E84155" w:rsidRDefault="00A01F78">
            <w:pPr>
              <w:jc w:val="center"/>
              <w:rPr>
                <w:noProof/>
                <w:sz w:val="14"/>
              </w:rPr>
            </w:pPr>
            <w:r>
              <w:rPr>
                <w:noProof/>
                <w:sz w:val="14"/>
              </w:rPr>
              <w:t>= 1 + 1a + 3</w:t>
            </w:r>
          </w:p>
        </w:tc>
        <w:tc>
          <w:tcPr>
            <w:tcW w:w="709" w:type="dxa"/>
            <w:vAlign w:val="center"/>
          </w:tcPr>
          <w:p w:rsidR="00E84155" w:rsidRDefault="00E84155">
            <w:pPr>
              <w:spacing w:before="20" w:after="20"/>
              <w:jc w:val="right"/>
              <w:rPr>
                <w:noProof/>
                <w:sz w:val="20"/>
              </w:rPr>
            </w:pPr>
          </w:p>
        </w:tc>
        <w:tc>
          <w:tcPr>
            <w:tcW w:w="708" w:type="dxa"/>
            <w:vAlign w:val="center"/>
          </w:tcPr>
          <w:p w:rsidR="00E84155" w:rsidRDefault="00E84155">
            <w:pPr>
              <w:spacing w:before="20" w:after="20"/>
              <w:jc w:val="right"/>
              <w:rPr>
                <w:noProof/>
                <w:sz w:val="20"/>
              </w:rPr>
            </w:pPr>
          </w:p>
        </w:tc>
        <w:tc>
          <w:tcPr>
            <w:tcW w:w="709" w:type="dxa"/>
            <w:vAlign w:val="center"/>
          </w:tcPr>
          <w:p w:rsidR="00E84155" w:rsidRDefault="00E84155">
            <w:pPr>
              <w:spacing w:before="20" w:after="20"/>
              <w:jc w:val="right"/>
              <w:rPr>
                <w:noProof/>
                <w:sz w:val="20"/>
              </w:rPr>
            </w:pPr>
          </w:p>
        </w:tc>
        <w:tc>
          <w:tcPr>
            <w:tcW w:w="1276" w:type="dxa"/>
            <w:vAlign w:val="center"/>
          </w:tcPr>
          <w:p w:rsidR="00E84155" w:rsidRDefault="00A01F78">
            <w:pPr>
              <w:spacing w:before="20" w:after="20"/>
              <w:jc w:val="right"/>
              <w:rPr>
                <w:noProof/>
                <w:sz w:val="20"/>
              </w:rPr>
            </w:pPr>
            <w:r>
              <w:rPr>
                <w:noProof/>
                <w:sz w:val="20"/>
              </w:rPr>
              <w:t>1 626 162 416</w:t>
            </w:r>
          </w:p>
        </w:tc>
        <w:tc>
          <w:tcPr>
            <w:tcW w:w="1276" w:type="dxa"/>
            <w:vAlign w:val="center"/>
          </w:tcPr>
          <w:p w:rsidR="00E84155" w:rsidRDefault="00A01F78">
            <w:pPr>
              <w:spacing w:before="20" w:after="20"/>
              <w:jc w:val="right"/>
              <w:rPr>
                <w:noProof/>
                <w:sz w:val="20"/>
              </w:rPr>
            </w:pPr>
            <w:r>
              <w:rPr>
                <w:noProof/>
                <w:sz w:val="20"/>
              </w:rPr>
              <w:t>1 382 019 001</w:t>
            </w:r>
          </w:p>
        </w:tc>
        <w:tc>
          <w:tcPr>
            <w:tcW w:w="1275" w:type="dxa"/>
            <w:vAlign w:val="center"/>
          </w:tcPr>
          <w:p w:rsidR="00E84155" w:rsidRDefault="00A01F78">
            <w:pPr>
              <w:spacing w:before="20" w:after="20"/>
              <w:jc w:val="right"/>
              <w:rPr>
                <w:noProof/>
                <w:sz w:val="20"/>
              </w:rPr>
            </w:pPr>
            <w:r>
              <w:rPr>
                <w:noProof/>
                <w:sz w:val="20"/>
              </w:rPr>
              <w:t>1 404 992 715</w:t>
            </w:r>
          </w:p>
        </w:tc>
        <w:tc>
          <w:tcPr>
            <w:tcW w:w="1276" w:type="dxa"/>
            <w:vAlign w:val="center"/>
          </w:tcPr>
          <w:p w:rsidR="00E84155" w:rsidRDefault="00A01F78">
            <w:pPr>
              <w:spacing w:before="20" w:after="20"/>
              <w:jc w:val="right"/>
              <w:rPr>
                <w:b/>
                <w:noProof/>
                <w:sz w:val="20"/>
              </w:rPr>
            </w:pPr>
            <w:r>
              <w:rPr>
                <w:noProof/>
                <w:sz w:val="20"/>
              </w:rPr>
              <w:t>1 428 425 901</w:t>
            </w:r>
          </w:p>
        </w:tc>
        <w:tc>
          <w:tcPr>
            <w:tcW w:w="1518" w:type="dxa"/>
            <w:vAlign w:val="center"/>
          </w:tcPr>
          <w:p w:rsidR="00E84155" w:rsidRDefault="00A01F78">
            <w:pPr>
              <w:spacing w:before="20" w:after="20"/>
              <w:jc w:val="right"/>
              <w:rPr>
                <w:b/>
                <w:noProof/>
                <w:sz w:val="20"/>
              </w:rPr>
            </w:pPr>
            <w:r>
              <w:rPr>
                <w:b/>
                <w:noProof/>
                <w:sz w:val="20"/>
              </w:rPr>
              <w:t>5 841 600 033</w:t>
            </w:r>
          </w:p>
        </w:tc>
      </w:tr>
      <w:tr w:rsidR="00E84155">
        <w:tc>
          <w:tcPr>
            <w:tcW w:w="2203" w:type="dxa"/>
            <w:vMerge/>
          </w:tcPr>
          <w:p w:rsidR="00E84155" w:rsidRDefault="00E84155">
            <w:pPr>
              <w:rPr>
                <w:noProof/>
                <w:sz w:val="20"/>
              </w:rPr>
            </w:pPr>
          </w:p>
        </w:tc>
        <w:tc>
          <w:tcPr>
            <w:tcW w:w="3197" w:type="dxa"/>
            <w:gridSpan w:val="2"/>
            <w:vAlign w:val="center"/>
          </w:tcPr>
          <w:p w:rsidR="00E84155" w:rsidRDefault="00A01F78">
            <w:pPr>
              <w:rPr>
                <w:noProof/>
                <w:sz w:val="18"/>
              </w:rPr>
            </w:pPr>
            <w:r>
              <w:rPr>
                <w:noProof/>
                <w:sz w:val="18"/>
              </w:rPr>
              <w:t>Paiements</w:t>
            </w:r>
          </w:p>
        </w:tc>
        <w:tc>
          <w:tcPr>
            <w:tcW w:w="347" w:type="dxa"/>
            <w:vAlign w:val="center"/>
          </w:tcPr>
          <w:p w:rsidR="00E84155" w:rsidRDefault="00A01F78">
            <w:pPr>
              <w:jc w:val="center"/>
              <w:rPr>
                <w:noProof/>
                <w:sz w:val="14"/>
              </w:rPr>
            </w:pPr>
            <w:r>
              <w:rPr>
                <w:noProof/>
                <w:sz w:val="14"/>
              </w:rPr>
              <w:t>= 2 + 2a</w:t>
            </w:r>
          </w:p>
          <w:p w:rsidR="00E84155" w:rsidRDefault="00A01F78">
            <w:pPr>
              <w:jc w:val="center"/>
              <w:rPr>
                <w:noProof/>
                <w:sz w:val="14"/>
              </w:rPr>
            </w:pPr>
            <w:r>
              <w:rPr>
                <w:noProof/>
                <w:sz w:val="14"/>
              </w:rPr>
              <w:t>+ 3</w:t>
            </w:r>
          </w:p>
        </w:tc>
        <w:tc>
          <w:tcPr>
            <w:tcW w:w="709" w:type="dxa"/>
            <w:vAlign w:val="center"/>
          </w:tcPr>
          <w:p w:rsidR="00E84155" w:rsidRDefault="00E84155">
            <w:pPr>
              <w:spacing w:before="20" w:after="20"/>
              <w:jc w:val="right"/>
              <w:rPr>
                <w:noProof/>
                <w:sz w:val="20"/>
              </w:rPr>
            </w:pPr>
          </w:p>
        </w:tc>
        <w:tc>
          <w:tcPr>
            <w:tcW w:w="708" w:type="dxa"/>
            <w:vAlign w:val="center"/>
          </w:tcPr>
          <w:p w:rsidR="00E84155" w:rsidRDefault="00E84155">
            <w:pPr>
              <w:spacing w:before="20" w:after="20"/>
              <w:jc w:val="right"/>
              <w:rPr>
                <w:noProof/>
                <w:sz w:val="20"/>
              </w:rPr>
            </w:pPr>
          </w:p>
        </w:tc>
        <w:tc>
          <w:tcPr>
            <w:tcW w:w="709" w:type="dxa"/>
            <w:vAlign w:val="center"/>
          </w:tcPr>
          <w:p w:rsidR="00E84155" w:rsidRDefault="00E84155">
            <w:pPr>
              <w:spacing w:before="20" w:after="20"/>
              <w:jc w:val="right"/>
              <w:rPr>
                <w:noProof/>
                <w:sz w:val="20"/>
              </w:rPr>
            </w:pPr>
          </w:p>
        </w:tc>
        <w:tc>
          <w:tcPr>
            <w:tcW w:w="1276" w:type="dxa"/>
            <w:vAlign w:val="center"/>
          </w:tcPr>
          <w:p w:rsidR="00E84155" w:rsidRDefault="00A01F78">
            <w:pPr>
              <w:spacing w:before="20" w:after="20"/>
              <w:jc w:val="right"/>
              <w:rPr>
                <w:noProof/>
                <w:sz w:val="20"/>
              </w:rPr>
            </w:pPr>
            <w:r>
              <w:rPr>
                <w:noProof/>
                <w:sz w:val="20"/>
              </w:rPr>
              <w:t>85 000 000</w:t>
            </w:r>
          </w:p>
        </w:tc>
        <w:tc>
          <w:tcPr>
            <w:tcW w:w="1276" w:type="dxa"/>
            <w:vAlign w:val="center"/>
          </w:tcPr>
          <w:p w:rsidR="00E84155" w:rsidRDefault="00A01F78">
            <w:pPr>
              <w:spacing w:before="20" w:after="20"/>
              <w:jc w:val="right"/>
              <w:rPr>
                <w:noProof/>
                <w:sz w:val="20"/>
              </w:rPr>
            </w:pPr>
            <w:r>
              <w:rPr>
                <w:noProof/>
                <w:sz w:val="20"/>
              </w:rPr>
              <w:t>339 985 361</w:t>
            </w:r>
          </w:p>
        </w:tc>
        <w:tc>
          <w:tcPr>
            <w:tcW w:w="1275" w:type="dxa"/>
            <w:vAlign w:val="center"/>
          </w:tcPr>
          <w:p w:rsidR="00E84155" w:rsidRDefault="00A01F78">
            <w:pPr>
              <w:spacing w:before="20" w:after="20"/>
              <w:jc w:val="right"/>
              <w:rPr>
                <w:noProof/>
                <w:sz w:val="20"/>
              </w:rPr>
            </w:pPr>
            <w:r>
              <w:rPr>
                <w:noProof/>
                <w:sz w:val="20"/>
              </w:rPr>
              <w:t>472 479 242</w:t>
            </w:r>
          </w:p>
        </w:tc>
        <w:tc>
          <w:tcPr>
            <w:tcW w:w="1276" w:type="dxa"/>
            <w:vAlign w:val="center"/>
          </w:tcPr>
          <w:p w:rsidR="00E84155" w:rsidRDefault="00A01F78">
            <w:pPr>
              <w:spacing w:before="20" w:after="20"/>
              <w:jc w:val="right"/>
              <w:rPr>
                <w:noProof/>
                <w:sz w:val="20"/>
              </w:rPr>
            </w:pPr>
            <w:r>
              <w:rPr>
                <w:noProof/>
                <w:sz w:val="20"/>
              </w:rPr>
              <w:t>863 846 276</w:t>
            </w:r>
          </w:p>
        </w:tc>
        <w:tc>
          <w:tcPr>
            <w:tcW w:w="1518" w:type="dxa"/>
            <w:vAlign w:val="center"/>
          </w:tcPr>
          <w:p w:rsidR="00E84155" w:rsidRDefault="00A01F78">
            <w:pPr>
              <w:spacing w:before="20" w:after="20"/>
              <w:jc w:val="center"/>
              <w:rPr>
                <w:b/>
                <w:noProof/>
                <w:sz w:val="20"/>
              </w:rPr>
            </w:pPr>
            <w:r>
              <w:rPr>
                <w:b/>
                <w:noProof/>
                <w:sz w:val="20"/>
              </w:rPr>
              <w:t>1 761 310 878</w:t>
            </w:r>
          </w:p>
        </w:tc>
      </w:tr>
    </w:tbl>
    <w:p w:rsidR="00E84155" w:rsidRDefault="00E84155">
      <w:pPr>
        <w:rPr>
          <w:noProof/>
          <w:sz w:val="16"/>
        </w:rPr>
      </w:pPr>
    </w:p>
    <w:p w:rsidR="00E84155" w:rsidRDefault="00E84155">
      <w:pPr>
        <w:rPr>
          <w:noProof/>
          <w:sz w:val="16"/>
        </w:rPr>
      </w:pPr>
    </w:p>
    <w:p w:rsidR="00E84155" w:rsidRDefault="00E84155">
      <w:pPr>
        <w:rPr>
          <w:noProof/>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rsidR="00E84155">
        <w:trPr>
          <w:trHeight w:val="277"/>
        </w:trPr>
        <w:tc>
          <w:tcPr>
            <w:tcW w:w="3960" w:type="dxa"/>
            <w:vMerge w:val="restart"/>
            <w:vAlign w:val="center"/>
          </w:tcPr>
          <w:p w:rsidR="00E84155" w:rsidRDefault="00A01F78">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rsidR="00E84155" w:rsidRDefault="00A01F78">
            <w:pPr>
              <w:spacing w:beforeLines="20" w:before="48" w:afterLines="20" w:after="48"/>
              <w:rPr>
                <w:noProof/>
                <w:sz w:val="18"/>
              </w:rPr>
            </w:pPr>
            <w:r>
              <w:rPr>
                <w:noProof/>
                <w:sz w:val="18"/>
              </w:rPr>
              <w:t>Engagements</w:t>
            </w:r>
          </w:p>
        </w:tc>
        <w:tc>
          <w:tcPr>
            <w:tcW w:w="654" w:type="dxa"/>
            <w:vAlign w:val="center"/>
          </w:tcPr>
          <w:p w:rsidR="00E84155" w:rsidRDefault="00A01F78">
            <w:pPr>
              <w:spacing w:beforeLines="20" w:before="48" w:afterLines="20" w:after="48"/>
              <w:jc w:val="center"/>
              <w:rPr>
                <w:noProof/>
                <w:sz w:val="14"/>
              </w:rPr>
            </w:pPr>
            <w:r>
              <w:rPr>
                <w:noProof/>
                <w:sz w:val="14"/>
              </w:rPr>
              <w:t>(4)</w:t>
            </w:r>
          </w:p>
        </w:tc>
        <w:tc>
          <w:tcPr>
            <w:tcW w:w="1026" w:type="dxa"/>
            <w:vAlign w:val="center"/>
          </w:tcPr>
          <w:p w:rsidR="00E84155" w:rsidRDefault="00A01F78">
            <w:pPr>
              <w:spacing w:before="20" w:after="20"/>
              <w:jc w:val="right"/>
              <w:rPr>
                <w:noProof/>
                <w:sz w:val="20"/>
              </w:rPr>
            </w:pPr>
            <w:r>
              <w:rPr>
                <w:noProof/>
                <w:sz w:val="20"/>
              </w:rPr>
              <w:t>0</w:t>
            </w:r>
          </w:p>
        </w:tc>
        <w:tc>
          <w:tcPr>
            <w:tcW w:w="1320" w:type="dxa"/>
            <w:vAlign w:val="center"/>
          </w:tcPr>
          <w:p w:rsidR="00E84155" w:rsidRDefault="00A01F78">
            <w:pPr>
              <w:spacing w:before="20" w:after="20"/>
              <w:jc w:val="right"/>
              <w:rPr>
                <w:noProof/>
                <w:sz w:val="20"/>
              </w:rPr>
            </w:pPr>
            <w:r>
              <w:rPr>
                <w:noProof/>
                <w:sz w:val="20"/>
              </w:rPr>
              <w:t>0</w:t>
            </w:r>
          </w:p>
        </w:tc>
        <w:tc>
          <w:tcPr>
            <w:tcW w:w="891" w:type="dxa"/>
            <w:vAlign w:val="center"/>
          </w:tcPr>
          <w:p w:rsidR="00E84155" w:rsidRDefault="00A01F78">
            <w:pPr>
              <w:spacing w:before="20" w:after="20"/>
              <w:jc w:val="right"/>
              <w:rPr>
                <w:noProof/>
                <w:sz w:val="20"/>
              </w:rPr>
            </w:pPr>
            <w:r>
              <w:rPr>
                <w:noProof/>
                <w:sz w:val="20"/>
              </w:rPr>
              <w:t>0</w:t>
            </w:r>
          </w:p>
        </w:tc>
        <w:tc>
          <w:tcPr>
            <w:tcW w:w="1066" w:type="dxa"/>
            <w:vAlign w:val="center"/>
          </w:tcPr>
          <w:p w:rsidR="00E84155" w:rsidRDefault="00A01F78">
            <w:pPr>
              <w:spacing w:before="20" w:after="20"/>
              <w:jc w:val="right"/>
              <w:rPr>
                <w:noProof/>
                <w:sz w:val="20"/>
              </w:rPr>
            </w:pPr>
            <w:r>
              <w:rPr>
                <w:noProof/>
                <w:sz w:val="20"/>
              </w:rPr>
              <w:t>0</w:t>
            </w:r>
          </w:p>
        </w:tc>
        <w:tc>
          <w:tcPr>
            <w:tcW w:w="1200" w:type="dxa"/>
            <w:vAlign w:val="center"/>
          </w:tcPr>
          <w:p w:rsidR="00E84155" w:rsidRDefault="00A01F78">
            <w:pPr>
              <w:spacing w:before="20" w:after="20"/>
              <w:jc w:val="right"/>
              <w:rPr>
                <w:noProof/>
                <w:sz w:val="20"/>
              </w:rPr>
            </w:pPr>
            <w:r>
              <w:rPr>
                <w:noProof/>
                <w:sz w:val="20"/>
              </w:rPr>
              <w:t>0</w:t>
            </w:r>
          </w:p>
        </w:tc>
        <w:tc>
          <w:tcPr>
            <w:tcW w:w="480" w:type="dxa"/>
            <w:vAlign w:val="center"/>
          </w:tcPr>
          <w:p w:rsidR="00E84155" w:rsidRDefault="00A01F78">
            <w:pPr>
              <w:spacing w:before="20" w:after="20"/>
              <w:jc w:val="right"/>
              <w:rPr>
                <w:noProof/>
                <w:sz w:val="20"/>
              </w:rPr>
            </w:pPr>
            <w:r>
              <w:rPr>
                <w:noProof/>
                <w:sz w:val="20"/>
              </w:rPr>
              <w:t>0</w:t>
            </w:r>
          </w:p>
        </w:tc>
        <w:tc>
          <w:tcPr>
            <w:tcW w:w="1173" w:type="dxa"/>
            <w:vAlign w:val="center"/>
          </w:tcPr>
          <w:p w:rsidR="00E84155" w:rsidRDefault="00A01F78">
            <w:pPr>
              <w:spacing w:before="20" w:after="20"/>
              <w:jc w:val="right"/>
              <w:rPr>
                <w:noProof/>
                <w:sz w:val="20"/>
              </w:rPr>
            </w:pPr>
            <w:r>
              <w:rPr>
                <w:noProof/>
                <w:sz w:val="20"/>
              </w:rPr>
              <w:t>0</w:t>
            </w:r>
          </w:p>
        </w:tc>
        <w:tc>
          <w:tcPr>
            <w:tcW w:w="1214" w:type="dxa"/>
            <w:vAlign w:val="center"/>
          </w:tcPr>
          <w:p w:rsidR="00E84155" w:rsidRDefault="00A01F78">
            <w:pPr>
              <w:spacing w:before="20" w:after="20"/>
              <w:jc w:val="right"/>
              <w:rPr>
                <w:b/>
                <w:noProof/>
                <w:sz w:val="20"/>
              </w:rPr>
            </w:pPr>
            <w:r>
              <w:rPr>
                <w:b/>
                <w:noProof/>
                <w:sz w:val="20"/>
              </w:rPr>
              <w:t>0</w:t>
            </w:r>
          </w:p>
        </w:tc>
      </w:tr>
      <w:tr w:rsidR="00E84155">
        <w:tc>
          <w:tcPr>
            <w:tcW w:w="3960" w:type="dxa"/>
            <w:vMerge/>
          </w:tcPr>
          <w:p w:rsidR="00E84155" w:rsidRDefault="00E84155">
            <w:pPr>
              <w:jc w:val="center"/>
              <w:rPr>
                <w:noProof/>
                <w:sz w:val="20"/>
              </w:rPr>
            </w:pPr>
          </w:p>
        </w:tc>
        <w:tc>
          <w:tcPr>
            <w:tcW w:w="1440" w:type="dxa"/>
            <w:vAlign w:val="center"/>
          </w:tcPr>
          <w:p w:rsidR="00E84155" w:rsidRDefault="00A01F78">
            <w:pPr>
              <w:spacing w:beforeLines="20" w:before="48" w:afterLines="20" w:after="48"/>
              <w:rPr>
                <w:noProof/>
                <w:sz w:val="18"/>
              </w:rPr>
            </w:pPr>
            <w:r>
              <w:rPr>
                <w:noProof/>
                <w:sz w:val="18"/>
              </w:rPr>
              <w:t>Paiements</w:t>
            </w:r>
          </w:p>
        </w:tc>
        <w:tc>
          <w:tcPr>
            <w:tcW w:w="654" w:type="dxa"/>
            <w:vAlign w:val="center"/>
          </w:tcPr>
          <w:p w:rsidR="00E84155" w:rsidRDefault="00A01F78">
            <w:pPr>
              <w:spacing w:beforeLines="20" w:before="48" w:afterLines="20" w:after="48"/>
              <w:jc w:val="center"/>
              <w:rPr>
                <w:noProof/>
                <w:sz w:val="14"/>
              </w:rPr>
            </w:pPr>
            <w:r>
              <w:rPr>
                <w:noProof/>
                <w:sz w:val="14"/>
              </w:rPr>
              <w:t>(5)</w:t>
            </w:r>
          </w:p>
        </w:tc>
        <w:tc>
          <w:tcPr>
            <w:tcW w:w="1026" w:type="dxa"/>
            <w:vAlign w:val="center"/>
          </w:tcPr>
          <w:p w:rsidR="00E84155" w:rsidRDefault="00A01F78">
            <w:pPr>
              <w:spacing w:before="20" w:after="20"/>
              <w:jc w:val="right"/>
              <w:rPr>
                <w:noProof/>
                <w:sz w:val="20"/>
              </w:rPr>
            </w:pPr>
            <w:r>
              <w:rPr>
                <w:noProof/>
                <w:sz w:val="20"/>
              </w:rPr>
              <w:t>0</w:t>
            </w:r>
          </w:p>
        </w:tc>
        <w:tc>
          <w:tcPr>
            <w:tcW w:w="1320" w:type="dxa"/>
            <w:vAlign w:val="center"/>
          </w:tcPr>
          <w:p w:rsidR="00E84155" w:rsidRDefault="00E84155">
            <w:pPr>
              <w:spacing w:before="20" w:after="20"/>
              <w:jc w:val="right"/>
              <w:rPr>
                <w:noProof/>
                <w:sz w:val="20"/>
              </w:rPr>
            </w:pPr>
          </w:p>
        </w:tc>
        <w:tc>
          <w:tcPr>
            <w:tcW w:w="891" w:type="dxa"/>
            <w:vAlign w:val="center"/>
          </w:tcPr>
          <w:p w:rsidR="00E84155" w:rsidRDefault="00E84155">
            <w:pPr>
              <w:spacing w:before="20" w:after="20"/>
              <w:jc w:val="right"/>
              <w:rPr>
                <w:noProof/>
                <w:sz w:val="20"/>
              </w:rPr>
            </w:pPr>
          </w:p>
        </w:tc>
        <w:tc>
          <w:tcPr>
            <w:tcW w:w="1066" w:type="dxa"/>
            <w:vAlign w:val="center"/>
          </w:tcPr>
          <w:p w:rsidR="00E84155" w:rsidRDefault="00E84155">
            <w:pPr>
              <w:spacing w:before="20" w:after="20"/>
              <w:jc w:val="right"/>
              <w:rPr>
                <w:noProof/>
                <w:sz w:val="20"/>
              </w:rPr>
            </w:pPr>
          </w:p>
        </w:tc>
        <w:tc>
          <w:tcPr>
            <w:tcW w:w="1200" w:type="dxa"/>
            <w:vAlign w:val="center"/>
          </w:tcPr>
          <w:p w:rsidR="00E84155" w:rsidRDefault="00E84155">
            <w:pPr>
              <w:spacing w:before="20" w:after="20"/>
              <w:jc w:val="right"/>
              <w:rPr>
                <w:noProof/>
                <w:sz w:val="20"/>
              </w:rPr>
            </w:pPr>
          </w:p>
        </w:tc>
        <w:tc>
          <w:tcPr>
            <w:tcW w:w="480" w:type="dxa"/>
            <w:vAlign w:val="center"/>
          </w:tcPr>
          <w:p w:rsidR="00E84155" w:rsidRDefault="00E84155">
            <w:pPr>
              <w:spacing w:before="20" w:after="20"/>
              <w:jc w:val="right"/>
              <w:rPr>
                <w:noProof/>
                <w:sz w:val="20"/>
              </w:rPr>
            </w:pPr>
          </w:p>
        </w:tc>
        <w:tc>
          <w:tcPr>
            <w:tcW w:w="1173" w:type="dxa"/>
            <w:vAlign w:val="center"/>
          </w:tcPr>
          <w:p w:rsidR="00E84155" w:rsidRDefault="00E84155">
            <w:pPr>
              <w:spacing w:before="20" w:after="20"/>
              <w:jc w:val="right"/>
              <w:rPr>
                <w:noProof/>
                <w:sz w:val="20"/>
              </w:rPr>
            </w:pPr>
          </w:p>
        </w:tc>
        <w:tc>
          <w:tcPr>
            <w:tcW w:w="1214" w:type="dxa"/>
            <w:vAlign w:val="center"/>
          </w:tcPr>
          <w:p w:rsidR="00E84155" w:rsidRDefault="00E84155">
            <w:pPr>
              <w:spacing w:before="20" w:after="20"/>
              <w:jc w:val="right"/>
              <w:rPr>
                <w:b/>
                <w:noProof/>
                <w:sz w:val="20"/>
              </w:rPr>
            </w:pPr>
          </w:p>
        </w:tc>
      </w:tr>
      <w:tr w:rsidR="00E84155">
        <w:trPr>
          <w:trHeight w:val="533"/>
        </w:trPr>
        <w:tc>
          <w:tcPr>
            <w:tcW w:w="5400" w:type="dxa"/>
            <w:gridSpan w:val="2"/>
            <w:vAlign w:val="center"/>
          </w:tcPr>
          <w:p w:rsidR="00E84155" w:rsidRDefault="00A01F78">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E84155" w:rsidRDefault="00A01F78">
            <w:pPr>
              <w:spacing w:beforeLines="20" w:before="48" w:afterLines="20" w:after="48"/>
              <w:jc w:val="center"/>
              <w:rPr>
                <w:noProof/>
                <w:sz w:val="14"/>
              </w:rPr>
            </w:pPr>
            <w:r>
              <w:rPr>
                <w:noProof/>
                <w:sz w:val="14"/>
              </w:rPr>
              <w:t>(6)</w:t>
            </w:r>
          </w:p>
        </w:tc>
        <w:tc>
          <w:tcPr>
            <w:tcW w:w="1026" w:type="dxa"/>
            <w:vAlign w:val="center"/>
          </w:tcPr>
          <w:p w:rsidR="00E84155" w:rsidRDefault="00A01F78">
            <w:pPr>
              <w:spacing w:before="20" w:after="20"/>
              <w:jc w:val="right"/>
              <w:rPr>
                <w:b/>
                <w:noProof/>
                <w:sz w:val="20"/>
              </w:rPr>
            </w:pPr>
            <w:r>
              <w:rPr>
                <w:b/>
                <w:noProof/>
                <w:sz w:val="20"/>
              </w:rPr>
              <w:t>0</w:t>
            </w:r>
          </w:p>
        </w:tc>
        <w:tc>
          <w:tcPr>
            <w:tcW w:w="1320" w:type="dxa"/>
            <w:vAlign w:val="center"/>
          </w:tcPr>
          <w:p w:rsidR="00E84155" w:rsidRDefault="00A01F78">
            <w:pPr>
              <w:spacing w:before="20" w:after="20"/>
              <w:jc w:val="right"/>
              <w:rPr>
                <w:b/>
                <w:noProof/>
                <w:sz w:val="20"/>
              </w:rPr>
            </w:pPr>
            <w:r>
              <w:rPr>
                <w:b/>
                <w:noProof/>
                <w:sz w:val="20"/>
              </w:rPr>
              <w:t>0</w:t>
            </w:r>
          </w:p>
        </w:tc>
        <w:tc>
          <w:tcPr>
            <w:tcW w:w="891" w:type="dxa"/>
            <w:vAlign w:val="center"/>
          </w:tcPr>
          <w:p w:rsidR="00E84155" w:rsidRDefault="00A01F78">
            <w:pPr>
              <w:spacing w:before="20" w:after="20"/>
              <w:jc w:val="right"/>
              <w:rPr>
                <w:b/>
                <w:noProof/>
                <w:sz w:val="20"/>
              </w:rPr>
            </w:pPr>
            <w:r>
              <w:rPr>
                <w:b/>
                <w:noProof/>
                <w:sz w:val="20"/>
              </w:rPr>
              <w:t>0</w:t>
            </w:r>
          </w:p>
        </w:tc>
        <w:tc>
          <w:tcPr>
            <w:tcW w:w="1066" w:type="dxa"/>
            <w:vAlign w:val="center"/>
          </w:tcPr>
          <w:p w:rsidR="00E84155" w:rsidRDefault="00A01F78">
            <w:pPr>
              <w:spacing w:before="20" w:after="20"/>
              <w:jc w:val="right"/>
              <w:rPr>
                <w:b/>
                <w:noProof/>
                <w:sz w:val="20"/>
              </w:rPr>
            </w:pPr>
            <w:r>
              <w:rPr>
                <w:b/>
                <w:noProof/>
                <w:sz w:val="20"/>
              </w:rPr>
              <w:t>0</w:t>
            </w:r>
          </w:p>
        </w:tc>
        <w:tc>
          <w:tcPr>
            <w:tcW w:w="1200" w:type="dxa"/>
            <w:vAlign w:val="center"/>
          </w:tcPr>
          <w:p w:rsidR="00E84155" w:rsidRDefault="00A01F78">
            <w:pPr>
              <w:spacing w:before="20" w:after="20"/>
              <w:jc w:val="right"/>
              <w:rPr>
                <w:b/>
                <w:noProof/>
                <w:sz w:val="20"/>
              </w:rPr>
            </w:pPr>
            <w:r>
              <w:rPr>
                <w:b/>
                <w:noProof/>
                <w:sz w:val="20"/>
              </w:rPr>
              <w:t>0</w:t>
            </w:r>
          </w:p>
        </w:tc>
        <w:tc>
          <w:tcPr>
            <w:tcW w:w="480" w:type="dxa"/>
            <w:vAlign w:val="center"/>
          </w:tcPr>
          <w:p w:rsidR="00E84155" w:rsidRDefault="00A01F78">
            <w:pPr>
              <w:spacing w:before="20" w:after="20"/>
              <w:jc w:val="right"/>
              <w:rPr>
                <w:b/>
                <w:noProof/>
                <w:sz w:val="20"/>
              </w:rPr>
            </w:pPr>
            <w:r>
              <w:rPr>
                <w:b/>
                <w:noProof/>
                <w:sz w:val="20"/>
              </w:rPr>
              <w:t>0</w:t>
            </w:r>
          </w:p>
        </w:tc>
        <w:tc>
          <w:tcPr>
            <w:tcW w:w="1173" w:type="dxa"/>
            <w:vAlign w:val="center"/>
          </w:tcPr>
          <w:p w:rsidR="00E84155" w:rsidRDefault="00A01F78">
            <w:pPr>
              <w:spacing w:before="20" w:after="20"/>
              <w:jc w:val="right"/>
              <w:rPr>
                <w:noProof/>
                <w:sz w:val="20"/>
              </w:rPr>
            </w:pPr>
            <w:r>
              <w:rPr>
                <w:noProof/>
                <w:sz w:val="20"/>
              </w:rPr>
              <w:t>0</w:t>
            </w:r>
          </w:p>
        </w:tc>
        <w:tc>
          <w:tcPr>
            <w:tcW w:w="1214" w:type="dxa"/>
            <w:vAlign w:val="center"/>
          </w:tcPr>
          <w:p w:rsidR="00E84155" w:rsidRDefault="00A01F78">
            <w:pPr>
              <w:spacing w:before="20" w:after="20"/>
              <w:jc w:val="right"/>
              <w:rPr>
                <w:b/>
                <w:noProof/>
                <w:sz w:val="20"/>
              </w:rPr>
            </w:pPr>
            <w:r>
              <w:rPr>
                <w:b/>
                <w:noProof/>
                <w:sz w:val="20"/>
              </w:rPr>
              <w:t>0</w:t>
            </w:r>
          </w:p>
        </w:tc>
      </w:tr>
      <w:tr w:rsidR="00E84155">
        <w:tc>
          <w:tcPr>
            <w:tcW w:w="3960" w:type="dxa"/>
            <w:vMerge w:val="restart"/>
            <w:shd w:val="thinDiagStripe" w:color="C0C0C0" w:fill="auto"/>
            <w:vAlign w:val="center"/>
          </w:tcPr>
          <w:p w:rsidR="00E84155" w:rsidRDefault="00A01F78">
            <w:pPr>
              <w:jc w:val="center"/>
              <w:rPr>
                <w:b/>
                <w:noProof/>
              </w:rPr>
            </w:pPr>
            <w:r>
              <w:rPr>
                <w:b/>
                <w:noProof/>
                <w:sz w:val="22"/>
              </w:rPr>
              <w:t>TOTAL des crédits</w:t>
            </w:r>
            <w:r>
              <w:rPr>
                <w:noProof/>
              </w:rPr>
              <w:br/>
            </w:r>
            <w:r>
              <w:rPr>
                <w:b/>
                <w:noProof/>
                <w:sz w:val="22"/>
              </w:rPr>
              <w:t>pour la RUBRIQUE 1</w:t>
            </w:r>
            <w:r>
              <w:rPr>
                <w:noProof/>
              </w:rPr>
              <w:br/>
            </w:r>
            <w:r>
              <w:rPr>
                <w:noProof/>
                <w:sz w:val="22"/>
              </w:rPr>
              <w:t>du cadre financier pluriannuel</w:t>
            </w:r>
          </w:p>
        </w:tc>
        <w:tc>
          <w:tcPr>
            <w:tcW w:w="1440" w:type="dxa"/>
            <w:vAlign w:val="center"/>
          </w:tcPr>
          <w:p w:rsidR="00E84155" w:rsidRDefault="00A01F78">
            <w:pPr>
              <w:rPr>
                <w:noProof/>
                <w:sz w:val="18"/>
              </w:rPr>
            </w:pPr>
            <w:r>
              <w:rPr>
                <w:noProof/>
                <w:sz w:val="18"/>
              </w:rPr>
              <w:t>Engagements</w:t>
            </w:r>
          </w:p>
        </w:tc>
        <w:tc>
          <w:tcPr>
            <w:tcW w:w="654" w:type="dxa"/>
            <w:vAlign w:val="center"/>
          </w:tcPr>
          <w:p w:rsidR="00E84155" w:rsidRDefault="00A01F78">
            <w:pPr>
              <w:jc w:val="center"/>
              <w:rPr>
                <w:noProof/>
                <w:sz w:val="14"/>
              </w:rPr>
            </w:pPr>
            <w:r>
              <w:rPr>
                <w:noProof/>
                <w:sz w:val="14"/>
              </w:rPr>
              <w:t>= 4 + 6</w:t>
            </w:r>
          </w:p>
        </w:tc>
        <w:tc>
          <w:tcPr>
            <w:tcW w:w="1026" w:type="dxa"/>
            <w:vAlign w:val="center"/>
          </w:tcPr>
          <w:p w:rsidR="00E84155" w:rsidRDefault="00A01F78">
            <w:pPr>
              <w:spacing w:before="20" w:after="20"/>
              <w:jc w:val="right"/>
              <w:rPr>
                <w:noProof/>
                <w:sz w:val="20"/>
              </w:rPr>
            </w:pPr>
            <w:r>
              <w:rPr>
                <w:noProof/>
                <w:sz w:val="20"/>
              </w:rPr>
              <w:t>0</w:t>
            </w:r>
          </w:p>
        </w:tc>
        <w:tc>
          <w:tcPr>
            <w:tcW w:w="1320" w:type="dxa"/>
            <w:vAlign w:val="center"/>
          </w:tcPr>
          <w:p w:rsidR="00E84155" w:rsidRDefault="00A01F78">
            <w:pPr>
              <w:spacing w:before="20" w:after="20"/>
              <w:jc w:val="right"/>
              <w:rPr>
                <w:noProof/>
                <w:sz w:val="20"/>
              </w:rPr>
            </w:pPr>
            <w:r>
              <w:rPr>
                <w:noProof/>
                <w:sz w:val="20"/>
              </w:rPr>
              <w:t>0</w:t>
            </w:r>
          </w:p>
        </w:tc>
        <w:tc>
          <w:tcPr>
            <w:tcW w:w="891" w:type="dxa"/>
            <w:vAlign w:val="center"/>
          </w:tcPr>
          <w:p w:rsidR="00E84155" w:rsidRDefault="00A01F78">
            <w:pPr>
              <w:spacing w:before="20" w:after="20"/>
              <w:jc w:val="right"/>
              <w:rPr>
                <w:noProof/>
                <w:sz w:val="20"/>
              </w:rPr>
            </w:pPr>
            <w:r>
              <w:rPr>
                <w:noProof/>
                <w:sz w:val="20"/>
              </w:rPr>
              <w:t>0</w:t>
            </w:r>
          </w:p>
        </w:tc>
        <w:tc>
          <w:tcPr>
            <w:tcW w:w="1066" w:type="dxa"/>
            <w:vAlign w:val="center"/>
          </w:tcPr>
          <w:p w:rsidR="00E84155" w:rsidRDefault="00A01F78">
            <w:pPr>
              <w:spacing w:before="20" w:after="20"/>
              <w:jc w:val="right"/>
              <w:rPr>
                <w:noProof/>
                <w:sz w:val="20"/>
              </w:rPr>
            </w:pPr>
            <w:r>
              <w:rPr>
                <w:noProof/>
                <w:sz w:val="20"/>
              </w:rPr>
              <w:t>0</w:t>
            </w:r>
          </w:p>
        </w:tc>
        <w:tc>
          <w:tcPr>
            <w:tcW w:w="1200" w:type="dxa"/>
            <w:vAlign w:val="center"/>
          </w:tcPr>
          <w:p w:rsidR="00E84155" w:rsidRDefault="00A01F78">
            <w:pPr>
              <w:spacing w:before="20" w:after="20"/>
              <w:jc w:val="right"/>
              <w:rPr>
                <w:noProof/>
                <w:sz w:val="20"/>
              </w:rPr>
            </w:pPr>
            <w:r>
              <w:rPr>
                <w:noProof/>
                <w:sz w:val="20"/>
              </w:rPr>
              <w:t>0</w:t>
            </w:r>
          </w:p>
        </w:tc>
        <w:tc>
          <w:tcPr>
            <w:tcW w:w="480" w:type="dxa"/>
            <w:vAlign w:val="center"/>
          </w:tcPr>
          <w:p w:rsidR="00E84155" w:rsidRDefault="00A01F78">
            <w:pPr>
              <w:spacing w:before="20" w:after="20"/>
              <w:jc w:val="right"/>
              <w:rPr>
                <w:noProof/>
                <w:sz w:val="20"/>
              </w:rPr>
            </w:pPr>
            <w:r>
              <w:rPr>
                <w:noProof/>
                <w:sz w:val="20"/>
              </w:rPr>
              <w:t>0</w:t>
            </w:r>
          </w:p>
        </w:tc>
        <w:tc>
          <w:tcPr>
            <w:tcW w:w="1173" w:type="dxa"/>
            <w:vAlign w:val="center"/>
          </w:tcPr>
          <w:p w:rsidR="00E84155" w:rsidRDefault="00A01F78">
            <w:pPr>
              <w:spacing w:before="20" w:after="20"/>
              <w:jc w:val="right"/>
              <w:rPr>
                <w:noProof/>
                <w:sz w:val="20"/>
              </w:rPr>
            </w:pPr>
            <w:r>
              <w:rPr>
                <w:noProof/>
                <w:sz w:val="20"/>
              </w:rPr>
              <w:t>0</w:t>
            </w:r>
          </w:p>
        </w:tc>
        <w:tc>
          <w:tcPr>
            <w:tcW w:w="1214" w:type="dxa"/>
            <w:vAlign w:val="center"/>
          </w:tcPr>
          <w:p w:rsidR="00E84155" w:rsidRDefault="00A01F78">
            <w:pPr>
              <w:spacing w:before="20" w:after="20"/>
              <w:jc w:val="right"/>
              <w:rPr>
                <w:b/>
                <w:noProof/>
                <w:sz w:val="20"/>
              </w:rPr>
            </w:pPr>
            <w:r>
              <w:rPr>
                <w:b/>
                <w:noProof/>
                <w:sz w:val="20"/>
              </w:rPr>
              <w:t>0</w:t>
            </w:r>
          </w:p>
        </w:tc>
      </w:tr>
      <w:tr w:rsidR="00E84155">
        <w:tc>
          <w:tcPr>
            <w:tcW w:w="3960" w:type="dxa"/>
            <w:vMerge/>
            <w:shd w:val="thinDiagStripe" w:color="C0C0C0" w:fill="auto"/>
          </w:tcPr>
          <w:p w:rsidR="00E84155" w:rsidRDefault="00E84155">
            <w:pPr>
              <w:rPr>
                <w:noProof/>
                <w:sz w:val="20"/>
              </w:rPr>
            </w:pPr>
          </w:p>
        </w:tc>
        <w:tc>
          <w:tcPr>
            <w:tcW w:w="1440" w:type="dxa"/>
            <w:vAlign w:val="center"/>
          </w:tcPr>
          <w:p w:rsidR="00E84155" w:rsidRDefault="00A01F78">
            <w:pPr>
              <w:rPr>
                <w:noProof/>
                <w:sz w:val="18"/>
              </w:rPr>
            </w:pPr>
            <w:r>
              <w:rPr>
                <w:noProof/>
                <w:sz w:val="18"/>
              </w:rPr>
              <w:t>Paiements</w:t>
            </w:r>
          </w:p>
        </w:tc>
        <w:tc>
          <w:tcPr>
            <w:tcW w:w="654" w:type="dxa"/>
            <w:vAlign w:val="center"/>
          </w:tcPr>
          <w:p w:rsidR="00E84155" w:rsidRDefault="00A01F78">
            <w:pPr>
              <w:jc w:val="center"/>
              <w:rPr>
                <w:noProof/>
                <w:sz w:val="14"/>
              </w:rPr>
            </w:pPr>
            <w:r>
              <w:rPr>
                <w:noProof/>
                <w:sz w:val="14"/>
              </w:rPr>
              <w:t>= 5 + 6</w:t>
            </w:r>
          </w:p>
        </w:tc>
        <w:tc>
          <w:tcPr>
            <w:tcW w:w="1026" w:type="dxa"/>
            <w:vAlign w:val="center"/>
          </w:tcPr>
          <w:p w:rsidR="00E84155" w:rsidRDefault="00A01F78">
            <w:pPr>
              <w:spacing w:before="20" w:after="20"/>
              <w:jc w:val="right"/>
              <w:rPr>
                <w:noProof/>
                <w:sz w:val="20"/>
              </w:rPr>
            </w:pPr>
            <w:r>
              <w:rPr>
                <w:noProof/>
                <w:sz w:val="20"/>
              </w:rPr>
              <w:t>0</w:t>
            </w:r>
          </w:p>
        </w:tc>
        <w:tc>
          <w:tcPr>
            <w:tcW w:w="1320" w:type="dxa"/>
            <w:vAlign w:val="center"/>
          </w:tcPr>
          <w:p w:rsidR="00E84155" w:rsidRDefault="00E84155">
            <w:pPr>
              <w:spacing w:before="20" w:after="20"/>
              <w:jc w:val="right"/>
              <w:rPr>
                <w:noProof/>
                <w:sz w:val="20"/>
              </w:rPr>
            </w:pPr>
          </w:p>
        </w:tc>
        <w:tc>
          <w:tcPr>
            <w:tcW w:w="891" w:type="dxa"/>
            <w:vAlign w:val="center"/>
          </w:tcPr>
          <w:p w:rsidR="00E84155" w:rsidRDefault="00E84155">
            <w:pPr>
              <w:spacing w:before="20" w:after="20"/>
              <w:jc w:val="right"/>
              <w:rPr>
                <w:noProof/>
                <w:sz w:val="20"/>
              </w:rPr>
            </w:pPr>
          </w:p>
        </w:tc>
        <w:tc>
          <w:tcPr>
            <w:tcW w:w="1066" w:type="dxa"/>
            <w:vAlign w:val="center"/>
          </w:tcPr>
          <w:p w:rsidR="00E84155" w:rsidRDefault="00E84155">
            <w:pPr>
              <w:spacing w:before="20" w:after="20"/>
              <w:jc w:val="right"/>
              <w:rPr>
                <w:noProof/>
                <w:sz w:val="20"/>
              </w:rPr>
            </w:pPr>
          </w:p>
        </w:tc>
        <w:tc>
          <w:tcPr>
            <w:tcW w:w="1200" w:type="dxa"/>
            <w:vAlign w:val="center"/>
          </w:tcPr>
          <w:p w:rsidR="00E84155" w:rsidRDefault="00E84155">
            <w:pPr>
              <w:spacing w:before="20" w:after="20"/>
              <w:jc w:val="right"/>
              <w:rPr>
                <w:noProof/>
                <w:sz w:val="20"/>
              </w:rPr>
            </w:pPr>
          </w:p>
        </w:tc>
        <w:tc>
          <w:tcPr>
            <w:tcW w:w="480" w:type="dxa"/>
            <w:vAlign w:val="center"/>
          </w:tcPr>
          <w:p w:rsidR="00E84155" w:rsidRDefault="00E84155">
            <w:pPr>
              <w:spacing w:before="20" w:after="20"/>
              <w:jc w:val="right"/>
              <w:rPr>
                <w:noProof/>
                <w:sz w:val="20"/>
              </w:rPr>
            </w:pPr>
          </w:p>
        </w:tc>
        <w:tc>
          <w:tcPr>
            <w:tcW w:w="1173" w:type="dxa"/>
            <w:vAlign w:val="center"/>
          </w:tcPr>
          <w:p w:rsidR="00E84155" w:rsidRDefault="00E84155">
            <w:pPr>
              <w:spacing w:before="20" w:after="20"/>
              <w:jc w:val="right"/>
              <w:rPr>
                <w:noProof/>
                <w:sz w:val="20"/>
              </w:rPr>
            </w:pPr>
          </w:p>
        </w:tc>
        <w:tc>
          <w:tcPr>
            <w:tcW w:w="1214" w:type="dxa"/>
            <w:vAlign w:val="center"/>
          </w:tcPr>
          <w:p w:rsidR="00E84155" w:rsidRDefault="00A01F78">
            <w:pPr>
              <w:spacing w:before="20" w:after="20"/>
              <w:jc w:val="right"/>
              <w:rPr>
                <w:b/>
                <w:noProof/>
                <w:sz w:val="20"/>
              </w:rPr>
            </w:pPr>
            <w:r>
              <w:rPr>
                <w:b/>
                <w:noProof/>
                <w:sz w:val="20"/>
              </w:rPr>
              <w:t>0</w:t>
            </w:r>
          </w:p>
        </w:tc>
      </w:tr>
      <w:tr w:rsidR="00E84155">
        <w:tc>
          <w:tcPr>
            <w:tcW w:w="3960" w:type="dxa"/>
            <w:shd w:val="thinDiagStripe" w:color="C0C0C0" w:fill="auto"/>
          </w:tcPr>
          <w:p w:rsidR="00E84155" w:rsidRDefault="00E84155">
            <w:pPr>
              <w:rPr>
                <w:noProof/>
                <w:sz w:val="20"/>
              </w:rPr>
            </w:pPr>
          </w:p>
        </w:tc>
        <w:tc>
          <w:tcPr>
            <w:tcW w:w="1440" w:type="dxa"/>
            <w:vAlign w:val="center"/>
          </w:tcPr>
          <w:p w:rsidR="00E84155" w:rsidRDefault="00E84155">
            <w:pPr>
              <w:rPr>
                <w:noProof/>
                <w:sz w:val="18"/>
              </w:rPr>
            </w:pPr>
          </w:p>
        </w:tc>
        <w:tc>
          <w:tcPr>
            <w:tcW w:w="654" w:type="dxa"/>
            <w:vAlign w:val="center"/>
          </w:tcPr>
          <w:p w:rsidR="00E84155" w:rsidRDefault="00E84155">
            <w:pPr>
              <w:jc w:val="center"/>
              <w:rPr>
                <w:noProof/>
                <w:sz w:val="14"/>
              </w:rPr>
            </w:pPr>
          </w:p>
        </w:tc>
        <w:tc>
          <w:tcPr>
            <w:tcW w:w="1026" w:type="dxa"/>
            <w:vAlign w:val="center"/>
          </w:tcPr>
          <w:p w:rsidR="00E84155" w:rsidRDefault="00E84155">
            <w:pPr>
              <w:spacing w:before="20" w:after="20"/>
              <w:jc w:val="right"/>
              <w:rPr>
                <w:noProof/>
                <w:sz w:val="20"/>
              </w:rPr>
            </w:pPr>
          </w:p>
        </w:tc>
        <w:tc>
          <w:tcPr>
            <w:tcW w:w="1320" w:type="dxa"/>
            <w:vAlign w:val="center"/>
          </w:tcPr>
          <w:p w:rsidR="00E84155" w:rsidRDefault="00E84155">
            <w:pPr>
              <w:spacing w:before="20" w:after="20"/>
              <w:jc w:val="right"/>
              <w:rPr>
                <w:noProof/>
                <w:sz w:val="20"/>
              </w:rPr>
            </w:pPr>
          </w:p>
        </w:tc>
        <w:tc>
          <w:tcPr>
            <w:tcW w:w="891" w:type="dxa"/>
            <w:vAlign w:val="center"/>
          </w:tcPr>
          <w:p w:rsidR="00E84155" w:rsidRDefault="00E84155">
            <w:pPr>
              <w:spacing w:before="20" w:after="20"/>
              <w:jc w:val="right"/>
              <w:rPr>
                <w:noProof/>
                <w:sz w:val="20"/>
              </w:rPr>
            </w:pPr>
          </w:p>
        </w:tc>
        <w:tc>
          <w:tcPr>
            <w:tcW w:w="1066" w:type="dxa"/>
            <w:vAlign w:val="center"/>
          </w:tcPr>
          <w:p w:rsidR="00E84155" w:rsidRDefault="00E84155">
            <w:pPr>
              <w:spacing w:before="20" w:after="20"/>
              <w:jc w:val="right"/>
              <w:rPr>
                <w:noProof/>
                <w:sz w:val="20"/>
              </w:rPr>
            </w:pPr>
          </w:p>
        </w:tc>
        <w:tc>
          <w:tcPr>
            <w:tcW w:w="1200" w:type="dxa"/>
            <w:vAlign w:val="center"/>
          </w:tcPr>
          <w:p w:rsidR="00E84155" w:rsidRDefault="00E84155">
            <w:pPr>
              <w:spacing w:before="20" w:after="20"/>
              <w:jc w:val="right"/>
              <w:rPr>
                <w:b/>
                <w:noProof/>
                <w:sz w:val="20"/>
              </w:rPr>
            </w:pPr>
          </w:p>
        </w:tc>
        <w:tc>
          <w:tcPr>
            <w:tcW w:w="480" w:type="dxa"/>
            <w:vAlign w:val="center"/>
          </w:tcPr>
          <w:p w:rsidR="00E84155" w:rsidRDefault="00E84155">
            <w:pPr>
              <w:spacing w:before="20" w:after="20"/>
              <w:jc w:val="right"/>
              <w:rPr>
                <w:noProof/>
                <w:sz w:val="20"/>
              </w:rPr>
            </w:pPr>
          </w:p>
        </w:tc>
        <w:tc>
          <w:tcPr>
            <w:tcW w:w="1173" w:type="dxa"/>
            <w:vAlign w:val="center"/>
          </w:tcPr>
          <w:p w:rsidR="00E84155" w:rsidRDefault="00E84155">
            <w:pPr>
              <w:spacing w:before="20" w:after="20"/>
              <w:jc w:val="right"/>
              <w:rPr>
                <w:b/>
                <w:noProof/>
                <w:sz w:val="20"/>
              </w:rPr>
            </w:pPr>
          </w:p>
        </w:tc>
        <w:tc>
          <w:tcPr>
            <w:tcW w:w="1214" w:type="dxa"/>
            <w:vAlign w:val="center"/>
          </w:tcPr>
          <w:p w:rsidR="00E84155" w:rsidRDefault="00E84155">
            <w:pPr>
              <w:spacing w:before="20" w:after="20"/>
              <w:jc w:val="right"/>
              <w:rPr>
                <w:b/>
                <w:noProof/>
                <w:sz w:val="20"/>
              </w:rPr>
            </w:pPr>
          </w:p>
        </w:tc>
      </w:tr>
    </w:tbl>
    <w:p w:rsidR="00E84155" w:rsidRDefault="00A01F78">
      <w:pPr>
        <w:rPr>
          <w:b/>
          <w:noProof/>
          <w:sz w:val="22"/>
          <w:u w:val="single"/>
        </w:rPr>
      </w:pPr>
      <w:r>
        <w:rPr>
          <w:noProof/>
        </w:rPr>
        <w:br/>
      </w:r>
      <w:r>
        <w:rPr>
          <w:noProof/>
        </w:rPr>
        <w:br/>
      </w:r>
    </w:p>
    <w:p w:rsidR="00E84155" w:rsidRDefault="00A01F78">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rsidR="00E84155">
        <w:trPr>
          <w:trHeight w:val="277"/>
        </w:trPr>
        <w:tc>
          <w:tcPr>
            <w:tcW w:w="3960" w:type="dxa"/>
            <w:vMerge w:val="restart"/>
            <w:tcBorders>
              <w:top w:val="single" w:sz="4" w:space="0" w:color="auto"/>
              <w:left w:val="single" w:sz="4" w:space="0" w:color="auto"/>
              <w:bottom w:val="single" w:sz="4" w:space="0" w:color="FF0000"/>
            </w:tcBorders>
            <w:vAlign w:val="center"/>
          </w:tcPr>
          <w:p w:rsidR="00E84155" w:rsidRDefault="00A01F78">
            <w:pPr>
              <w:spacing w:before="20" w:after="20"/>
              <w:rPr>
                <w:noProof/>
              </w:rPr>
            </w:pPr>
            <w:r>
              <w:rPr>
                <w:noProof/>
                <w:sz w:val="21"/>
              </w:rPr>
              <w:sym w:font="Wingdings" w:char="F09F"/>
            </w:r>
            <w:r>
              <w:rPr>
                <w:noProof/>
                <w:sz w:val="21"/>
              </w:rPr>
              <w:t xml:space="preserve"> TOTAL des crédits opérationnels</w:t>
            </w:r>
          </w:p>
        </w:tc>
        <w:tc>
          <w:tcPr>
            <w:tcW w:w="1440" w:type="dxa"/>
            <w:tcBorders>
              <w:top w:val="single" w:sz="4" w:space="0" w:color="auto"/>
            </w:tcBorders>
            <w:vAlign w:val="center"/>
          </w:tcPr>
          <w:p w:rsidR="00E84155" w:rsidRDefault="00A01F78">
            <w:pPr>
              <w:spacing w:beforeLines="20" w:before="48" w:afterLines="20" w:after="48"/>
              <w:rPr>
                <w:noProof/>
                <w:sz w:val="18"/>
              </w:rPr>
            </w:pPr>
            <w:r>
              <w:rPr>
                <w:noProof/>
                <w:sz w:val="18"/>
              </w:rPr>
              <w:t>Engagements</w:t>
            </w:r>
          </w:p>
        </w:tc>
        <w:tc>
          <w:tcPr>
            <w:tcW w:w="654" w:type="dxa"/>
            <w:tcBorders>
              <w:top w:val="single" w:sz="4" w:space="0" w:color="auto"/>
            </w:tcBorders>
            <w:vAlign w:val="center"/>
          </w:tcPr>
          <w:p w:rsidR="00E84155" w:rsidRDefault="00A01F78">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rsidR="00E84155" w:rsidRDefault="00E84155">
            <w:pPr>
              <w:spacing w:before="20" w:after="20"/>
              <w:jc w:val="right"/>
              <w:rPr>
                <w:noProof/>
                <w:sz w:val="20"/>
              </w:rPr>
            </w:pPr>
          </w:p>
        </w:tc>
        <w:tc>
          <w:tcPr>
            <w:tcW w:w="960" w:type="dxa"/>
            <w:tcBorders>
              <w:top w:val="single" w:sz="4" w:space="0" w:color="auto"/>
            </w:tcBorders>
            <w:vAlign w:val="center"/>
          </w:tcPr>
          <w:p w:rsidR="00E84155" w:rsidRDefault="00E84155">
            <w:pPr>
              <w:spacing w:before="20" w:after="20"/>
              <w:jc w:val="right"/>
              <w:rPr>
                <w:noProof/>
                <w:sz w:val="20"/>
              </w:rPr>
            </w:pPr>
          </w:p>
        </w:tc>
        <w:tc>
          <w:tcPr>
            <w:tcW w:w="840" w:type="dxa"/>
            <w:tcBorders>
              <w:top w:val="single" w:sz="4" w:space="0" w:color="auto"/>
            </w:tcBorders>
            <w:vAlign w:val="center"/>
          </w:tcPr>
          <w:p w:rsidR="00E84155" w:rsidRDefault="00E84155">
            <w:pPr>
              <w:spacing w:before="20" w:after="20"/>
              <w:jc w:val="right"/>
              <w:rPr>
                <w:noProof/>
                <w:sz w:val="20"/>
              </w:rPr>
            </w:pPr>
          </w:p>
        </w:tc>
        <w:tc>
          <w:tcPr>
            <w:tcW w:w="840" w:type="dxa"/>
            <w:tcBorders>
              <w:top w:val="single" w:sz="4" w:space="0" w:color="auto"/>
            </w:tcBorders>
            <w:vAlign w:val="center"/>
          </w:tcPr>
          <w:p w:rsidR="00E84155" w:rsidRDefault="00E84155">
            <w:pPr>
              <w:spacing w:before="20" w:after="20"/>
              <w:jc w:val="right"/>
              <w:rPr>
                <w:noProof/>
                <w:sz w:val="20"/>
              </w:rPr>
            </w:pPr>
          </w:p>
        </w:tc>
        <w:tc>
          <w:tcPr>
            <w:tcW w:w="720" w:type="dxa"/>
            <w:tcBorders>
              <w:top w:val="single" w:sz="4" w:space="0" w:color="auto"/>
            </w:tcBorders>
            <w:vAlign w:val="center"/>
          </w:tcPr>
          <w:p w:rsidR="00E84155" w:rsidRDefault="00E84155">
            <w:pPr>
              <w:spacing w:before="20" w:after="20"/>
              <w:jc w:val="right"/>
              <w:rPr>
                <w:noProof/>
                <w:sz w:val="20"/>
              </w:rPr>
            </w:pPr>
          </w:p>
        </w:tc>
        <w:tc>
          <w:tcPr>
            <w:tcW w:w="720" w:type="dxa"/>
            <w:tcBorders>
              <w:top w:val="single" w:sz="4" w:space="0" w:color="auto"/>
            </w:tcBorders>
            <w:vAlign w:val="center"/>
          </w:tcPr>
          <w:p w:rsidR="00E84155" w:rsidRDefault="00E84155">
            <w:pPr>
              <w:spacing w:before="20" w:after="20"/>
              <w:jc w:val="right"/>
              <w:rPr>
                <w:noProof/>
                <w:sz w:val="20"/>
              </w:rPr>
            </w:pPr>
          </w:p>
        </w:tc>
        <w:tc>
          <w:tcPr>
            <w:tcW w:w="960" w:type="dxa"/>
            <w:tcBorders>
              <w:top w:val="single" w:sz="4" w:space="0" w:color="auto"/>
            </w:tcBorders>
            <w:vAlign w:val="center"/>
          </w:tcPr>
          <w:p w:rsidR="00E84155" w:rsidRDefault="00E84155">
            <w:pPr>
              <w:spacing w:before="20" w:after="20"/>
              <w:jc w:val="right"/>
              <w:rPr>
                <w:b/>
                <w:noProof/>
                <w:sz w:val="20"/>
              </w:rPr>
            </w:pPr>
          </w:p>
        </w:tc>
        <w:tc>
          <w:tcPr>
            <w:tcW w:w="1427" w:type="dxa"/>
            <w:tcBorders>
              <w:top w:val="single" w:sz="4" w:space="0" w:color="auto"/>
              <w:right w:val="single" w:sz="4" w:space="0" w:color="auto"/>
            </w:tcBorders>
            <w:vAlign w:val="center"/>
          </w:tcPr>
          <w:p w:rsidR="00E84155" w:rsidRDefault="00E84155">
            <w:pPr>
              <w:spacing w:before="20" w:after="20"/>
              <w:jc w:val="right"/>
              <w:rPr>
                <w:b/>
                <w:noProof/>
                <w:sz w:val="20"/>
              </w:rPr>
            </w:pPr>
          </w:p>
        </w:tc>
      </w:tr>
      <w:tr w:rsidR="00E84155">
        <w:tc>
          <w:tcPr>
            <w:tcW w:w="3960" w:type="dxa"/>
            <w:vMerge/>
            <w:tcBorders>
              <w:top w:val="single" w:sz="4" w:space="0" w:color="FF0000"/>
              <w:left w:val="single" w:sz="4" w:space="0" w:color="auto"/>
              <w:bottom w:val="single" w:sz="4" w:space="0" w:color="FF0000"/>
            </w:tcBorders>
          </w:tcPr>
          <w:p w:rsidR="00E84155" w:rsidRDefault="00E84155">
            <w:pPr>
              <w:jc w:val="center"/>
              <w:rPr>
                <w:noProof/>
                <w:sz w:val="20"/>
              </w:rPr>
            </w:pPr>
          </w:p>
        </w:tc>
        <w:tc>
          <w:tcPr>
            <w:tcW w:w="1440" w:type="dxa"/>
            <w:vAlign w:val="center"/>
          </w:tcPr>
          <w:p w:rsidR="00E84155" w:rsidRDefault="00A01F78">
            <w:pPr>
              <w:spacing w:beforeLines="20" w:before="48" w:afterLines="20" w:after="48"/>
              <w:rPr>
                <w:noProof/>
                <w:sz w:val="18"/>
              </w:rPr>
            </w:pPr>
            <w:r>
              <w:rPr>
                <w:noProof/>
                <w:sz w:val="18"/>
              </w:rPr>
              <w:t>Paiements</w:t>
            </w:r>
          </w:p>
        </w:tc>
        <w:tc>
          <w:tcPr>
            <w:tcW w:w="654" w:type="dxa"/>
            <w:vAlign w:val="center"/>
          </w:tcPr>
          <w:p w:rsidR="00E84155" w:rsidRDefault="00A01F78">
            <w:pPr>
              <w:spacing w:beforeLines="20" w:before="48" w:afterLines="20" w:after="48"/>
              <w:jc w:val="center"/>
              <w:rPr>
                <w:noProof/>
                <w:sz w:val="14"/>
              </w:rPr>
            </w:pPr>
            <w:r>
              <w:rPr>
                <w:noProof/>
                <w:sz w:val="14"/>
              </w:rPr>
              <w:t>(5)</w:t>
            </w:r>
          </w:p>
        </w:tc>
        <w:tc>
          <w:tcPr>
            <w:tcW w:w="1386" w:type="dxa"/>
            <w:vAlign w:val="center"/>
          </w:tcPr>
          <w:p w:rsidR="00E84155" w:rsidRDefault="00E84155">
            <w:pPr>
              <w:spacing w:before="20" w:after="20"/>
              <w:jc w:val="right"/>
              <w:rPr>
                <w:noProof/>
                <w:sz w:val="20"/>
              </w:rPr>
            </w:pPr>
          </w:p>
        </w:tc>
        <w:tc>
          <w:tcPr>
            <w:tcW w:w="960" w:type="dxa"/>
            <w:vAlign w:val="center"/>
          </w:tcPr>
          <w:p w:rsidR="00E84155" w:rsidRDefault="00E84155">
            <w:pPr>
              <w:spacing w:before="20" w:after="20"/>
              <w:jc w:val="right"/>
              <w:rPr>
                <w:noProof/>
                <w:sz w:val="20"/>
              </w:rPr>
            </w:pPr>
          </w:p>
        </w:tc>
        <w:tc>
          <w:tcPr>
            <w:tcW w:w="840" w:type="dxa"/>
            <w:vAlign w:val="center"/>
          </w:tcPr>
          <w:p w:rsidR="00E84155" w:rsidRDefault="00E84155">
            <w:pPr>
              <w:spacing w:before="20" w:after="20"/>
              <w:jc w:val="right"/>
              <w:rPr>
                <w:noProof/>
                <w:sz w:val="20"/>
              </w:rPr>
            </w:pPr>
          </w:p>
        </w:tc>
        <w:tc>
          <w:tcPr>
            <w:tcW w:w="840" w:type="dxa"/>
            <w:vAlign w:val="center"/>
          </w:tcPr>
          <w:p w:rsidR="00E84155" w:rsidRDefault="00E84155">
            <w:pPr>
              <w:spacing w:before="20" w:after="20"/>
              <w:jc w:val="right"/>
              <w:rPr>
                <w:noProof/>
                <w:sz w:val="20"/>
              </w:rPr>
            </w:pPr>
          </w:p>
        </w:tc>
        <w:tc>
          <w:tcPr>
            <w:tcW w:w="720" w:type="dxa"/>
            <w:vAlign w:val="center"/>
          </w:tcPr>
          <w:p w:rsidR="00E84155" w:rsidRDefault="00E84155">
            <w:pPr>
              <w:spacing w:before="20" w:after="20"/>
              <w:jc w:val="right"/>
              <w:rPr>
                <w:noProof/>
                <w:sz w:val="20"/>
              </w:rPr>
            </w:pPr>
          </w:p>
        </w:tc>
        <w:tc>
          <w:tcPr>
            <w:tcW w:w="720" w:type="dxa"/>
            <w:vAlign w:val="center"/>
          </w:tcPr>
          <w:p w:rsidR="00E84155" w:rsidRDefault="00E84155">
            <w:pPr>
              <w:spacing w:before="20" w:after="20"/>
              <w:jc w:val="right"/>
              <w:rPr>
                <w:noProof/>
                <w:sz w:val="20"/>
              </w:rPr>
            </w:pPr>
          </w:p>
        </w:tc>
        <w:tc>
          <w:tcPr>
            <w:tcW w:w="960" w:type="dxa"/>
            <w:vAlign w:val="center"/>
          </w:tcPr>
          <w:p w:rsidR="00E84155" w:rsidRDefault="00E84155">
            <w:pPr>
              <w:spacing w:before="20" w:after="20"/>
              <w:jc w:val="right"/>
              <w:rPr>
                <w:b/>
                <w:noProof/>
                <w:sz w:val="20"/>
              </w:rPr>
            </w:pPr>
          </w:p>
        </w:tc>
        <w:tc>
          <w:tcPr>
            <w:tcW w:w="1427" w:type="dxa"/>
            <w:tcBorders>
              <w:right w:val="single" w:sz="4" w:space="0" w:color="auto"/>
            </w:tcBorders>
            <w:vAlign w:val="center"/>
          </w:tcPr>
          <w:p w:rsidR="00E84155" w:rsidRDefault="00E84155">
            <w:pPr>
              <w:spacing w:before="20" w:after="20"/>
              <w:jc w:val="right"/>
              <w:rPr>
                <w:b/>
                <w:noProof/>
                <w:sz w:val="20"/>
              </w:rPr>
            </w:pPr>
          </w:p>
        </w:tc>
      </w:tr>
      <w:tr w:rsidR="00E84155">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E84155" w:rsidRDefault="00A01F78">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E84155" w:rsidRDefault="00A01F78">
            <w:pPr>
              <w:spacing w:beforeLines="20" w:before="48" w:afterLines="20" w:after="48"/>
              <w:jc w:val="center"/>
              <w:rPr>
                <w:noProof/>
                <w:sz w:val="14"/>
              </w:rPr>
            </w:pPr>
            <w:r>
              <w:rPr>
                <w:noProof/>
                <w:sz w:val="14"/>
              </w:rPr>
              <w:t>(6)</w:t>
            </w:r>
          </w:p>
        </w:tc>
        <w:tc>
          <w:tcPr>
            <w:tcW w:w="1386" w:type="dxa"/>
            <w:vAlign w:val="center"/>
          </w:tcPr>
          <w:p w:rsidR="00E84155" w:rsidRDefault="00E84155">
            <w:pPr>
              <w:spacing w:before="20" w:after="20"/>
              <w:jc w:val="right"/>
              <w:rPr>
                <w:b/>
                <w:noProof/>
                <w:sz w:val="20"/>
              </w:rPr>
            </w:pPr>
          </w:p>
        </w:tc>
        <w:tc>
          <w:tcPr>
            <w:tcW w:w="960" w:type="dxa"/>
            <w:vAlign w:val="center"/>
          </w:tcPr>
          <w:p w:rsidR="00E84155" w:rsidRDefault="00E84155">
            <w:pPr>
              <w:spacing w:before="20" w:after="20"/>
              <w:jc w:val="right"/>
              <w:rPr>
                <w:b/>
                <w:noProof/>
                <w:sz w:val="20"/>
              </w:rPr>
            </w:pPr>
          </w:p>
        </w:tc>
        <w:tc>
          <w:tcPr>
            <w:tcW w:w="840" w:type="dxa"/>
            <w:vAlign w:val="center"/>
          </w:tcPr>
          <w:p w:rsidR="00E84155" w:rsidRDefault="00E84155">
            <w:pPr>
              <w:spacing w:before="20" w:after="20"/>
              <w:jc w:val="right"/>
              <w:rPr>
                <w:b/>
                <w:noProof/>
                <w:sz w:val="20"/>
              </w:rPr>
            </w:pPr>
          </w:p>
        </w:tc>
        <w:tc>
          <w:tcPr>
            <w:tcW w:w="840" w:type="dxa"/>
            <w:vAlign w:val="center"/>
          </w:tcPr>
          <w:p w:rsidR="00E84155" w:rsidRDefault="00E84155">
            <w:pPr>
              <w:spacing w:before="20" w:after="20"/>
              <w:jc w:val="right"/>
              <w:rPr>
                <w:b/>
                <w:noProof/>
                <w:sz w:val="20"/>
              </w:rPr>
            </w:pPr>
          </w:p>
        </w:tc>
        <w:tc>
          <w:tcPr>
            <w:tcW w:w="720" w:type="dxa"/>
            <w:vAlign w:val="center"/>
          </w:tcPr>
          <w:p w:rsidR="00E84155" w:rsidRDefault="00E84155">
            <w:pPr>
              <w:spacing w:before="20" w:after="20"/>
              <w:jc w:val="right"/>
              <w:rPr>
                <w:b/>
                <w:noProof/>
                <w:sz w:val="20"/>
              </w:rPr>
            </w:pPr>
          </w:p>
        </w:tc>
        <w:tc>
          <w:tcPr>
            <w:tcW w:w="720" w:type="dxa"/>
            <w:vAlign w:val="center"/>
          </w:tcPr>
          <w:p w:rsidR="00E84155" w:rsidRDefault="00E84155">
            <w:pPr>
              <w:spacing w:before="20" w:after="20"/>
              <w:jc w:val="right"/>
              <w:rPr>
                <w:b/>
                <w:noProof/>
                <w:sz w:val="20"/>
              </w:rPr>
            </w:pPr>
          </w:p>
        </w:tc>
        <w:tc>
          <w:tcPr>
            <w:tcW w:w="960" w:type="dxa"/>
            <w:vAlign w:val="center"/>
          </w:tcPr>
          <w:p w:rsidR="00E84155" w:rsidRDefault="00E84155">
            <w:pPr>
              <w:spacing w:before="20" w:after="20"/>
              <w:jc w:val="right"/>
              <w:rPr>
                <w:b/>
                <w:noProof/>
                <w:sz w:val="20"/>
              </w:rPr>
            </w:pPr>
          </w:p>
        </w:tc>
        <w:tc>
          <w:tcPr>
            <w:tcW w:w="1427" w:type="dxa"/>
            <w:vAlign w:val="center"/>
          </w:tcPr>
          <w:p w:rsidR="00E84155" w:rsidRDefault="00E84155">
            <w:pPr>
              <w:spacing w:before="20" w:after="20"/>
              <w:jc w:val="right"/>
              <w:rPr>
                <w:b/>
                <w:noProof/>
                <w:sz w:val="20"/>
              </w:rPr>
            </w:pPr>
          </w:p>
        </w:tc>
      </w:tr>
      <w:tr w:rsidR="00E84155">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E84155" w:rsidRDefault="00A01F78">
            <w:pPr>
              <w:jc w:val="center"/>
              <w:rPr>
                <w:b/>
                <w:noProof/>
              </w:rPr>
            </w:pPr>
            <w:r>
              <w:rPr>
                <w:b/>
                <w:noProof/>
                <w:sz w:val="22"/>
              </w:rPr>
              <w:t>TOTAL des crédits</w:t>
            </w:r>
            <w:r>
              <w:rPr>
                <w:noProof/>
              </w:rPr>
              <w:br/>
            </w:r>
            <w:r>
              <w:rPr>
                <w:b/>
                <w:noProof/>
                <w:sz w:val="22"/>
              </w:rPr>
              <w:t>pour les RUBRIQUES 1 à 4</w:t>
            </w:r>
            <w:r>
              <w:rPr>
                <w:noProof/>
              </w:rPr>
              <w:br/>
              <w:t>du cadre financier pluriannuel</w:t>
            </w:r>
            <w:r>
              <w:rPr>
                <w:noProof/>
              </w:rPr>
              <w:br/>
            </w:r>
            <w:r>
              <w:rPr>
                <w:noProof/>
                <w:sz w:val="20"/>
              </w:rPr>
              <w:t>(Montant de référence)</w:t>
            </w:r>
          </w:p>
        </w:tc>
        <w:tc>
          <w:tcPr>
            <w:tcW w:w="1440" w:type="dxa"/>
            <w:vAlign w:val="center"/>
          </w:tcPr>
          <w:p w:rsidR="00E84155" w:rsidRDefault="00A01F78">
            <w:pPr>
              <w:rPr>
                <w:noProof/>
                <w:sz w:val="18"/>
              </w:rPr>
            </w:pPr>
            <w:r>
              <w:rPr>
                <w:noProof/>
                <w:sz w:val="18"/>
              </w:rPr>
              <w:t>Engagements</w:t>
            </w:r>
          </w:p>
        </w:tc>
        <w:tc>
          <w:tcPr>
            <w:tcW w:w="654" w:type="dxa"/>
            <w:vAlign w:val="center"/>
          </w:tcPr>
          <w:p w:rsidR="00E84155" w:rsidRDefault="00A01F78">
            <w:pPr>
              <w:jc w:val="center"/>
              <w:rPr>
                <w:noProof/>
                <w:sz w:val="14"/>
              </w:rPr>
            </w:pPr>
            <w:r>
              <w:rPr>
                <w:noProof/>
                <w:sz w:val="14"/>
              </w:rPr>
              <w:t>= 4 + 6</w:t>
            </w:r>
          </w:p>
        </w:tc>
        <w:tc>
          <w:tcPr>
            <w:tcW w:w="1386" w:type="dxa"/>
            <w:vAlign w:val="center"/>
          </w:tcPr>
          <w:p w:rsidR="00E84155" w:rsidRDefault="00E84155">
            <w:pPr>
              <w:spacing w:before="20" w:after="20"/>
              <w:jc w:val="right"/>
              <w:rPr>
                <w:noProof/>
                <w:sz w:val="20"/>
              </w:rPr>
            </w:pPr>
          </w:p>
        </w:tc>
        <w:tc>
          <w:tcPr>
            <w:tcW w:w="960" w:type="dxa"/>
            <w:vAlign w:val="center"/>
          </w:tcPr>
          <w:p w:rsidR="00E84155" w:rsidRDefault="00E84155">
            <w:pPr>
              <w:spacing w:before="20" w:after="20"/>
              <w:jc w:val="right"/>
              <w:rPr>
                <w:noProof/>
                <w:sz w:val="20"/>
              </w:rPr>
            </w:pPr>
          </w:p>
        </w:tc>
        <w:tc>
          <w:tcPr>
            <w:tcW w:w="840" w:type="dxa"/>
            <w:vAlign w:val="center"/>
          </w:tcPr>
          <w:p w:rsidR="00E84155" w:rsidRDefault="00E84155">
            <w:pPr>
              <w:spacing w:before="20" w:after="20"/>
              <w:jc w:val="right"/>
              <w:rPr>
                <w:noProof/>
                <w:sz w:val="20"/>
              </w:rPr>
            </w:pPr>
          </w:p>
        </w:tc>
        <w:tc>
          <w:tcPr>
            <w:tcW w:w="840" w:type="dxa"/>
            <w:vAlign w:val="center"/>
          </w:tcPr>
          <w:p w:rsidR="00E84155" w:rsidRDefault="00E84155">
            <w:pPr>
              <w:spacing w:before="20" w:after="20"/>
              <w:jc w:val="right"/>
              <w:rPr>
                <w:noProof/>
                <w:sz w:val="20"/>
              </w:rPr>
            </w:pPr>
          </w:p>
        </w:tc>
        <w:tc>
          <w:tcPr>
            <w:tcW w:w="720" w:type="dxa"/>
            <w:vAlign w:val="center"/>
          </w:tcPr>
          <w:p w:rsidR="00E84155" w:rsidRDefault="00E84155">
            <w:pPr>
              <w:spacing w:before="20" w:after="20"/>
              <w:jc w:val="right"/>
              <w:rPr>
                <w:noProof/>
                <w:sz w:val="20"/>
              </w:rPr>
            </w:pPr>
          </w:p>
        </w:tc>
        <w:tc>
          <w:tcPr>
            <w:tcW w:w="720" w:type="dxa"/>
            <w:vAlign w:val="center"/>
          </w:tcPr>
          <w:p w:rsidR="00E84155" w:rsidRDefault="00E84155">
            <w:pPr>
              <w:spacing w:before="20" w:after="20"/>
              <w:jc w:val="right"/>
              <w:rPr>
                <w:noProof/>
                <w:sz w:val="20"/>
              </w:rPr>
            </w:pPr>
          </w:p>
        </w:tc>
        <w:tc>
          <w:tcPr>
            <w:tcW w:w="960" w:type="dxa"/>
            <w:vAlign w:val="center"/>
          </w:tcPr>
          <w:p w:rsidR="00E84155" w:rsidRDefault="00E84155">
            <w:pPr>
              <w:spacing w:before="20" w:after="20"/>
              <w:jc w:val="right"/>
              <w:rPr>
                <w:b/>
                <w:noProof/>
                <w:sz w:val="20"/>
              </w:rPr>
            </w:pPr>
          </w:p>
        </w:tc>
        <w:tc>
          <w:tcPr>
            <w:tcW w:w="1427" w:type="dxa"/>
            <w:tcBorders>
              <w:right w:val="single" w:sz="4" w:space="0" w:color="auto"/>
            </w:tcBorders>
            <w:vAlign w:val="center"/>
          </w:tcPr>
          <w:p w:rsidR="00E84155" w:rsidRDefault="00E84155">
            <w:pPr>
              <w:spacing w:before="20" w:after="20"/>
              <w:jc w:val="right"/>
              <w:rPr>
                <w:b/>
                <w:noProof/>
                <w:sz w:val="20"/>
              </w:rPr>
            </w:pPr>
          </w:p>
        </w:tc>
      </w:tr>
      <w:tr w:rsidR="00E84155">
        <w:tc>
          <w:tcPr>
            <w:tcW w:w="3960" w:type="dxa"/>
            <w:vMerge/>
            <w:tcBorders>
              <w:top w:val="single" w:sz="4" w:space="0" w:color="FF0000"/>
              <w:left w:val="single" w:sz="4" w:space="0" w:color="auto"/>
              <w:bottom w:val="single" w:sz="4" w:space="0" w:color="auto"/>
            </w:tcBorders>
            <w:shd w:val="thinDiagStripe" w:color="C0C0C0" w:fill="auto"/>
          </w:tcPr>
          <w:p w:rsidR="00E84155" w:rsidRDefault="00E84155">
            <w:pPr>
              <w:rPr>
                <w:noProof/>
                <w:sz w:val="20"/>
              </w:rPr>
            </w:pPr>
          </w:p>
        </w:tc>
        <w:tc>
          <w:tcPr>
            <w:tcW w:w="1440" w:type="dxa"/>
            <w:tcBorders>
              <w:bottom w:val="single" w:sz="4" w:space="0" w:color="auto"/>
            </w:tcBorders>
            <w:vAlign w:val="center"/>
          </w:tcPr>
          <w:p w:rsidR="00E84155" w:rsidRDefault="00A01F78">
            <w:pPr>
              <w:rPr>
                <w:noProof/>
                <w:sz w:val="18"/>
              </w:rPr>
            </w:pPr>
            <w:r>
              <w:rPr>
                <w:noProof/>
                <w:sz w:val="18"/>
              </w:rPr>
              <w:t>Paiements</w:t>
            </w:r>
          </w:p>
        </w:tc>
        <w:tc>
          <w:tcPr>
            <w:tcW w:w="654" w:type="dxa"/>
            <w:tcBorders>
              <w:bottom w:val="single" w:sz="4" w:space="0" w:color="auto"/>
            </w:tcBorders>
            <w:vAlign w:val="center"/>
          </w:tcPr>
          <w:p w:rsidR="00E84155" w:rsidRDefault="00A01F78">
            <w:pPr>
              <w:jc w:val="center"/>
              <w:rPr>
                <w:noProof/>
                <w:sz w:val="14"/>
              </w:rPr>
            </w:pPr>
            <w:r>
              <w:rPr>
                <w:noProof/>
                <w:sz w:val="14"/>
              </w:rPr>
              <w:t xml:space="preserve">= </w:t>
            </w:r>
            <w:r>
              <w:rPr>
                <w:noProof/>
                <w:sz w:val="14"/>
              </w:rPr>
              <w:t>5 + 6</w:t>
            </w:r>
          </w:p>
        </w:tc>
        <w:tc>
          <w:tcPr>
            <w:tcW w:w="1386" w:type="dxa"/>
            <w:tcBorders>
              <w:bottom w:val="single" w:sz="4" w:space="0" w:color="auto"/>
            </w:tcBorders>
            <w:vAlign w:val="center"/>
          </w:tcPr>
          <w:p w:rsidR="00E84155" w:rsidRDefault="00A01F78">
            <w:pPr>
              <w:spacing w:before="20" w:after="20"/>
              <w:jc w:val="right"/>
              <w:rPr>
                <w:noProof/>
                <w:sz w:val="20"/>
              </w:rPr>
            </w:pPr>
            <w:r>
              <w:rPr>
                <w:noProof/>
                <w:sz w:val="20"/>
              </w:rPr>
              <w:t>0</w:t>
            </w:r>
          </w:p>
        </w:tc>
        <w:tc>
          <w:tcPr>
            <w:tcW w:w="960" w:type="dxa"/>
            <w:tcBorders>
              <w:bottom w:val="single" w:sz="4" w:space="0" w:color="auto"/>
            </w:tcBorders>
            <w:vAlign w:val="center"/>
          </w:tcPr>
          <w:p w:rsidR="00E84155" w:rsidRDefault="00E84155">
            <w:pPr>
              <w:spacing w:before="20" w:after="20"/>
              <w:jc w:val="right"/>
              <w:rPr>
                <w:noProof/>
                <w:sz w:val="20"/>
              </w:rPr>
            </w:pPr>
          </w:p>
        </w:tc>
        <w:tc>
          <w:tcPr>
            <w:tcW w:w="840" w:type="dxa"/>
            <w:tcBorders>
              <w:bottom w:val="single" w:sz="4" w:space="0" w:color="auto"/>
            </w:tcBorders>
            <w:vAlign w:val="center"/>
          </w:tcPr>
          <w:p w:rsidR="00E84155" w:rsidRDefault="00E84155">
            <w:pPr>
              <w:spacing w:before="20" w:after="20"/>
              <w:jc w:val="right"/>
              <w:rPr>
                <w:noProof/>
                <w:sz w:val="20"/>
              </w:rPr>
            </w:pPr>
          </w:p>
        </w:tc>
        <w:tc>
          <w:tcPr>
            <w:tcW w:w="840" w:type="dxa"/>
            <w:tcBorders>
              <w:bottom w:val="single" w:sz="4" w:space="0" w:color="auto"/>
            </w:tcBorders>
            <w:vAlign w:val="center"/>
          </w:tcPr>
          <w:p w:rsidR="00E84155" w:rsidRDefault="00E84155">
            <w:pPr>
              <w:spacing w:before="20" w:after="20"/>
              <w:jc w:val="right"/>
              <w:rPr>
                <w:noProof/>
                <w:sz w:val="20"/>
              </w:rPr>
            </w:pPr>
          </w:p>
        </w:tc>
        <w:tc>
          <w:tcPr>
            <w:tcW w:w="720" w:type="dxa"/>
            <w:tcBorders>
              <w:bottom w:val="single" w:sz="4" w:space="0" w:color="auto"/>
            </w:tcBorders>
            <w:vAlign w:val="center"/>
          </w:tcPr>
          <w:p w:rsidR="00E84155" w:rsidRDefault="00E84155">
            <w:pPr>
              <w:spacing w:before="20" w:after="20"/>
              <w:jc w:val="right"/>
              <w:rPr>
                <w:noProof/>
                <w:sz w:val="20"/>
              </w:rPr>
            </w:pPr>
          </w:p>
        </w:tc>
        <w:tc>
          <w:tcPr>
            <w:tcW w:w="720" w:type="dxa"/>
            <w:tcBorders>
              <w:bottom w:val="single" w:sz="4" w:space="0" w:color="auto"/>
            </w:tcBorders>
            <w:vAlign w:val="center"/>
          </w:tcPr>
          <w:p w:rsidR="00E84155" w:rsidRDefault="00E84155">
            <w:pPr>
              <w:spacing w:before="20" w:after="20"/>
              <w:jc w:val="right"/>
              <w:rPr>
                <w:noProof/>
                <w:sz w:val="20"/>
              </w:rPr>
            </w:pPr>
          </w:p>
        </w:tc>
        <w:tc>
          <w:tcPr>
            <w:tcW w:w="960" w:type="dxa"/>
            <w:tcBorders>
              <w:bottom w:val="single" w:sz="4" w:space="0" w:color="auto"/>
            </w:tcBorders>
            <w:vAlign w:val="center"/>
          </w:tcPr>
          <w:p w:rsidR="00E84155" w:rsidRDefault="00E84155">
            <w:pPr>
              <w:spacing w:before="20" w:after="20"/>
              <w:jc w:val="right"/>
              <w:rPr>
                <w:b/>
                <w:noProof/>
                <w:sz w:val="20"/>
              </w:rPr>
            </w:pPr>
          </w:p>
        </w:tc>
        <w:tc>
          <w:tcPr>
            <w:tcW w:w="1427" w:type="dxa"/>
            <w:tcBorders>
              <w:bottom w:val="single" w:sz="4" w:space="0" w:color="auto"/>
              <w:right w:val="single" w:sz="4" w:space="0" w:color="auto"/>
            </w:tcBorders>
            <w:vAlign w:val="center"/>
          </w:tcPr>
          <w:p w:rsidR="00E84155" w:rsidRDefault="00A01F78">
            <w:pPr>
              <w:spacing w:before="20" w:after="20"/>
              <w:jc w:val="right"/>
              <w:rPr>
                <w:b/>
                <w:noProof/>
                <w:sz w:val="20"/>
              </w:rPr>
            </w:pPr>
            <w:r>
              <w:rPr>
                <w:b/>
                <w:noProof/>
                <w:sz w:val="20"/>
              </w:rPr>
              <w:t>0</w:t>
            </w:r>
          </w:p>
        </w:tc>
      </w:tr>
    </w:tbl>
    <w:p w:rsidR="00E84155" w:rsidRDefault="00E84155">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84155">
        <w:trPr>
          <w:jc w:val="center"/>
        </w:trPr>
        <w:tc>
          <w:tcPr>
            <w:tcW w:w="4744" w:type="dxa"/>
            <w:shd w:val="thinDiagStripe" w:color="C0C0C0" w:fill="auto"/>
            <w:vAlign w:val="center"/>
          </w:tcPr>
          <w:p w:rsidR="00E84155" w:rsidRDefault="00A01F78">
            <w:pPr>
              <w:spacing w:before="60" w:after="60"/>
              <w:jc w:val="center"/>
              <w:rPr>
                <w:b/>
                <w:noProof/>
              </w:rPr>
            </w:pPr>
            <w:r>
              <w:rPr>
                <w:noProof/>
              </w:rPr>
              <w:br w:type="page"/>
            </w:r>
            <w:r>
              <w:rPr>
                <w:b/>
                <w:noProof/>
              </w:rPr>
              <w:t>Rubrique du cadre financier</w:t>
            </w:r>
            <w:r>
              <w:rPr>
                <w:noProof/>
              </w:rPr>
              <w:br/>
            </w:r>
            <w:r>
              <w:rPr>
                <w:b/>
                <w:noProof/>
              </w:rPr>
              <w:t xml:space="preserve">pluriannuel </w:t>
            </w:r>
          </w:p>
        </w:tc>
        <w:tc>
          <w:tcPr>
            <w:tcW w:w="1080" w:type="dxa"/>
            <w:shd w:val="thinDiagStripe" w:color="C0C0C0" w:fill="auto"/>
            <w:vAlign w:val="center"/>
          </w:tcPr>
          <w:p w:rsidR="00E84155" w:rsidRDefault="00A01F78">
            <w:pPr>
              <w:spacing w:before="60" w:after="60"/>
              <w:jc w:val="center"/>
              <w:rPr>
                <w:noProof/>
              </w:rPr>
            </w:pPr>
            <w:r>
              <w:rPr>
                <w:b/>
                <w:noProof/>
                <w:sz w:val="22"/>
              </w:rPr>
              <w:t>5</w:t>
            </w:r>
          </w:p>
        </w:tc>
        <w:tc>
          <w:tcPr>
            <w:tcW w:w="7817" w:type="dxa"/>
            <w:vAlign w:val="center"/>
          </w:tcPr>
          <w:p w:rsidR="00E84155" w:rsidRDefault="00A01F78">
            <w:pPr>
              <w:spacing w:before="60" w:after="60"/>
              <w:rPr>
                <w:noProof/>
              </w:rPr>
            </w:pPr>
            <w:r>
              <w:rPr>
                <w:noProof/>
                <w:sz w:val="22"/>
              </w:rPr>
              <w:t>«Dépenses administratives»</w:t>
            </w:r>
          </w:p>
        </w:tc>
      </w:tr>
    </w:tbl>
    <w:p w:rsidR="00E84155" w:rsidRDefault="00A01F78">
      <w:pPr>
        <w:jc w:val="right"/>
        <w:rPr>
          <w:noProof/>
          <w:sz w:val="20"/>
        </w:rPr>
      </w:pPr>
      <w:r>
        <w:rPr>
          <w:noProof/>
          <w:sz w:val="20"/>
        </w:rPr>
        <w:t>En millions d’EUR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84155">
        <w:tc>
          <w:tcPr>
            <w:tcW w:w="3960" w:type="dxa"/>
            <w:tcBorders>
              <w:top w:val="nil"/>
              <w:left w:val="nil"/>
              <w:right w:val="nil"/>
            </w:tcBorders>
            <w:vAlign w:val="center"/>
          </w:tcPr>
          <w:p w:rsidR="00E84155" w:rsidRDefault="00E84155">
            <w:pPr>
              <w:jc w:val="center"/>
              <w:rPr>
                <w:noProof/>
              </w:rPr>
            </w:pPr>
          </w:p>
        </w:tc>
        <w:tc>
          <w:tcPr>
            <w:tcW w:w="1560" w:type="dxa"/>
            <w:tcBorders>
              <w:top w:val="nil"/>
              <w:left w:val="nil"/>
              <w:right w:val="nil"/>
            </w:tcBorders>
          </w:tcPr>
          <w:p w:rsidR="00E84155" w:rsidRDefault="00E84155">
            <w:pPr>
              <w:rPr>
                <w:noProof/>
                <w:sz w:val="20"/>
              </w:rPr>
            </w:pPr>
          </w:p>
        </w:tc>
        <w:tc>
          <w:tcPr>
            <w:tcW w:w="534" w:type="dxa"/>
            <w:tcBorders>
              <w:top w:val="nil"/>
              <w:left w:val="nil"/>
            </w:tcBorders>
          </w:tcPr>
          <w:p w:rsidR="00E84155" w:rsidRDefault="00E84155">
            <w:pPr>
              <w:jc w:val="center"/>
              <w:rPr>
                <w:noProof/>
                <w:sz w:val="20"/>
              </w:rPr>
            </w:pPr>
          </w:p>
        </w:tc>
        <w:tc>
          <w:tcPr>
            <w:tcW w:w="868" w:type="dxa"/>
            <w:vAlign w:val="center"/>
          </w:tcPr>
          <w:p w:rsidR="00E84155" w:rsidRDefault="00A01F78">
            <w:pPr>
              <w:jc w:val="center"/>
              <w:rPr>
                <w:noProof/>
                <w:sz w:val="20"/>
              </w:rPr>
            </w:pPr>
            <w:r>
              <w:rPr>
                <w:noProof/>
                <w:sz w:val="20"/>
              </w:rPr>
              <w:t>Année</w:t>
            </w:r>
            <w:r>
              <w:rPr>
                <w:noProof/>
              </w:rPr>
              <w:br/>
            </w:r>
            <w:r>
              <w:rPr>
                <w:b/>
                <w:noProof/>
                <w:sz w:val="20"/>
              </w:rPr>
              <w:t>N</w:t>
            </w:r>
          </w:p>
        </w:tc>
        <w:tc>
          <w:tcPr>
            <w:tcW w:w="868" w:type="dxa"/>
            <w:vAlign w:val="center"/>
          </w:tcPr>
          <w:p w:rsidR="00E84155" w:rsidRDefault="00A01F78">
            <w:pPr>
              <w:jc w:val="center"/>
              <w:rPr>
                <w:noProof/>
                <w:sz w:val="20"/>
              </w:rPr>
            </w:pPr>
            <w:r>
              <w:rPr>
                <w:noProof/>
                <w:sz w:val="20"/>
              </w:rPr>
              <w:t>Année</w:t>
            </w:r>
            <w:r>
              <w:rPr>
                <w:noProof/>
              </w:rPr>
              <w:br/>
            </w:r>
            <w:r>
              <w:rPr>
                <w:b/>
                <w:noProof/>
                <w:sz w:val="20"/>
              </w:rPr>
              <w:t>N + 1</w:t>
            </w:r>
          </w:p>
        </w:tc>
        <w:tc>
          <w:tcPr>
            <w:tcW w:w="868" w:type="dxa"/>
            <w:vAlign w:val="center"/>
          </w:tcPr>
          <w:p w:rsidR="00E84155" w:rsidRDefault="00A01F78">
            <w:pPr>
              <w:jc w:val="center"/>
              <w:rPr>
                <w:noProof/>
                <w:sz w:val="20"/>
              </w:rPr>
            </w:pPr>
            <w:r>
              <w:rPr>
                <w:noProof/>
                <w:sz w:val="20"/>
              </w:rPr>
              <w:t>Année</w:t>
            </w:r>
            <w:r>
              <w:rPr>
                <w:noProof/>
              </w:rPr>
              <w:br/>
            </w:r>
            <w:r>
              <w:rPr>
                <w:b/>
                <w:noProof/>
                <w:sz w:val="20"/>
              </w:rPr>
              <w:t>N + 2</w:t>
            </w:r>
          </w:p>
        </w:tc>
        <w:tc>
          <w:tcPr>
            <w:tcW w:w="868" w:type="dxa"/>
            <w:vAlign w:val="center"/>
          </w:tcPr>
          <w:p w:rsidR="00E84155" w:rsidRDefault="00A01F78">
            <w:pPr>
              <w:jc w:val="center"/>
              <w:rPr>
                <w:noProof/>
                <w:sz w:val="20"/>
              </w:rPr>
            </w:pPr>
            <w:r>
              <w:rPr>
                <w:noProof/>
                <w:sz w:val="20"/>
              </w:rPr>
              <w:t>Année</w:t>
            </w:r>
            <w:r>
              <w:rPr>
                <w:noProof/>
              </w:rPr>
              <w:br/>
            </w:r>
            <w:r>
              <w:rPr>
                <w:b/>
                <w:noProof/>
                <w:sz w:val="20"/>
              </w:rPr>
              <w:t>N + 3</w:t>
            </w:r>
          </w:p>
        </w:tc>
        <w:tc>
          <w:tcPr>
            <w:tcW w:w="2604" w:type="dxa"/>
            <w:gridSpan w:val="3"/>
            <w:vAlign w:val="center"/>
          </w:tcPr>
          <w:p w:rsidR="00E84155" w:rsidRDefault="00A01F78">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E84155" w:rsidRDefault="00A01F78">
            <w:pPr>
              <w:jc w:val="center"/>
              <w:rPr>
                <w:b/>
                <w:noProof/>
                <w:sz w:val="20"/>
              </w:rPr>
            </w:pPr>
            <w:r>
              <w:rPr>
                <w:b/>
                <w:noProof/>
                <w:sz w:val="20"/>
              </w:rPr>
              <w:t>TOTAL</w:t>
            </w:r>
          </w:p>
        </w:tc>
      </w:tr>
      <w:tr w:rsidR="00E84155">
        <w:trPr>
          <w:gridAfter w:val="10"/>
          <w:wAfter w:w="9947" w:type="dxa"/>
        </w:trPr>
        <w:tc>
          <w:tcPr>
            <w:tcW w:w="3960" w:type="dxa"/>
            <w:vAlign w:val="center"/>
          </w:tcPr>
          <w:p w:rsidR="00E84155" w:rsidRDefault="00A01F78">
            <w:pPr>
              <w:spacing w:before="60" w:after="60"/>
              <w:jc w:val="center"/>
              <w:rPr>
                <w:noProof/>
              </w:rPr>
            </w:pPr>
            <w:r>
              <w:rPr>
                <w:noProof/>
                <w:sz w:val="22"/>
              </w:rPr>
              <w:t xml:space="preserve">DG: </w:t>
            </w:r>
            <w:r>
              <w:rPr>
                <w:noProof/>
              </w:rPr>
              <w:t>&lt;…….&gt;</w:t>
            </w:r>
          </w:p>
        </w:tc>
      </w:tr>
      <w:tr w:rsidR="00E84155">
        <w:trPr>
          <w:trHeight w:val="313"/>
        </w:trPr>
        <w:tc>
          <w:tcPr>
            <w:tcW w:w="6054" w:type="dxa"/>
            <w:gridSpan w:val="3"/>
            <w:vAlign w:val="center"/>
          </w:tcPr>
          <w:p w:rsidR="00E84155" w:rsidRDefault="00A01F78">
            <w:pPr>
              <w:spacing w:before="20" w:after="20"/>
              <w:rPr>
                <w:noProof/>
              </w:rPr>
            </w:pPr>
            <w:r>
              <w:rPr>
                <w:noProof/>
                <w:sz w:val="22"/>
              </w:rPr>
              <w:sym w:font="Wingdings" w:char="F09F"/>
            </w:r>
            <w:r>
              <w:rPr>
                <w:noProof/>
                <w:sz w:val="22"/>
              </w:rPr>
              <w:t xml:space="preserve"> Ressources humaines</w:t>
            </w: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b/>
                <w:noProof/>
                <w:sz w:val="20"/>
              </w:rPr>
            </w:pPr>
          </w:p>
        </w:tc>
        <w:tc>
          <w:tcPr>
            <w:tcW w:w="1777" w:type="dxa"/>
            <w:vAlign w:val="center"/>
          </w:tcPr>
          <w:p w:rsidR="00E84155" w:rsidRDefault="00E84155">
            <w:pPr>
              <w:spacing w:before="20" w:after="20"/>
              <w:jc w:val="right"/>
              <w:rPr>
                <w:b/>
                <w:noProof/>
                <w:sz w:val="20"/>
              </w:rPr>
            </w:pPr>
          </w:p>
        </w:tc>
      </w:tr>
      <w:tr w:rsidR="00E84155">
        <w:trPr>
          <w:trHeight w:val="351"/>
        </w:trPr>
        <w:tc>
          <w:tcPr>
            <w:tcW w:w="6054" w:type="dxa"/>
            <w:gridSpan w:val="3"/>
            <w:vAlign w:val="center"/>
          </w:tcPr>
          <w:p w:rsidR="00E84155" w:rsidRDefault="00A01F78">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868" w:type="dxa"/>
            <w:vAlign w:val="center"/>
          </w:tcPr>
          <w:p w:rsidR="00E84155" w:rsidRDefault="00E84155">
            <w:pPr>
              <w:spacing w:before="20" w:after="20"/>
              <w:jc w:val="right"/>
              <w:rPr>
                <w:b/>
                <w:noProof/>
                <w:sz w:val="20"/>
              </w:rPr>
            </w:pPr>
          </w:p>
        </w:tc>
        <w:tc>
          <w:tcPr>
            <w:tcW w:w="1777" w:type="dxa"/>
            <w:vAlign w:val="center"/>
          </w:tcPr>
          <w:p w:rsidR="00E84155" w:rsidRDefault="00E84155">
            <w:pPr>
              <w:spacing w:before="20" w:after="20"/>
              <w:jc w:val="right"/>
              <w:rPr>
                <w:b/>
                <w:noProof/>
                <w:sz w:val="20"/>
              </w:rPr>
            </w:pPr>
          </w:p>
        </w:tc>
      </w:tr>
      <w:tr w:rsidR="00E84155">
        <w:tc>
          <w:tcPr>
            <w:tcW w:w="3960" w:type="dxa"/>
            <w:vAlign w:val="center"/>
          </w:tcPr>
          <w:p w:rsidR="00E84155" w:rsidRDefault="00A01F78">
            <w:pPr>
              <w:jc w:val="center"/>
              <w:rPr>
                <w:b/>
                <w:noProof/>
              </w:rPr>
            </w:pPr>
            <w:r>
              <w:rPr>
                <w:b/>
                <w:noProof/>
                <w:sz w:val="22"/>
              </w:rPr>
              <w:t xml:space="preserve">TOTAL DG </w:t>
            </w:r>
            <w:r>
              <w:rPr>
                <w:noProof/>
              </w:rPr>
              <w:t>&lt;…….&gt;</w:t>
            </w:r>
          </w:p>
        </w:tc>
        <w:tc>
          <w:tcPr>
            <w:tcW w:w="2094" w:type="dxa"/>
            <w:gridSpan w:val="2"/>
            <w:vAlign w:val="center"/>
          </w:tcPr>
          <w:p w:rsidR="00E84155" w:rsidRDefault="00A01F78">
            <w:pPr>
              <w:rPr>
                <w:noProof/>
                <w:sz w:val="14"/>
              </w:rPr>
            </w:pPr>
            <w:r>
              <w:rPr>
                <w:noProof/>
                <w:sz w:val="18"/>
              </w:rPr>
              <w:t xml:space="preserve">Crédits </w:t>
            </w: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b/>
                <w:noProof/>
                <w:sz w:val="20"/>
              </w:rPr>
            </w:pPr>
          </w:p>
        </w:tc>
        <w:tc>
          <w:tcPr>
            <w:tcW w:w="1777" w:type="dxa"/>
            <w:vAlign w:val="center"/>
          </w:tcPr>
          <w:p w:rsidR="00E84155" w:rsidRDefault="00E84155">
            <w:pPr>
              <w:spacing w:before="20" w:after="20"/>
              <w:jc w:val="right"/>
              <w:rPr>
                <w:b/>
                <w:noProof/>
                <w:sz w:val="20"/>
              </w:rPr>
            </w:pPr>
          </w:p>
        </w:tc>
      </w:tr>
    </w:tbl>
    <w:p w:rsidR="00E84155" w:rsidRDefault="00E8415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84155">
        <w:tc>
          <w:tcPr>
            <w:tcW w:w="3960" w:type="dxa"/>
            <w:shd w:val="thinDiagStripe" w:color="C0C0C0" w:fill="auto"/>
            <w:vAlign w:val="center"/>
          </w:tcPr>
          <w:p w:rsidR="00E84155" w:rsidRDefault="00A01F78">
            <w:pPr>
              <w:jc w:val="center"/>
              <w:rPr>
                <w:b/>
                <w:noProof/>
              </w:rPr>
            </w:pPr>
            <w:r>
              <w:rPr>
                <w:b/>
                <w:noProof/>
                <w:sz w:val="22"/>
              </w:rPr>
              <w:t>TOTAL des crédits</w:t>
            </w:r>
            <w:r>
              <w:rPr>
                <w:noProof/>
              </w:rPr>
              <w:br/>
            </w:r>
            <w:r>
              <w:rPr>
                <w:b/>
                <w:noProof/>
                <w:sz w:val="22"/>
              </w:rPr>
              <w:t xml:space="preserve">pour la RUBRIQUE </w:t>
            </w:r>
            <w:r>
              <w:rPr>
                <w:b/>
                <w:noProof/>
                <w:sz w:val="22"/>
              </w:rPr>
              <w:t>5</w:t>
            </w:r>
            <w:r>
              <w:rPr>
                <w:noProof/>
              </w:rPr>
              <w:br/>
            </w:r>
            <w:r>
              <w:rPr>
                <w:noProof/>
                <w:sz w:val="22"/>
              </w:rPr>
              <w:t>du cadre financier pluriannuel</w:t>
            </w:r>
            <w:r>
              <w:rPr>
                <w:b/>
                <w:noProof/>
                <w:sz w:val="22"/>
              </w:rPr>
              <w:t xml:space="preserve"> </w:t>
            </w:r>
          </w:p>
        </w:tc>
        <w:tc>
          <w:tcPr>
            <w:tcW w:w="2094" w:type="dxa"/>
            <w:vAlign w:val="center"/>
          </w:tcPr>
          <w:p w:rsidR="00E84155" w:rsidRDefault="00A01F78">
            <w:pPr>
              <w:spacing w:before="40" w:after="40"/>
              <w:rPr>
                <w:noProof/>
              </w:rPr>
            </w:pPr>
            <w:r>
              <w:rPr>
                <w:noProof/>
                <w:sz w:val="18"/>
              </w:rPr>
              <w:t>(Total engagements = Total paiements)</w:t>
            </w: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noProof/>
                <w:sz w:val="20"/>
              </w:rPr>
            </w:pPr>
          </w:p>
        </w:tc>
        <w:tc>
          <w:tcPr>
            <w:tcW w:w="868" w:type="dxa"/>
            <w:vAlign w:val="center"/>
          </w:tcPr>
          <w:p w:rsidR="00E84155" w:rsidRDefault="00E84155">
            <w:pPr>
              <w:spacing w:before="20" w:after="20"/>
              <w:jc w:val="right"/>
              <w:rPr>
                <w:b/>
                <w:noProof/>
                <w:sz w:val="20"/>
              </w:rPr>
            </w:pPr>
          </w:p>
        </w:tc>
        <w:tc>
          <w:tcPr>
            <w:tcW w:w="1777" w:type="dxa"/>
            <w:vAlign w:val="center"/>
          </w:tcPr>
          <w:p w:rsidR="00E84155" w:rsidRDefault="00E84155">
            <w:pPr>
              <w:spacing w:before="20" w:after="20"/>
              <w:jc w:val="right"/>
              <w:rPr>
                <w:b/>
                <w:noProof/>
                <w:sz w:val="20"/>
              </w:rPr>
            </w:pPr>
          </w:p>
        </w:tc>
      </w:tr>
    </w:tbl>
    <w:p w:rsidR="00E84155" w:rsidRDefault="00A01F78">
      <w:pPr>
        <w:jc w:val="right"/>
        <w:rPr>
          <w:noProof/>
          <w:sz w:val="20"/>
        </w:rPr>
      </w:pPr>
      <w:r>
        <w:rPr>
          <w:noProof/>
          <w:sz w:val="20"/>
        </w:rPr>
        <w:t>En millions d’EUR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84155">
        <w:tc>
          <w:tcPr>
            <w:tcW w:w="3960" w:type="dxa"/>
            <w:tcBorders>
              <w:top w:val="nil"/>
              <w:left w:val="nil"/>
              <w:right w:val="nil"/>
            </w:tcBorders>
            <w:vAlign w:val="center"/>
          </w:tcPr>
          <w:p w:rsidR="00E84155" w:rsidRDefault="00E84155">
            <w:pPr>
              <w:jc w:val="center"/>
              <w:rPr>
                <w:noProof/>
              </w:rPr>
            </w:pPr>
          </w:p>
        </w:tc>
        <w:tc>
          <w:tcPr>
            <w:tcW w:w="1560" w:type="dxa"/>
            <w:tcBorders>
              <w:top w:val="nil"/>
              <w:left w:val="nil"/>
              <w:right w:val="nil"/>
            </w:tcBorders>
          </w:tcPr>
          <w:p w:rsidR="00E84155" w:rsidRDefault="00E84155">
            <w:pPr>
              <w:rPr>
                <w:noProof/>
                <w:sz w:val="20"/>
              </w:rPr>
            </w:pPr>
          </w:p>
        </w:tc>
        <w:tc>
          <w:tcPr>
            <w:tcW w:w="534" w:type="dxa"/>
            <w:tcBorders>
              <w:top w:val="nil"/>
              <w:left w:val="nil"/>
            </w:tcBorders>
          </w:tcPr>
          <w:p w:rsidR="00E84155" w:rsidRDefault="00E84155">
            <w:pPr>
              <w:jc w:val="center"/>
              <w:rPr>
                <w:noProof/>
                <w:sz w:val="20"/>
              </w:rPr>
            </w:pPr>
          </w:p>
        </w:tc>
        <w:tc>
          <w:tcPr>
            <w:tcW w:w="868" w:type="dxa"/>
            <w:vAlign w:val="center"/>
          </w:tcPr>
          <w:p w:rsidR="00E84155" w:rsidRDefault="00A01F78">
            <w:pPr>
              <w:jc w:val="center"/>
              <w:rPr>
                <w:noProof/>
                <w:sz w:val="20"/>
              </w:rPr>
            </w:pPr>
            <w:r>
              <w:rPr>
                <w:noProof/>
                <w:sz w:val="20"/>
              </w:rPr>
              <w:t>Année</w:t>
            </w:r>
            <w:r>
              <w:rPr>
                <w:noProof/>
              </w:rPr>
              <w:br/>
            </w:r>
            <w:r>
              <w:rPr>
                <w:b/>
                <w:noProof/>
                <w:sz w:val="20"/>
              </w:rPr>
              <w:t>N</w:t>
            </w:r>
            <w:r>
              <w:rPr>
                <w:rStyle w:val="FootnoteReference"/>
                <w:b/>
                <w:noProof/>
                <w:sz w:val="20"/>
              </w:rPr>
              <w:footnoteReference w:id="22"/>
            </w:r>
          </w:p>
        </w:tc>
        <w:tc>
          <w:tcPr>
            <w:tcW w:w="868" w:type="dxa"/>
            <w:vAlign w:val="center"/>
          </w:tcPr>
          <w:p w:rsidR="00E84155" w:rsidRDefault="00A01F78">
            <w:pPr>
              <w:jc w:val="center"/>
              <w:rPr>
                <w:noProof/>
                <w:sz w:val="20"/>
              </w:rPr>
            </w:pPr>
            <w:r>
              <w:rPr>
                <w:noProof/>
                <w:sz w:val="20"/>
              </w:rPr>
              <w:t>Année</w:t>
            </w:r>
            <w:r>
              <w:rPr>
                <w:noProof/>
              </w:rPr>
              <w:br/>
            </w:r>
            <w:r>
              <w:rPr>
                <w:b/>
                <w:noProof/>
                <w:sz w:val="20"/>
              </w:rPr>
              <w:t>N+1</w:t>
            </w:r>
          </w:p>
        </w:tc>
        <w:tc>
          <w:tcPr>
            <w:tcW w:w="868" w:type="dxa"/>
            <w:vAlign w:val="center"/>
          </w:tcPr>
          <w:p w:rsidR="00E84155" w:rsidRDefault="00A01F78">
            <w:pPr>
              <w:jc w:val="center"/>
              <w:rPr>
                <w:noProof/>
                <w:sz w:val="20"/>
              </w:rPr>
            </w:pPr>
            <w:r>
              <w:rPr>
                <w:noProof/>
                <w:sz w:val="20"/>
              </w:rPr>
              <w:t>Année</w:t>
            </w:r>
            <w:r>
              <w:rPr>
                <w:noProof/>
              </w:rPr>
              <w:br/>
            </w:r>
            <w:r>
              <w:rPr>
                <w:b/>
                <w:noProof/>
                <w:sz w:val="20"/>
              </w:rPr>
              <w:t>N+2</w:t>
            </w:r>
          </w:p>
        </w:tc>
        <w:tc>
          <w:tcPr>
            <w:tcW w:w="868" w:type="dxa"/>
            <w:vAlign w:val="center"/>
          </w:tcPr>
          <w:p w:rsidR="00E84155" w:rsidRDefault="00A01F78">
            <w:pPr>
              <w:jc w:val="center"/>
              <w:rPr>
                <w:noProof/>
                <w:sz w:val="20"/>
              </w:rPr>
            </w:pPr>
            <w:r>
              <w:rPr>
                <w:noProof/>
                <w:sz w:val="20"/>
              </w:rPr>
              <w:t>Année</w:t>
            </w:r>
            <w:r>
              <w:rPr>
                <w:noProof/>
              </w:rPr>
              <w:br/>
            </w:r>
            <w:r>
              <w:rPr>
                <w:b/>
                <w:noProof/>
                <w:sz w:val="20"/>
              </w:rPr>
              <w:t>N+3</w:t>
            </w:r>
          </w:p>
        </w:tc>
        <w:tc>
          <w:tcPr>
            <w:tcW w:w="2604" w:type="dxa"/>
            <w:gridSpan w:val="3"/>
            <w:vAlign w:val="center"/>
          </w:tcPr>
          <w:p w:rsidR="00E84155" w:rsidRDefault="00A01F78">
            <w:pPr>
              <w:jc w:val="center"/>
              <w:rPr>
                <w:b/>
                <w:noProof/>
                <w:sz w:val="18"/>
              </w:rPr>
            </w:pPr>
            <w:r>
              <w:rPr>
                <w:noProof/>
                <w:sz w:val="18"/>
              </w:rPr>
              <w:t>Insérer autant d'années que nécessaire, pour refléter la durée de l'incidence (cf. point 1.6)</w:t>
            </w:r>
          </w:p>
        </w:tc>
        <w:tc>
          <w:tcPr>
            <w:tcW w:w="1777" w:type="dxa"/>
            <w:vAlign w:val="center"/>
          </w:tcPr>
          <w:p w:rsidR="00E84155" w:rsidRDefault="00A01F78">
            <w:pPr>
              <w:jc w:val="center"/>
              <w:rPr>
                <w:b/>
                <w:noProof/>
                <w:sz w:val="20"/>
              </w:rPr>
            </w:pPr>
            <w:r>
              <w:rPr>
                <w:b/>
                <w:noProof/>
                <w:sz w:val="20"/>
              </w:rPr>
              <w:t>TOTAL</w:t>
            </w:r>
          </w:p>
        </w:tc>
      </w:tr>
      <w:tr w:rsidR="00E84155">
        <w:tc>
          <w:tcPr>
            <w:tcW w:w="3960" w:type="dxa"/>
            <w:vMerge w:val="restart"/>
            <w:shd w:val="clear" w:color="auto" w:fill="C0C0C0"/>
            <w:vAlign w:val="center"/>
          </w:tcPr>
          <w:p w:rsidR="00E84155" w:rsidRDefault="00A01F78">
            <w:pPr>
              <w:jc w:val="center"/>
              <w:rPr>
                <w:b/>
                <w:noProof/>
              </w:rPr>
            </w:pPr>
            <w:r>
              <w:rPr>
                <w:b/>
                <w:noProof/>
                <w:sz w:val="22"/>
              </w:rPr>
              <w:t>TOTAL des crédits</w:t>
            </w:r>
            <w:r>
              <w:rPr>
                <w:noProof/>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E84155" w:rsidRDefault="00A01F78">
            <w:pPr>
              <w:rPr>
                <w:noProof/>
                <w:sz w:val="14"/>
              </w:rPr>
            </w:pPr>
            <w:r>
              <w:rPr>
                <w:noProof/>
                <w:sz w:val="18"/>
              </w:rPr>
              <w:t>Engagements</w:t>
            </w: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b/>
                <w:noProof/>
                <w:sz w:val="20"/>
              </w:rPr>
            </w:pPr>
          </w:p>
        </w:tc>
        <w:tc>
          <w:tcPr>
            <w:tcW w:w="1777" w:type="dxa"/>
            <w:vAlign w:val="center"/>
          </w:tcPr>
          <w:p w:rsidR="00E84155" w:rsidRDefault="00E84155">
            <w:pPr>
              <w:spacing w:before="60" w:after="60"/>
              <w:jc w:val="right"/>
              <w:rPr>
                <w:b/>
                <w:noProof/>
                <w:sz w:val="20"/>
              </w:rPr>
            </w:pPr>
          </w:p>
        </w:tc>
      </w:tr>
      <w:tr w:rsidR="00E84155">
        <w:tc>
          <w:tcPr>
            <w:tcW w:w="3960" w:type="dxa"/>
            <w:vMerge/>
            <w:shd w:val="clear" w:color="auto" w:fill="C0C0C0"/>
          </w:tcPr>
          <w:p w:rsidR="00E84155" w:rsidRDefault="00E84155">
            <w:pPr>
              <w:rPr>
                <w:noProof/>
                <w:sz w:val="20"/>
              </w:rPr>
            </w:pPr>
          </w:p>
        </w:tc>
        <w:tc>
          <w:tcPr>
            <w:tcW w:w="2094" w:type="dxa"/>
            <w:gridSpan w:val="2"/>
            <w:vAlign w:val="center"/>
          </w:tcPr>
          <w:p w:rsidR="00E84155" w:rsidRDefault="00A01F78">
            <w:pPr>
              <w:rPr>
                <w:noProof/>
                <w:sz w:val="14"/>
              </w:rPr>
            </w:pPr>
            <w:r>
              <w:rPr>
                <w:noProof/>
                <w:sz w:val="18"/>
              </w:rPr>
              <w:t>Paiements</w:t>
            </w: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noProof/>
                <w:sz w:val="20"/>
              </w:rPr>
            </w:pPr>
          </w:p>
        </w:tc>
        <w:tc>
          <w:tcPr>
            <w:tcW w:w="868" w:type="dxa"/>
            <w:vAlign w:val="center"/>
          </w:tcPr>
          <w:p w:rsidR="00E84155" w:rsidRDefault="00E84155">
            <w:pPr>
              <w:spacing w:before="60" w:after="60"/>
              <w:jc w:val="right"/>
              <w:rPr>
                <w:b/>
                <w:noProof/>
                <w:sz w:val="20"/>
              </w:rPr>
            </w:pPr>
          </w:p>
        </w:tc>
        <w:tc>
          <w:tcPr>
            <w:tcW w:w="1777" w:type="dxa"/>
            <w:vAlign w:val="center"/>
          </w:tcPr>
          <w:p w:rsidR="00E84155" w:rsidRDefault="00E84155">
            <w:pPr>
              <w:spacing w:before="60" w:after="60"/>
              <w:jc w:val="right"/>
              <w:rPr>
                <w:b/>
                <w:noProof/>
                <w:sz w:val="20"/>
              </w:rPr>
            </w:pPr>
          </w:p>
        </w:tc>
      </w:tr>
    </w:tbl>
    <w:p w:rsidR="00E84155" w:rsidRDefault="00E84155">
      <w:pPr>
        <w:rPr>
          <w:noProof/>
        </w:rPr>
        <w:sectPr w:rsidR="00E84155" w:rsidSect="00A01F78">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E84155" w:rsidRDefault="00A01F78">
      <w:pPr>
        <w:pStyle w:val="ManualHeading3"/>
        <w:rPr>
          <w:bCs/>
          <w:noProof/>
          <w:szCs w:val="24"/>
        </w:rPr>
      </w:pPr>
      <w:r>
        <w:rPr>
          <w:noProof/>
        </w:rPr>
        <w:t>3.2.2.</w:t>
      </w:r>
      <w:r>
        <w:rPr>
          <w:noProof/>
        </w:rPr>
        <w:tab/>
      </w:r>
      <w:r>
        <w:rPr>
          <w:noProof/>
        </w:rPr>
        <w:t xml:space="preserve">Incidence estimée sur les crédits opérationnels </w:t>
      </w:r>
    </w:p>
    <w:p w:rsidR="00E84155" w:rsidRDefault="00A01F78">
      <w:pPr>
        <w:pStyle w:val="ListDash1"/>
        <w:rPr>
          <w:noProof/>
        </w:rPr>
      </w:pPr>
      <w:r>
        <w:rPr>
          <w:noProof/>
        </w:rPr>
        <w:sym w:font="Wingdings" w:char="F0A8"/>
      </w:r>
      <w:r>
        <w:rPr>
          <w:noProof/>
        </w:rPr>
        <w:tab/>
        <w:t xml:space="preserve">La proposition/l'initiative n'engendre pas l'utilisation de crédits opérationnels </w:t>
      </w:r>
    </w:p>
    <w:p w:rsidR="00E84155" w:rsidRDefault="00A01F78">
      <w:pPr>
        <w:pStyle w:val="ListDash1"/>
        <w:rPr>
          <w:noProof/>
        </w:rPr>
      </w:pPr>
      <w:r>
        <w:rPr>
          <w:noProof/>
        </w:rPr>
        <w:sym w:font="Wingdings" w:char="F078"/>
      </w:r>
      <w:r>
        <w:rPr>
          <w:noProof/>
        </w:rPr>
        <w:tab/>
        <w:t>La proposition/l'initiative engendre l'utilisation de crédits opérationnels, comme expliqué ci-après:</w:t>
      </w:r>
    </w:p>
    <w:p w:rsidR="00E84155" w:rsidRDefault="00A01F78">
      <w:pPr>
        <w:jc w:val="right"/>
        <w:rPr>
          <w:noProof/>
          <w:sz w:val="20"/>
        </w:rPr>
      </w:pPr>
      <w:r>
        <w:rPr>
          <w:noProof/>
          <w:sz w:val="20"/>
        </w:rPr>
        <w:t>Crédits d’engageme</w:t>
      </w:r>
      <w:r>
        <w:rPr>
          <w:noProof/>
          <w:sz w:val="20"/>
        </w:rPr>
        <w:t>nt en millions d’EUR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84155">
        <w:trPr>
          <w:jc w:val="center"/>
        </w:trPr>
        <w:tc>
          <w:tcPr>
            <w:tcW w:w="1423" w:type="dxa"/>
            <w:vMerge w:val="restart"/>
            <w:vAlign w:val="center"/>
          </w:tcPr>
          <w:p w:rsidR="00E84155" w:rsidRDefault="00A01F78">
            <w:pPr>
              <w:ind w:right="-29"/>
              <w:jc w:val="center"/>
              <w:rPr>
                <w:b/>
                <w:noProof/>
                <w:sz w:val="18"/>
                <w:szCs w:val="18"/>
              </w:rPr>
            </w:pPr>
            <w:r>
              <w:rPr>
                <w:b/>
                <w:noProof/>
                <w:sz w:val="18"/>
              </w:rPr>
              <w:t xml:space="preserve">Indiquer les objectifs et les réalisations </w:t>
            </w:r>
          </w:p>
          <w:p w:rsidR="00E84155" w:rsidRDefault="00E84155">
            <w:pPr>
              <w:ind w:right="-29"/>
              <w:jc w:val="center"/>
              <w:rPr>
                <w:b/>
                <w:noProof/>
                <w:sz w:val="18"/>
                <w:szCs w:val="18"/>
              </w:rPr>
            </w:pPr>
          </w:p>
          <w:p w:rsidR="00E84155" w:rsidRDefault="00A01F78">
            <w:pPr>
              <w:ind w:right="-29"/>
              <w:jc w:val="center"/>
              <w:rPr>
                <w:noProof/>
                <w:sz w:val="18"/>
                <w:szCs w:val="18"/>
              </w:rPr>
            </w:pPr>
            <w:r>
              <w:rPr>
                <w:noProof/>
                <w:sz w:val="18"/>
              </w:rPr>
              <w:sym w:font="Wingdings" w:char="F0F2"/>
            </w:r>
          </w:p>
        </w:tc>
        <w:tc>
          <w:tcPr>
            <w:tcW w:w="720" w:type="dxa"/>
            <w:vAlign w:val="center"/>
          </w:tcPr>
          <w:p w:rsidR="00E84155" w:rsidRDefault="00E84155">
            <w:pPr>
              <w:ind w:right="-29"/>
              <w:jc w:val="center"/>
              <w:rPr>
                <w:noProof/>
                <w:sz w:val="18"/>
                <w:szCs w:val="18"/>
              </w:rPr>
            </w:pPr>
          </w:p>
        </w:tc>
        <w:tc>
          <w:tcPr>
            <w:tcW w:w="701" w:type="dxa"/>
            <w:vAlign w:val="center"/>
          </w:tcPr>
          <w:p w:rsidR="00E84155" w:rsidRDefault="00E84155">
            <w:pPr>
              <w:ind w:right="-29"/>
              <w:jc w:val="center"/>
              <w:rPr>
                <w:noProof/>
                <w:sz w:val="18"/>
                <w:szCs w:val="18"/>
              </w:rPr>
            </w:pPr>
          </w:p>
        </w:tc>
        <w:tc>
          <w:tcPr>
            <w:tcW w:w="1224" w:type="dxa"/>
            <w:gridSpan w:val="2"/>
            <w:tcBorders>
              <w:left w:val="nil"/>
            </w:tcBorders>
            <w:vAlign w:val="center"/>
          </w:tcPr>
          <w:p w:rsidR="00E84155" w:rsidRDefault="00A01F78">
            <w:pPr>
              <w:ind w:right="-29"/>
              <w:jc w:val="center"/>
              <w:rPr>
                <w:noProof/>
                <w:sz w:val="18"/>
                <w:szCs w:val="18"/>
              </w:rPr>
            </w:pPr>
            <w:r>
              <w:rPr>
                <w:noProof/>
                <w:sz w:val="18"/>
              </w:rPr>
              <w:t>Année</w:t>
            </w:r>
            <w:r>
              <w:rPr>
                <w:noProof/>
              </w:rPr>
              <w:br/>
            </w:r>
            <w:r>
              <w:rPr>
                <w:b/>
                <w:noProof/>
                <w:sz w:val="18"/>
              </w:rPr>
              <w:t>N</w:t>
            </w:r>
          </w:p>
        </w:tc>
        <w:tc>
          <w:tcPr>
            <w:tcW w:w="1260" w:type="dxa"/>
            <w:gridSpan w:val="2"/>
            <w:vAlign w:val="center"/>
          </w:tcPr>
          <w:p w:rsidR="00E84155" w:rsidRDefault="00A01F78">
            <w:pPr>
              <w:ind w:right="-29"/>
              <w:jc w:val="center"/>
              <w:rPr>
                <w:noProof/>
                <w:sz w:val="18"/>
                <w:szCs w:val="18"/>
              </w:rPr>
            </w:pPr>
            <w:r>
              <w:rPr>
                <w:noProof/>
                <w:sz w:val="18"/>
              </w:rPr>
              <w:t>Année</w:t>
            </w:r>
            <w:r>
              <w:rPr>
                <w:noProof/>
              </w:rPr>
              <w:br/>
            </w:r>
            <w:r>
              <w:rPr>
                <w:b/>
                <w:noProof/>
                <w:sz w:val="18"/>
              </w:rPr>
              <w:t>N + 1</w:t>
            </w:r>
          </w:p>
        </w:tc>
        <w:tc>
          <w:tcPr>
            <w:tcW w:w="1440" w:type="dxa"/>
            <w:gridSpan w:val="2"/>
            <w:vAlign w:val="center"/>
          </w:tcPr>
          <w:p w:rsidR="00E84155" w:rsidRDefault="00A01F78">
            <w:pPr>
              <w:ind w:right="-29"/>
              <w:jc w:val="center"/>
              <w:rPr>
                <w:noProof/>
                <w:sz w:val="18"/>
                <w:szCs w:val="18"/>
              </w:rPr>
            </w:pPr>
            <w:r>
              <w:rPr>
                <w:noProof/>
                <w:sz w:val="18"/>
              </w:rPr>
              <w:t>Année</w:t>
            </w:r>
            <w:r>
              <w:rPr>
                <w:noProof/>
              </w:rPr>
              <w:br/>
            </w:r>
            <w:r>
              <w:rPr>
                <w:b/>
                <w:noProof/>
                <w:sz w:val="18"/>
              </w:rPr>
              <w:t>N + 2</w:t>
            </w:r>
          </w:p>
        </w:tc>
        <w:tc>
          <w:tcPr>
            <w:tcW w:w="1620" w:type="dxa"/>
            <w:gridSpan w:val="3"/>
            <w:vAlign w:val="center"/>
          </w:tcPr>
          <w:p w:rsidR="00E84155" w:rsidRDefault="00A01F78">
            <w:pPr>
              <w:ind w:right="-29"/>
              <w:jc w:val="center"/>
              <w:rPr>
                <w:noProof/>
                <w:sz w:val="18"/>
                <w:szCs w:val="18"/>
              </w:rPr>
            </w:pPr>
            <w:r>
              <w:rPr>
                <w:noProof/>
                <w:sz w:val="18"/>
              </w:rPr>
              <w:t>Année</w:t>
            </w:r>
            <w:r>
              <w:rPr>
                <w:noProof/>
              </w:rPr>
              <w:br/>
            </w:r>
            <w:r>
              <w:rPr>
                <w:b/>
                <w:noProof/>
                <w:sz w:val="18"/>
              </w:rPr>
              <w:t>N + 3</w:t>
            </w:r>
          </w:p>
        </w:tc>
        <w:tc>
          <w:tcPr>
            <w:tcW w:w="3600" w:type="dxa"/>
            <w:gridSpan w:val="6"/>
            <w:vAlign w:val="center"/>
          </w:tcPr>
          <w:p w:rsidR="00E84155" w:rsidRDefault="00A01F78">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E84155" w:rsidRDefault="00A01F78">
            <w:pPr>
              <w:ind w:right="-29"/>
              <w:jc w:val="center"/>
              <w:rPr>
                <w:noProof/>
                <w:sz w:val="18"/>
                <w:szCs w:val="18"/>
              </w:rPr>
            </w:pPr>
            <w:r>
              <w:rPr>
                <w:b/>
                <w:noProof/>
                <w:sz w:val="18"/>
              </w:rPr>
              <w:t>TOTAL</w:t>
            </w:r>
          </w:p>
        </w:tc>
      </w:tr>
      <w:tr w:rsidR="00E84155">
        <w:trPr>
          <w:jc w:val="center"/>
        </w:trPr>
        <w:tc>
          <w:tcPr>
            <w:tcW w:w="1423" w:type="dxa"/>
            <w:vMerge/>
            <w:vAlign w:val="center"/>
          </w:tcPr>
          <w:p w:rsidR="00E84155" w:rsidRDefault="00E84155">
            <w:pPr>
              <w:ind w:right="-29"/>
              <w:jc w:val="center"/>
              <w:rPr>
                <w:noProof/>
                <w:sz w:val="18"/>
                <w:szCs w:val="18"/>
              </w:rPr>
            </w:pPr>
          </w:p>
        </w:tc>
        <w:tc>
          <w:tcPr>
            <w:tcW w:w="12185" w:type="dxa"/>
            <w:gridSpan w:val="19"/>
            <w:vAlign w:val="center"/>
          </w:tcPr>
          <w:p w:rsidR="00E84155" w:rsidRDefault="00A01F78">
            <w:pPr>
              <w:spacing w:before="60" w:after="60"/>
              <w:ind w:right="-29"/>
              <w:jc w:val="center"/>
              <w:rPr>
                <w:noProof/>
                <w:sz w:val="18"/>
                <w:szCs w:val="18"/>
              </w:rPr>
            </w:pPr>
            <w:r>
              <w:rPr>
                <w:b/>
                <w:noProof/>
                <w:sz w:val="18"/>
              </w:rPr>
              <w:t xml:space="preserve">RÉALISATIONS </w:t>
            </w:r>
            <w:r>
              <w:rPr>
                <w:b/>
                <w:noProof/>
                <w:sz w:val="18"/>
              </w:rPr>
              <w:t>(outputs)</w:t>
            </w:r>
          </w:p>
        </w:tc>
      </w:tr>
      <w:tr w:rsidR="00E84155">
        <w:trPr>
          <w:cantSplit/>
          <w:trHeight w:val="1134"/>
          <w:jc w:val="center"/>
        </w:trPr>
        <w:tc>
          <w:tcPr>
            <w:tcW w:w="1423" w:type="dxa"/>
            <w:vMerge/>
            <w:vAlign w:val="center"/>
          </w:tcPr>
          <w:p w:rsidR="00E84155" w:rsidRDefault="00E84155">
            <w:pPr>
              <w:rPr>
                <w:noProof/>
                <w:sz w:val="18"/>
                <w:szCs w:val="18"/>
              </w:rPr>
            </w:pPr>
          </w:p>
        </w:tc>
        <w:tc>
          <w:tcPr>
            <w:tcW w:w="720" w:type="dxa"/>
            <w:vAlign w:val="center"/>
          </w:tcPr>
          <w:p w:rsidR="00E84155" w:rsidRDefault="00A01F78">
            <w:pPr>
              <w:jc w:val="center"/>
              <w:rPr>
                <w:noProof/>
                <w:sz w:val="18"/>
                <w:szCs w:val="18"/>
              </w:rPr>
            </w:pPr>
            <w:r>
              <w:rPr>
                <w:noProof/>
                <w:sz w:val="18"/>
              </w:rPr>
              <w:t>Type</w:t>
            </w:r>
            <w:r>
              <w:rPr>
                <w:rStyle w:val="FootnoteReference"/>
                <w:noProof/>
                <w:sz w:val="18"/>
              </w:rPr>
              <w:footnoteReference w:id="23"/>
            </w:r>
          </w:p>
          <w:p w:rsidR="00E84155" w:rsidRDefault="00E84155">
            <w:pPr>
              <w:spacing w:before="0" w:after="0"/>
              <w:jc w:val="center"/>
              <w:rPr>
                <w:noProof/>
                <w:sz w:val="18"/>
                <w:szCs w:val="18"/>
              </w:rPr>
            </w:pPr>
          </w:p>
        </w:tc>
        <w:tc>
          <w:tcPr>
            <w:tcW w:w="701" w:type="dxa"/>
            <w:vAlign w:val="center"/>
          </w:tcPr>
          <w:p w:rsidR="00E84155" w:rsidRDefault="00A01F78">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gridSpan w:val="2"/>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648"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84155" w:rsidRDefault="00A01F78">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E84155" w:rsidRDefault="00A01F78">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E84155" w:rsidRDefault="00A01F78">
            <w:pPr>
              <w:jc w:val="center"/>
              <w:rPr>
                <w:noProof/>
                <w:sz w:val="18"/>
                <w:szCs w:val="18"/>
              </w:rPr>
            </w:pPr>
            <w:r>
              <w:rPr>
                <w:noProof/>
                <w:sz w:val="18"/>
              </w:rPr>
              <w:t>Coût total</w:t>
            </w:r>
          </w:p>
        </w:tc>
      </w:tr>
      <w:tr w:rsidR="00E84155">
        <w:trPr>
          <w:jc w:val="center"/>
        </w:trPr>
        <w:tc>
          <w:tcPr>
            <w:tcW w:w="2844" w:type="dxa"/>
            <w:gridSpan w:val="3"/>
            <w:vAlign w:val="center"/>
          </w:tcPr>
          <w:p w:rsidR="00E84155" w:rsidRDefault="00A01F78">
            <w:pPr>
              <w:spacing w:before="60" w:after="60"/>
              <w:ind w:right="-29"/>
              <w:jc w:val="center"/>
              <w:rPr>
                <w:noProof/>
                <w:sz w:val="18"/>
                <w:szCs w:val="18"/>
              </w:rPr>
            </w:pPr>
            <w:r>
              <w:rPr>
                <w:noProof/>
                <w:sz w:val="18"/>
              </w:rPr>
              <w:t>OBJECTIF SPÉCIFIQUE n° 1</w:t>
            </w:r>
            <w:r>
              <w:rPr>
                <w:rStyle w:val="FootnoteReference"/>
                <w:noProof/>
                <w:sz w:val="18"/>
              </w:rPr>
              <w:footnoteReference w:id="24"/>
            </w:r>
            <w:r>
              <w:rPr>
                <w:noProof/>
                <w:sz w:val="18"/>
              </w:rPr>
              <w:t>…</w:t>
            </w:r>
          </w:p>
        </w:tc>
        <w:tc>
          <w:tcPr>
            <w:tcW w:w="504"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90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gridSpan w:val="2"/>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648" w:type="dxa"/>
            <w:tcBorders>
              <w:top w:val="nil"/>
              <w:left w:val="nil"/>
              <w:bottom w:val="nil"/>
              <w:right w:val="nil"/>
            </w:tcBorders>
          </w:tcPr>
          <w:p w:rsidR="00E84155" w:rsidRDefault="00E84155">
            <w:pPr>
              <w:spacing w:before="60" w:after="60"/>
              <w:ind w:right="-29"/>
              <w:jc w:val="center"/>
              <w:rPr>
                <w:noProof/>
                <w:sz w:val="18"/>
                <w:szCs w:val="18"/>
              </w:rPr>
            </w:pPr>
          </w:p>
        </w:tc>
        <w:tc>
          <w:tcPr>
            <w:tcW w:w="432"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900" w:type="dxa"/>
            <w:tcBorders>
              <w:top w:val="nil"/>
              <w:left w:val="nil"/>
              <w:bottom w:val="nil"/>
              <w:right w:val="nil"/>
            </w:tcBorders>
          </w:tcPr>
          <w:p w:rsidR="00E84155" w:rsidRDefault="00E84155">
            <w:pPr>
              <w:spacing w:before="60" w:after="60"/>
              <w:ind w:right="-29"/>
              <w:jc w:val="center"/>
              <w:rPr>
                <w:noProof/>
                <w:sz w:val="18"/>
                <w:szCs w:val="18"/>
              </w:rPr>
            </w:pPr>
          </w:p>
        </w:tc>
      </w:tr>
      <w:tr w:rsidR="00E84155">
        <w:trPr>
          <w:trHeight w:hRule="exact" w:val="369"/>
          <w:jc w:val="center"/>
        </w:trPr>
        <w:tc>
          <w:tcPr>
            <w:tcW w:w="1423" w:type="dxa"/>
          </w:tcPr>
          <w:p w:rsidR="00E84155" w:rsidRDefault="00A01F78">
            <w:pPr>
              <w:ind w:right="-29"/>
              <w:jc w:val="center"/>
              <w:rPr>
                <w:noProof/>
                <w:sz w:val="18"/>
                <w:szCs w:val="18"/>
              </w:rPr>
            </w:pPr>
            <w:r>
              <w:rPr>
                <w:noProof/>
                <w:sz w:val="18"/>
              </w:rPr>
              <w:t>— Réalisation</w:t>
            </w:r>
          </w:p>
        </w:tc>
        <w:tc>
          <w:tcPr>
            <w:tcW w:w="720" w:type="dxa"/>
          </w:tcPr>
          <w:p w:rsidR="00E84155" w:rsidRDefault="00E84155">
            <w:pPr>
              <w:ind w:right="-29"/>
              <w:jc w:val="center"/>
              <w:rPr>
                <w:noProof/>
                <w:sz w:val="18"/>
                <w:szCs w:val="18"/>
              </w:rPr>
            </w:pPr>
          </w:p>
        </w:tc>
        <w:tc>
          <w:tcPr>
            <w:tcW w:w="701" w:type="dxa"/>
          </w:tcPr>
          <w:p w:rsidR="00E84155" w:rsidRDefault="00E84155">
            <w:pPr>
              <w:ind w:right="-29"/>
              <w:jc w:val="center"/>
              <w:rPr>
                <w:noProof/>
                <w:sz w:val="18"/>
                <w:szCs w:val="18"/>
              </w:rPr>
            </w:pPr>
          </w:p>
        </w:tc>
        <w:tc>
          <w:tcPr>
            <w:tcW w:w="504"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72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900" w:type="dxa"/>
            <w:tcBorders>
              <w:right w:val="dashSmallGap" w:sz="4" w:space="0" w:color="auto"/>
            </w:tcBorders>
          </w:tcPr>
          <w:p w:rsidR="00E84155" w:rsidRDefault="00E84155">
            <w:pPr>
              <w:ind w:right="-29"/>
              <w:jc w:val="center"/>
              <w:rPr>
                <w:noProof/>
                <w:sz w:val="18"/>
                <w:szCs w:val="18"/>
              </w:rPr>
            </w:pPr>
          </w:p>
        </w:tc>
        <w:tc>
          <w:tcPr>
            <w:tcW w:w="720" w:type="dxa"/>
            <w:gridSpan w:val="2"/>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648" w:type="dxa"/>
            <w:tcBorders>
              <w:left w:val="dashSmallGap" w:sz="4" w:space="0" w:color="auto"/>
            </w:tcBorders>
          </w:tcPr>
          <w:p w:rsidR="00E84155" w:rsidRDefault="00E84155">
            <w:pPr>
              <w:ind w:right="-29"/>
              <w:jc w:val="center"/>
              <w:rPr>
                <w:noProof/>
                <w:sz w:val="18"/>
                <w:szCs w:val="18"/>
              </w:rPr>
            </w:pPr>
          </w:p>
        </w:tc>
        <w:tc>
          <w:tcPr>
            <w:tcW w:w="432"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r>
      <w:tr w:rsidR="00E84155">
        <w:trPr>
          <w:trHeight w:hRule="exact" w:val="369"/>
          <w:jc w:val="center"/>
        </w:trPr>
        <w:tc>
          <w:tcPr>
            <w:tcW w:w="1423" w:type="dxa"/>
          </w:tcPr>
          <w:p w:rsidR="00E84155" w:rsidRDefault="00A01F78">
            <w:pPr>
              <w:ind w:right="-29"/>
              <w:jc w:val="center"/>
              <w:rPr>
                <w:noProof/>
                <w:sz w:val="18"/>
                <w:szCs w:val="18"/>
              </w:rPr>
            </w:pPr>
            <w:r>
              <w:rPr>
                <w:noProof/>
                <w:sz w:val="18"/>
              </w:rPr>
              <w:t>— Réalisation</w:t>
            </w:r>
          </w:p>
        </w:tc>
        <w:tc>
          <w:tcPr>
            <w:tcW w:w="720" w:type="dxa"/>
          </w:tcPr>
          <w:p w:rsidR="00E84155" w:rsidRDefault="00E84155">
            <w:pPr>
              <w:ind w:right="-29"/>
              <w:jc w:val="center"/>
              <w:rPr>
                <w:noProof/>
                <w:sz w:val="18"/>
                <w:szCs w:val="18"/>
              </w:rPr>
            </w:pPr>
          </w:p>
        </w:tc>
        <w:tc>
          <w:tcPr>
            <w:tcW w:w="701" w:type="dxa"/>
          </w:tcPr>
          <w:p w:rsidR="00E84155" w:rsidRDefault="00E84155">
            <w:pPr>
              <w:ind w:right="-29"/>
              <w:jc w:val="center"/>
              <w:rPr>
                <w:noProof/>
                <w:sz w:val="18"/>
                <w:szCs w:val="18"/>
              </w:rPr>
            </w:pPr>
          </w:p>
        </w:tc>
        <w:tc>
          <w:tcPr>
            <w:tcW w:w="504"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72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900" w:type="dxa"/>
            <w:tcBorders>
              <w:right w:val="dashSmallGap" w:sz="4" w:space="0" w:color="auto"/>
            </w:tcBorders>
          </w:tcPr>
          <w:p w:rsidR="00E84155" w:rsidRDefault="00E84155">
            <w:pPr>
              <w:ind w:right="-29"/>
              <w:jc w:val="center"/>
              <w:rPr>
                <w:noProof/>
                <w:sz w:val="18"/>
                <w:szCs w:val="18"/>
              </w:rPr>
            </w:pPr>
          </w:p>
        </w:tc>
        <w:tc>
          <w:tcPr>
            <w:tcW w:w="720" w:type="dxa"/>
            <w:gridSpan w:val="2"/>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648" w:type="dxa"/>
            <w:tcBorders>
              <w:left w:val="dashSmallGap" w:sz="4" w:space="0" w:color="auto"/>
            </w:tcBorders>
          </w:tcPr>
          <w:p w:rsidR="00E84155" w:rsidRDefault="00E84155">
            <w:pPr>
              <w:ind w:right="-29"/>
              <w:jc w:val="center"/>
              <w:rPr>
                <w:noProof/>
                <w:sz w:val="18"/>
                <w:szCs w:val="18"/>
              </w:rPr>
            </w:pPr>
          </w:p>
        </w:tc>
        <w:tc>
          <w:tcPr>
            <w:tcW w:w="432"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540" w:type="dxa"/>
            <w:tcBorders>
              <w:right w:val="dashSmallGap" w:sz="4" w:space="0" w:color="auto"/>
            </w:tcBorders>
          </w:tcPr>
          <w:p w:rsidR="00E84155" w:rsidRDefault="00E84155">
            <w:pPr>
              <w:ind w:right="-29"/>
              <w:jc w:val="center"/>
              <w:rPr>
                <w:noProof/>
                <w:sz w:val="18"/>
                <w:szCs w:val="18"/>
              </w:rPr>
            </w:pPr>
          </w:p>
        </w:tc>
        <w:tc>
          <w:tcPr>
            <w:tcW w:w="720" w:type="dxa"/>
            <w:tcBorders>
              <w:left w:val="dashSmallGap" w:sz="4" w:space="0" w:color="auto"/>
            </w:tcBorders>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r>
      <w:tr w:rsidR="00E84155">
        <w:trPr>
          <w:trHeight w:hRule="exact" w:val="369"/>
          <w:jc w:val="center"/>
        </w:trPr>
        <w:tc>
          <w:tcPr>
            <w:tcW w:w="1423" w:type="dxa"/>
          </w:tcPr>
          <w:p w:rsidR="00E84155" w:rsidRDefault="00A01F78">
            <w:pPr>
              <w:ind w:right="-29"/>
              <w:jc w:val="center"/>
              <w:rPr>
                <w:noProof/>
                <w:sz w:val="18"/>
                <w:szCs w:val="18"/>
              </w:rPr>
            </w:pPr>
            <w:r>
              <w:rPr>
                <w:noProof/>
                <w:sz w:val="18"/>
              </w:rPr>
              <w:t>— Réalisation</w:t>
            </w:r>
          </w:p>
        </w:tc>
        <w:tc>
          <w:tcPr>
            <w:tcW w:w="720" w:type="dxa"/>
          </w:tcPr>
          <w:p w:rsidR="00E84155" w:rsidRDefault="00E84155">
            <w:pPr>
              <w:ind w:right="-29"/>
              <w:jc w:val="center"/>
              <w:rPr>
                <w:noProof/>
                <w:sz w:val="18"/>
                <w:szCs w:val="18"/>
              </w:rPr>
            </w:pPr>
          </w:p>
        </w:tc>
        <w:tc>
          <w:tcPr>
            <w:tcW w:w="701" w:type="dxa"/>
          </w:tcPr>
          <w:p w:rsidR="00E84155" w:rsidRDefault="00E84155">
            <w:pPr>
              <w:ind w:right="-29"/>
              <w:jc w:val="center"/>
              <w:rPr>
                <w:noProof/>
                <w:sz w:val="18"/>
                <w:szCs w:val="18"/>
              </w:rPr>
            </w:pPr>
          </w:p>
        </w:tc>
        <w:tc>
          <w:tcPr>
            <w:tcW w:w="504"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c>
          <w:tcPr>
            <w:tcW w:w="720" w:type="dxa"/>
            <w:gridSpan w:val="2"/>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648" w:type="dxa"/>
          </w:tcPr>
          <w:p w:rsidR="00E84155" w:rsidRDefault="00E84155">
            <w:pPr>
              <w:ind w:right="-29"/>
              <w:jc w:val="center"/>
              <w:rPr>
                <w:noProof/>
                <w:sz w:val="18"/>
                <w:szCs w:val="18"/>
              </w:rPr>
            </w:pPr>
          </w:p>
        </w:tc>
        <w:tc>
          <w:tcPr>
            <w:tcW w:w="432"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r>
      <w:tr w:rsidR="00E84155">
        <w:trPr>
          <w:jc w:val="center"/>
        </w:trPr>
        <w:tc>
          <w:tcPr>
            <w:tcW w:w="2844" w:type="dxa"/>
            <w:gridSpan w:val="3"/>
            <w:tcBorders>
              <w:bottom w:val="single" w:sz="12" w:space="0" w:color="auto"/>
            </w:tcBorders>
            <w:vAlign w:val="center"/>
          </w:tcPr>
          <w:p w:rsidR="00E84155" w:rsidRDefault="00A01F78">
            <w:pPr>
              <w:ind w:right="-29"/>
              <w:jc w:val="center"/>
              <w:rPr>
                <w:noProof/>
                <w:sz w:val="18"/>
                <w:szCs w:val="18"/>
              </w:rPr>
            </w:pPr>
            <w:r>
              <w:rPr>
                <w:noProof/>
                <w:sz w:val="18"/>
              </w:rPr>
              <w:t>Sous-total objectif spécifique n° 1</w:t>
            </w:r>
          </w:p>
        </w:tc>
        <w:tc>
          <w:tcPr>
            <w:tcW w:w="504"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900" w:type="dxa"/>
            <w:tcBorders>
              <w:bottom w:val="single" w:sz="12" w:space="0" w:color="auto"/>
            </w:tcBorders>
          </w:tcPr>
          <w:p w:rsidR="00E84155" w:rsidRDefault="00E84155">
            <w:pPr>
              <w:ind w:right="-29"/>
              <w:jc w:val="center"/>
              <w:rPr>
                <w:noProof/>
                <w:sz w:val="18"/>
                <w:szCs w:val="18"/>
              </w:rPr>
            </w:pPr>
          </w:p>
        </w:tc>
        <w:tc>
          <w:tcPr>
            <w:tcW w:w="720" w:type="dxa"/>
            <w:gridSpan w:val="2"/>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648" w:type="dxa"/>
            <w:tcBorders>
              <w:bottom w:val="single" w:sz="12" w:space="0" w:color="auto"/>
            </w:tcBorders>
          </w:tcPr>
          <w:p w:rsidR="00E84155" w:rsidRDefault="00E84155">
            <w:pPr>
              <w:ind w:right="-29"/>
              <w:jc w:val="center"/>
              <w:rPr>
                <w:noProof/>
                <w:sz w:val="18"/>
                <w:szCs w:val="18"/>
              </w:rPr>
            </w:pPr>
          </w:p>
        </w:tc>
        <w:tc>
          <w:tcPr>
            <w:tcW w:w="432"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900" w:type="dxa"/>
            <w:tcBorders>
              <w:bottom w:val="single" w:sz="12" w:space="0" w:color="auto"/>
            </w:tcBorders>
          </w:tcPr>
          <w:p w:rsidR="00E84155" w:rsidRDefault="00E84155">
            <w:pPr>
              <w:ind w:right="-29"/>
              <w:jc w:val="center"/>
              <w:rPr>
                <w:noProof/>
                <w:sz w:val="18"/>
                <w:szCs w:val="18"/>
              </w:rPr>
            </w:pPr>
          </w:p>
        </w:tc>
      </w:tr>
      <w:tr w:rsidR="00E84155">
        <w:trPr>
          <w:jc w:val="center"/>
        </w:trPr>
        <w:tc>
          <w:tcPr>
            <w:tcW w:w="2844" w:type="dxa"/>
            <w:gridSpan w:val="3"/>
            <w:vAlign w:val="center"/>
          </w:tcPr>
          <w:p w:rsidR="00E84155" w:rsidRDefault="00A01F78">
            <w:pPr>
              <w:spacing w:before="60" w:after="60"/>
              <w:ind w:right="-29"/>
              <w:jc w:val="center"/>
              <w:rPr>
                <w:noProof/>
                <w:sz w:val="18"/>
                <w:szCs w:val="18"/>
              </w:rPr>
            </w:pPr>
            <w:r>
              <w:rPr>
                <w:noProof/>
                <w:sz w:val="18"/>
              </w:rPr>
              <w:t>OBJECTIF SPÉCIFIQUE n° 2 …</w:t>
            </w:r>
          </w:p>
        </w:tc>
        <w:tc>
          <w:tcPr>
            <w:tcW w:w="504"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90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gridSpan w:val="2"/>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648" w:type="dxa"/>
            <w:tcBorders>
              <w:top w:val="nil"/>
              <w:left w:val="nil"/>
              <w:bottom w:val="nil"/>
              <w:right w:val="nil"/>
            </w:tcBorders>
          </w:tcPr>
          <w:p w:rsidR="00E84155" w:rsidRDefault="00E84155">
            <w:pPr>
              <w:spacing w:before="60" w:after="60"/>
              <w:ind w:right="-29"/>
              <w:jc w:val="center"/>
              <w:rPr>
                <w:noProof/>
                <w:sz w:val="18"/>
                <w:szCs w:val="18"/>
              </w:rPr>
            </w:pPr>
          </w:p>
        </w:tc>
        <w:tc>
          <w:tcPr>
            <w:tcW w:w="432"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54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720" w:type="dxa"/>
            <w:tcBorders>
              <w:top w:val="nil"/>
              <w:left w:val="nil"/>
              <w:bottom w:val="nil"/>
              <w:right w:val="nil"/>
            </w:tcBorders>
          </w:tcPr>
          <w:p w:rsidR="00E84155" w:rsidRDefault="00E84155">
            <w:pPr>
              <w:spacing w:before="60" w:after="60"/>
              <w:ind w:right="-29"/>
              <w:jc w:val="center"/>
              <w:rPr>
                <w:noProof/>
                <w:sz w:val="18"/>
                <w:szCs w:val="18"/>
              </w:rPr>
            </w:pPr>
          </w:p>
        </w:tc>
        <w:tc>
          <w:tcPr>
            <w:tcW w:w="900" w:type="dxa"/>
            <w:tcBorders>
              <w:top w:val="nil"/>
              <w:left w:val="nil"/>
              <w:bottom w:val="nil"/>
              <w:right w:val="nil"/>
            </w:tcBorders>
          </w:tcPr>
          <w:p w:rsidR="00E84155" w:rsidRDefault="00E84155">
            <w:pPr>
              <w:spacing w:before="60" w:after="60"/>
              <w:ind w:right="-29"/>
              <w:jc w:val="center"/>
              <w:rPr>
                <w:noProof/>
                <w:sz w:val="18"/>
                <w:szCs w:val="18"/>
              </w:rPr>
            </w:pPr>
          </w:p>
        </w:tc>
      </w:tr>
      <w:tr w:rsidR="00E84155">
        <w:trPr>
          <w:trHeight w:hRule="exact" w:val="369"/>
          <w:jc w:val="center"/>
        </w:trPr>
        <w:tc>
          <w:tcPr>
            <w:tcW w:w="1423" w:type="dxa"/>
          </w:tcPr>
          <w:p w:rsidR="00E84155" w:rsidRDefault="00A01F78">
            <w:pPr>
              <w:ind w:right="-29"/>
              <w:jc w:val="center"/>
              <w:rPr>
                <w:noProof/>
                <w:sz w:val="18"/>
                <w:szCs w:val="18"/>
              </w:rPr>
            </w:pPr>
            <w:r>
              <w:rPr>
                <w:noProof/>
                <w:sz w:val="18"/>
              </w:rPr>
              <w:t>— Réalisation</w:t>
            </w:r>
          </w:p>
        </w:tc>
        <w:tc>
          <w:tcPr>
            <w:tcW w:w="720" w:type="dxa"/>
          </w:tcPr>
          <w:p w:rsidR="00E84155" w:rsidRDefault="00E84155">
            <w:pPr>
              <w:ind w:right="-29"/>
              <w:jc w:val="center"/>
              <w:rPr>
                <w:noProof/>
                <w:sz w:val="18"/>
                <w:szCs w:val="18"/>
              </w:rPr>
            </w:pPr>
          </w:p>
        </w:tc>
        <w:tc>
          <w:tcPr>
            <w:tcW w:w="701" w:type="dxa"/>
          </w:tcPr>
          <w:p w:rsidR="00E84155" w:rsidRDefault="00E84155">
            <w:pPr>
              <w:ind w:right="-29"/>
              <w:jc w:val="center"/>
              <w:rPr>
                <w:noProof/>
                <w:sz w:val="18"/>
                <w:szCs w:val="18"/>
              </w:rPr>
            </w:pPr>
          </w:p>
        </w:tc>
        <w:tc>
          <w:tcPr>
            <w:tcW w:w="504"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c>
          <w:tcPr>
            <w:tcW w:w="720" w:type="dxa"/>
            <w:gridSpan w:val="2"/>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648" w:type="dxa"/>
          </w:tcPr>
          <w:p w:rsidR="00E84155" w:rsidRDefault="00E84155">
            <w:pPr>
              <w:ind w:right="-29"/>
              <w:jc w:val="center"/>
              <w:rPr>
                <w:noProof/>
                <w:sz w:val="18"/>
                <w:szCs w:val="18"/>
              </w:rPr>
            </w:pPr>
          </w:p>
        </w:tc>
        <w:tc>
          <w:tcPr>
            <w:tcW w:w="432"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54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720" w:type="dxa"/>
          </w:tcPr>
          <w:p w:rsidR="00E84155" w:rsidRDefault="00E84155">
            <w:pPr>
              <w:ind w:right="-29"/>
              <w:jc w:val="center"/>
              <w:rPr>
                <w:noProof/>
                <w:sz w:val="18"/>
                <w:szCs w:val="18"/>
              </w:rPr>
            </w:pPr>
          </w:p>
        </w:tc>
        <w:tc>
          <w:tcPr>
            <w:tcW w:w="900" w:type="dxa"/>
          </w:tcPr>
          <w:p w:rsidR="00E84155" w:rsidRDefault="00E84155">
            <w:pPr>
              <w:ind w:right="-29"/>
              <w:jc w:val="center"/>
              <w:rPr>
                <w:noProof/>
                <w:sz w:val="18"/>
                <w:szCs w:val="18"/>
              </w:rPr>
            </w:pPr>
          </w:p>
        </w:tc>
      </w:tr>
      <w:tr w:rsidR="00E84155">
        <w:trPr>
          <w:jc w:val="center"/>
        </w:trPr>
        <w:tc>
          <w:tcPr>
            <w:tcW w:w="2844" w:type="dxa"/>
            <w:gridSpan w:val="3"/>
            <w:tcBorders>
              <w:bottom w:val="single" w:sz="12" w:space="0" w:color="auto"/>
            </w:tcBorders>
            <w:vAlign w:val="center"/>
          </w:tcPr>
          <w:p w:rsidR="00E84155" w:rsidRDefault="00A01F78">
            <w:pPr>
              <w:jc w:val="center"/>
              <w:rPr>
                <w:noProof/>
                <w:sz w:val="18"/>
                <w:szCs w:val="18"/>
              </w:rPr>
            </w:pPr>
            <w:r>
              <w:rPr>
                <w:noProof/>
                <w:sz w:val="18"/>
              </w:rPr>
              <w:t>Sous-total objectif spécifique n° 2</w:t>
            </w:r>
          </w:p>
        </w:tc>
        <w:tc>
          <w:tcPr>
            <w:tcW w:w="504"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951" w:type="dxa"/>
            <w:gridSpan w:val="2"/>
            <w:tcBorders>
              <w:bottom w:val="single" w:sz="12" w:space="0" w:color="auto"/>
            </w:tcBorders>
          </w:tcPr>
          <w:p w:rsidR="00E84155" w:rsidRDefault="00E84155">
            <w:pPr>
              <w:ind w:right="-29"/>
              <w:jc w:val="center"/>
              <w:rPr>
                <w:noProof/>
                <w:sz w:val="18"/>
                <w:szCs w:val="18"/>
              </w:rPr>
            </w:pPr>
          </w:p>
        </w:tc>
        <w:tc>
          <w:tcPr>
            <w:tcW w:w="669" w:type="dxa"/>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648" w:type="dxa"/>
            <w:tcBorders>
              <w:bottom w:val="single" w:sz="12" w:space="0" w:color="auto"/>
            </w:tcBorders>
          </w:tcPr>
          <w:p w:rsidR="00E84155" w:rsidRDefault="00E84155">
            <w:pPr>
              <w:ind w:right="-29"/>
              <w:jc w:val="center"/>
              <w:rPr>
                <w:noProof/>
                <w:sz w:val="18"/>
                <w:szCs w:val="18"/>
              </w:rPr>
            </w:pPr>
          </w:p>
        </w:tc>
        <w:tc>
          <w:tcPr>
            <w:tcW w:w="432"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54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720" w:type="dxa"/>
            <w:tcBorders>
              <w:bottom w:val="single" w:sz="12" w:space="0" w:color="auto"/>
            </w:tcBorders>
          </w:tcPr>
          <w:p w:rsidR="00E84155" w:rsidRDefault="00E84155">
            <w:pPr>
              <w:ind w:right="-29"/>
              <w:jc w:val="center"/>
              <w:rPr>
                <w:noProof/>
                <w:sz w:val="18"/>
                <w:szCs w:val="18"/>
              </w:rPr>
            </w:pPr>
          </w:p>
        </w:tc>
        <w:tc>
          <w:tcPr>
            <w:tcW w:w="900" w:type="dxa"/>
            <w:tcBorders>
              <w:bottom w:val="single" w:sz="12" w:space="0" w:color="auto"/>
            </w:tcBorders>
          </w:tcPr>
          <w:p w:rsidR="00E84155" w:rsidRDefault="00E84155">
            <w:pPr>
              <w:ind w:right="-29"/>
              <w:jc w:val="center"/>
              <w:rPr>
                <w:noProof/>
                <w:sz w:val="18"/>
                <w:szCs w:val="18"/>
              </w:rPr>
            </w:pPr>
          </w:p>
        </w:tc>
      </w:tr>
      <w:tr w:rsidR="00E84155">
        <w:trPr>
          <w:jc w:val="center"/>
        </w:trPr>
        <w:tc>
          <w:tcPr>
            <w:tcW w:w="2844" w:type="dxa"/>
            <w:gridSpan w:val="3"/>
            <w:tcBorders>
              <w:top w:val="single" w:sz="12" w:space="0" w:color="auto"/>
              <w:left w:val="single" w:sz="12" w:space="0" w:color="auto"/>
              <w:bottom w:val="single" w:sz="12" w:space="0" w:color="auto"/>
            </w:tcBorders>
            <w:vAlign w:val="center"/>
          </w:tcPr>
          <w:p w:rsidR="00E84155" w:rsidRDefault="00A01F78">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54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90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54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648"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432"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54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720" w:type="dxa"/>
            <w:tcBorders>
              <w:top w:val="single" w:sz="12" w:space="0" w:color="auto"/>
              <w:bottom w:val="single" w:sz="12" w:space="0" w:color="auto"/>
            </w:tcBorders>
          </w:tcPr>
          <w:p w:rsidR="00E84155" w:rsidRDefault="00E84155">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E84155" w:rsidRDefault="00E84155">
            <w:pPr>
              <w:spacing w:before="180" w:after="180"/>
              <w:ind w:right="-29"/>
              <w:jc w:val="center"/>
              <w:rPr>
                <w:noProof/>
                <w:sz w:val="18"/>
                <w:szCs w:val="18"/>
              </w:rPr>
            </w:pPr>
          </w:p>
        </w:tc>
      </w:tr>
    </w:tbl>
    <w:p w:rsidR="00E84155" w:rsidRDefault="00E84155">
      <w:pPr>
        <w:rPr>
          <w:noProof/>
        </w:rPr>
        <w:sectPr w:rsidR="00E84155" w:rsidSect="00A01F78">
          <w:headerReference w:type="default" r:id="rId22"/>
          <w:footerReference w:type="default" r:id="rId23"/>
          <w:pgSz w:w="16840" w:h="11907" w:orient="landscape" w:code="9"/>
          <w:pgMar w:top="1134" w:right="1418" w:bottom="567" w:left="1418" w:header="709" w:footer="709" w:gutter="0"/>
          <w:cols w:space="708"/>
          <w:docGrid w:linePitch="360"/>
        </w:sectPr>
      </w:pPr>
    </w:p>
    <w:p w:rsidR="00E84155" w:rsidRDefault="00A01F78">
      <w:pPr>
        <w:pStyle w:val="ManualHeading3"/>
        <w:rPr>
          <w:bCs/>
          <w:noProof/>
          <w:szCs w:val="24"/>
        </w:rPr>
      </w:pPr>
      <w:r>
        <w:rPr>
          <w:noProof/>
        </w:rPr>
        <w:t>3.2.3.</w:t>
      </w:r>
      <w:r>
        <w:rPr>
          <w:noProof/>
        </w:rPr>
        <w:tab/>
        <w:t>Incidence estimée sur les crédits de nature administrative</w:t>
      </w:r>
    </w:p>
    <w:p w:rsidR="00E84155" w:rsidRDefault="00A01F78">
      <w:pPr>
        <w:pStyle w:val="ManualHeading4"/>
        <w:rPr>
          <w:noProof/>
        </w:rPr>
      </w:pPr>
      <w:r>
        <w:rPr>
          <w:noProof/>
        </w:rPr>
        <w:t>3.2.3.1.</w:t>
      </w:r>
      <w:r>
        <w:rPr>
          <w:noProof/>
        </w:rPr>
        <w:tab/>
        <w:t xml:space="preserve">Synthèse </w:t>
      </w:r>
    </w:p>
    <w:p w:rsidR="00E84155" w:rsidRDefault="00A01F78">
      <w:pPr>
        <w:pStyle w:val="ListDash1"/>
        <w:rPr>
          <w:noProof/>
        </w:rPr>
      </w:pPr>
      <w:r>
        <w:rPr>
          <w:noProof/>
        </w:rPr>
        <w:sym w:font="Wingdings" w:char="F078"/>
      </w:r>
      <w:r>
        <w:rPr>
          <w:noProof/>
        </w:rPr>
        <w:tab/>
        <w:t xml:space="preserve">La proposition/l'initiative n'engendre pas l'utilisation de crédits de nature administrative. </w:t>
      </w:r>
    </w:p>
    <w:p w:rsidR="00E84155" w:rsidRDefault="00A01F78">
      <w:pPr>
        <w:pStyle w:val="ListDash1"/>
        <w:rPr>
          <w:noProof/>
        </w:rPr>
      </w:pPr>
      <w:r>
        <w:rPr>
          <w:noProof/>
        </w:rPr>
        <w:sym w:font="Wingdings" w:char="F0A8"/>
      </w:r>
      <w:r>
        <w:rPr>
          <w:noProof/>
        </w:rPr>
        <w:tab/>
        <w:t>La proposition/l'initiative engendre l'utilis</w:t>
      </w:r>
      <w:r>
        <w:rPr>
          <w:noProof/>
        </w:rPr>
        <w:t>ation de crédits de nature administrative, comme expliqué ci-après:</w:t>
      </w:r>
    </w:p>
    <w:p w:rsidR="00E84155" w:rsidRDefault="00A01F78">
      <w:pPr>
        <w:rPr>
          <w:noProof/>
          <w:sz w:val="20"/>
        </w:rPr>
      </w:pPr>
      <w:r>
        <w:rPr>
          <w:noProof/>
          <w:sz w:val="20"/>
        </w:rPr>
        <w:t>En millions d’EUR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84155">
        <w:trPr>
          <w:trHeight w:val="585"/>
        </w:trPr>
        <w:tc>
          <w:tcPr>
            <w:tcW w:w="1980" w:type="dxa"/>
          </w:tcPr>
          <w:p w:rsidR="00E84155" w:rsidRDefault="00E84155">
            <w:pPr>
              <w:spacing w:before="60" w:after="60" w:line="200" w:lineRule="exact"/>
              <w:rPr>
                <w:noProof/>
                <w:sz w:val="16"/>
                <w:szCs w:val="16"/>
              </w:rPr>
            </w:pPr>
          </w:p>
        </w:tc>
        <w:tc>
          <w:tcPr>
            <w:tcW w:w="1080" w:type="dxa"/>
            <w:vAlign w:val="center"/>
          </w:tcPr>
          <w:p w:rsidR="00E84155" w:rsidRDefault="00A01F78">
            <w:pPr>
              <w:spacing w:before="60" w:after="60" w:line="200" w:lineRule="exact"/>
              <w:jc w:val="center"/>
              <w:rPr>
                <w:noProof/>
                <w:sz w:val="16"/>
                <w:szCs w:val="16"/>
              </w:rPr>
            </w:pPr>
            <w:r>
              <w:rPr>
                <w:noProof/>
                <w:sz w:val="16"/>
              </w:rPr>
              <w:t>Année</w:t>
            </w:r>
            <w:r>
              <w:rPr>
                <w:noProof/>
              </w:rPr>
              <w:br/>
            </w:r>
            <w:r>
              <w:rPr>
                <w:b/>
                <w:noProof/>
                <w:sz w:val="16"/>
              </w:rPr>
              <w:t xml:space="preserve">N </w:t>
            </w:r>
            <w:r>
              <w:rPr>
                <w:rStyle w:val="FootnoteReference"/>
                <w:b/>
                <w:noProof/>
                <w:sz w:val="16"/>
              </w:rPr>
              <w:footnoteReference w:id="25"/>
            </w:r>
          </w:p>
        </w:tc>
        <w:tc>
          <w:tcPr>
            <w:tcW w:w="1080" w:type="dxa"/>
            <w:vAlign w:val="center"/>
          </w:tcPr>
          <w:p w:rsidR="00E84155" w:rsidRDefault="00A01F78">
            <w:pPr>
              <w:spacing w:before="60" w:after="60" w:line="200" w:lineRule="exact"/>
              <w:jc w:val="center"/>
              <w:rPr>
                <w:noProof/>
                <w:sz w:val="16"/>
                <w:szCs w:val="16"/>
              </w:rPr>
            </w:pPr>
            <w:r>
              <w:rPr>
                <w:noProof/>
                <w:sz w:val="16"/>
              </w:rPr>
              <w:t>Année</w:t>
            </w:r>
            <w:r>
              <w:rPr>
                <w:noProof/>
              </w:rPr>
              <w:br/>
            </w:r>
            <w:r>
              <w:rPr>
                <w:b/>
                <w:noProof/>
                <w:sz w:val="16"/>
              </w:rPr>
              <w:t>N + 1</w:t>
            </w:r>
          </w:p>
        </w:tc>
        <w:tc>
          <w:tcPr>
            <w:tcW w:w="1080" w:type="dxa"/>
            <w:vAlign w:val="center"/>
          </w:tcPr>
          <w:p w:rsidR="00E84155" w:rsidRDefault="00A01F78">
            <w:pPr>
              <w:spacing w:before="60" w:after="60" w:line="200" w:lineRule="exact"/>
              <w:jc w:val="center"/>
              <w:rPr>
                <w:noProof/>
                <w:sz w:val="16"/>
                <w:szCs w:val="16"/>
              </w:rPr>
            </w:pPr>
            <w:r>
              <w:rPr>
                <w:noProof/>
                <w:sz w:val="16"/>
              </w:rPr>
              <w:t>Année</w:t>
            </w:r>
            <w:r>
              <w:rPr>
                <w:noProof/>
              </w:rPr>
              <w:br/>
            </w:r>
            <w:r>
              <w:rPr>
                <w:b/>
                <w:noProof/>
                <w:sz w:val="16"/>
              </w:rPr>
              <w:t>N + 2</w:t>
            </w:r>
          </w:p>
        </w:tc>
        <w:tc>
          <w:tcPr>
            <w:tcW w:w="1080" w:type="dxa"/>
            <w:vAlign w:val="center"/>
          </w:tcPr>
          <w:p w:rsidR="00E84155" w:rsidRDefault="00A01F78">
            <w:pPr>
              <w:spacing w:before="60" w:after="60" w:line="200" w:lineRule="exact"/>
              <w:jc w:val="center"/>
              <w:rPr>
                <w:noProof/>
                <w:sz w:val="16"/>
                <w:szCs w:val="16"/>
              </w:rPr>
            </w:pPr>
            <w:r>
              <w:rPr>
                <w:noProof/>
                <w:sz w:val="16"/>
              </w:rPr>
              <w:t>Année</w:t>
            </w:r>
            <w:r>
              <w:rPr>
                <w:noProof/>
              </w:rPr>
              <w:br/>
            </w:r>
            <w:r>
              <w:rPr>
                <w:b/>
                <w:noProof/>
                <w:sz w:val="16"/>
              </w:rPr>
              <w:t>N + 3</w:t>
            </w:r>
          </w:p>
        </w:tc>
        <w:tc>
          <w:tcPr>
            <w:tcW w:w="3240" w:type="dxa"/>
            <w:vAlign w:val="center"/>
          </w:tcPr>
          <w:p w:rsidR="00E84155" w:rsidRDefault="00A01F78">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E84155" w:rsidRDefault="00A01F78">
            <w:pPr>
              <w:spacing w:before="60" w:after="60" w:line="200" w:lineRule="exact"/>
              <w:jc w:val="center"/>
              <w:rPr>
                <w:b/>
                <w:noProof/>
                <w:sz w:val="16"/>
                <w:szCs w:val="16"/>
              </w:rPr>
            </w:pPr>
            <w:r>
              <w:rPr>
                <w:b/>
                <w:noProof/>
                <w:sz w:val="16"/>
              </w:rPr>
              <w:t>TOTAL</w:t>
            </w:r>
          </w:p>
        </w:tc>
      </w:tr>
    </w:tbl>
    <w:p w:rsidR="00E84155" w:rsidRDefault="00E8415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84155">
        <w:trPr>
          <w:trHeight w:val="585"/>
        </w:trPr>
        <w:tc>
          <w:tcPr>
            <w:tcW w:w="1980" w:type="dxa"/>
            <w:shd w:val="clear" w:color="auto" w:fill="CCCCCC"/>
            <w:vAlign w:val="center"/>
          </w:tcPr>
          <w:p w:rsidR="00E84155" w:rsidRDefault="00A01F78">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vAlign w:val="center"/>
          </w:tcPr>
          <w:p w:rsidR="00E84155" w:rsidRDefault="00A01F7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vAlign w:val="center"/>
          </w:tcPr>
          <w:p w:rsidR="00E84155" w:rsidRDefault="00A01F78">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shd w:val="clear" w:color="auto" w:fill="CCCCCC"/>
            <w:vAlign w:val="center"/>
          </w:tcPr>
          <w:p w:rsidR="00E84155" w:rsidRDefault="00A01F78">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bl>
    <w:p w:rsidR="00E84155" w:rsidRDefault="00E8415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84155">
        <w:trPr>
          <w:trHeight w:val="585"/>
        </w:trPr>
        <w:tc>
          <w:tcPr>
            <w:tcW w:w="1980" w:type="dxa"/>
            <w:shd w:val="clear" w:color="auto" w:fill="CCCCCC"/>
            <w:vAlign w:val="center"/>
          </w:tcPr>
          <w:p w:rsidR="00E84155" w:rsidRDefault="00A01F78">
            <w:pPr>
              <w:spacing w:before="60" w:after="60" w:line="200" w:lineRule="exact"/>
              <w:jc w:val="center"/>
              <w:rPr>
                <w:noProof/>
                <w:sz w:val="16"/>
                <w:szCs w:val="16"/>
              </w:rPr>
            </w:pPr>
            <w:r>
              <w:rPr>
                <w:b/>
                <w:noProof/>
                <w:sz w:val="16"/>
              </w:rPr>
              <w:t>hors RUBRIQUE 5</w:t>
            </w:r>
            <w:r>
              <w:rPr>
                <w:rStyle w:val="FootnoteReference"/>
                <w:b/>
                <w:noProof/>
                <w:sz w:val="16"/>
              </w:rPr>
              <w:footnoteReference w:id="26"/>
            </w:r>
            <w:r>
              <w:rPr>
                <w:noProof/>
              </w:rPr>
              <w:br/>
            </w:r>
            <w:r>
              <w:rPr>
                <w:b/>
                <w:noProof/>
                <w:sz w:val="16"/>
              </w:rPr>
              <w:t xml:space="preserve">du cadre financier pluriannuel </w:t>
            </w:r>
          </w:p>
          <w:p w:rsidR="00E84155" w:rsidRDefault="00E84155">
            <w:pPr>
              <w:spacing w:before="0" w:after="0" w:line="200" w:lineRule="exact"/>
              <w:jc w:val="center"/>
              <w:rPr>
                <w:b/>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vAlign w:val="center"/>
          </w:tcPr>
          <w:p w:rsidR="00E84155" w:rsidRDefault="00A01F7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vAlign w:val="center"/>
          </w:tcPr>
          <w:p w:rsidR="00E84155" w:rsidRDefault="00A01F78">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r w:rsidR="00E84155">
        <w:trPr>
          <w:trHeight w:val="585"/>
        </w:trPr>
        <w:tc>
          <w:tcPr>
            <w:tcW w:w="1980" w:type="dxa"/>
            <w:shd w:val="clear" w:color="auto" w:fill="CCCCCC"/>
            <w:vAlign w:val="center"/>
          </w:tcPr>
          <w:p w:rsidR="00E84155" w:rsidRDefault="00A01F78">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noProof/>
                <w:sz w:val="16"/>
                <w:szCs w:val="16"/>
              </w:rPr>
            </w:pPr>
          </w:p>
        </w:tc>
        <w:tc>
          <w:tcPr>
            <w:tcW w:w="1080" w:type="dxa"/>
            <w:vAlign w:val="center"/>
          </w:tcPr>
          <w:p w:rsidR="00E84155" w:rsidRDefault="00E84155">
            <w:pPr>
              <w:spacing w:before="60" w:after="60" w:line="200" w:lineRule="exact"/>
              <w:jc w:val="right"/>
              <w:rPr>
                <w:b/>
                <w:noProof/>
                <w:sz w:val="16"/>
                <w:szCs w:val="16"/>
              </w:rPr>
            </w:pPr>
          </w:p>
        </w:tc>
        <w:tc>
          <w:tcPr>
            <w:tcW w:w="1080" w:type="dxa"/>
            <w:vAlign w:val="center"/>
          </w:tcPr>
          <w:p w:rsidR="00E84155" w:rsidRDefault="00E84155">
            <w:pPr>
              <w:spacing w:before="60" w:after="60" w:line="200" w:lineRule="exact"/>
              <w:jc w:val="right"/>
              <w:rPr>
                <w:b/>
                <w:noProof/>
                <w:sz w:val="16"/>
                <w:szCs w:val="16"/>
              </w:rPr>
            </w:pPr>
          </w:p>
        </w:tc>
      </w:tr>
    </w:tbl>
    <w:p w:rsidR="00E84155" w:rsidRDefault="00E84155">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84155">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84155" w:rsidRDefault="00A01F78">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4155" w:rsidRDefault="00E8415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E84155" w:rsidRDefault="00E84155">
            <w:pPr>
              <w:spacing w:before="60" w:after="60" w:line="200" w:lineRule="exact"/>
              <w:jc w:val="right"/>
              <w:rPr>
                <w:b/>
                <w:noProof/>
                <w:sz w:val="16"/>
                <w:szCs w:val="16"/>
              </w:rPr>
            </w:pPr>
          </w:p>
        </w:tc>
      </w:tr>
    </w:tbl>
    <w:p w:rsidR="00E84155" w:rsidRDefault="00A01F78">
      <w:pPr>
        <w:rPr>
          <w:noProof/>
          <w:sz w:val="18"/>
        </w:rPr>
        <w:sectPr w:rsidR="00E84155" w:rsidSect="00A01F78">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w:t>
      </w:r>
      <w:r>
        <w:rPr>
          <w:noProof/>
          <w:sz w:val="18"/>
        </w:rPr>
        <w:t>s le cas échéant par toute dotation additionnelle qui pourrait être allouée à la DG gestionnaire dans le cadre de la procédure d’allocation annuelle et compte tenu des contraintes budgétaires existantes.</w:t>
      </w:r>
      <w:r>
        <w:rPr>
          <w:noProof/>
        </w:rPr>
        <w:tab/>
      </w:r>
    </w:p>
    <w:p w:rsidR="00E84155" w:rsidRDefault="00A01F78">
      <w:pPr>
        <w:pStyle w:val="ManualHeading4"/>
        <w:rPr>
          <w:bCs/>
          <w:noProof/>
          <w:szCs w:val="24"/>
        </w:rPr>
      </w:pPr>
      <w:r>
        <w:rPr>
          <w:noProof/>
        </w:rPr>
        <w:t>3.2.3.2.</w:t>
      </w:r>
      <w:r>
        <w:rPr>
          <w:noProof/>
        </w:rPr>
        <w:tab/>
        <w:t>Besoins estimés en ressources humaines</w:t>
      </w:r>
    </w:p>
    <w:p w:rsidR="00E84155" w:rsidRDefault="00A01F78">
      <w:pPr>
        <w:pStyle w:val="ListDash1"/>
        <w:rPr>
          <w:noProof/>
        </w:rPr>
      </w:pPr>
      <w:r>
        <w:rPr>
          <w:noProof/>
        </w:rPr>
        <w:sym w:font="Wingdings" w:char="F078"/>
      </w:r>
      <w:r>
        <w:rPr>
          <w:noProof/>
        </w:rPr>
        <w:tab/>
        <w:t>L</w:t>
      </w:r>
      <w:r>
        <w:rPr>
          <w:noProof/>
        </w:rPr>
        <w:t xml:space="preserve">a proposition/l'initiative n'engendre pas l'utilisation de ressources humaines. </w:t>
      </w:r>
    </w:p>
    <w:p w:rsidR="00E84155" w:rsidRDefault="00A01F78">
      <w:pPr>
        <w:pStyle w:val="ListDash1"/>
        <w:rPr>
          <w:noProof/>
        </w:rPr>
      </w:pPr>
      <w:r>
        <w:rPr>
          <w:noProof/>
        </w:rPr>
        <w:sym w:font="Wingdings" w:char="F0A8"/>
      </w:r>
      <w:r>
        <w:rPr>
          <w:noProof/>
        </w:rPr>
        <w:tab/>
        <w:t>La proposition/l'initiative engendre l'utilisation de ressources humaines, comme expliqué ci-après:</w:t>
      </w:r>
    </w:p>
    <w:p w:rsidR="00E84155" w:rsidRDefault="00A01F78">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E84155">
        <w:trPr>
          <w:gridBefore w:val="1"/>
          <w:wBefore w:w="6" w:type="pct"/>
          <w:trHeight w:val="289"/>
          <w:jc w:val="center"/>
        </w:trPr>
        <w:tc>
          <w:tcPr>
            <w:tcW w:w="1897" w:type="pct"/>
            <w:gridSpan w:val="2"/>
            <w:shd w:val="clear" w:color="auto" w:fill="auto"/>
          </w:tcPr>
          <w:p w:rsidR="00E84155" w:rsidRDefault="00E84155">
            <w:pPr>
              <w:pStyle w:val="Text1"/>
              <w:spacing w:before="40" w:after="40"/>
              <w:ind w:left="0"/>
              <w:jc w:val="center"/>
              <w:rPr>
                <w:i/>
                <w:noProof/>
                <w:sz w:val="16"/>
                <w:szCs w:val="16"/>
              </w:rPr>
            </w:pPr>
          </w:p>
        </w:tc>
        <w:tc>
          <w:tcPr>
            <w:tcW w:w="318" w:type="pct"/>
            <w:shd w:val="clear" w:color="auto" w:fill="auto"/>
            <w:vAlign w:val="center"/>
          </w:tcPr>
          <w:p w:rsidR="00E84155" w:rsidRDefault="00A01F78">
            <w:pPr>
              <w:spacing w:before="20" w:after="20"/>
              <w:jc w:val="center"/>
              <w:rPr>
                <w:noProof/>
                <w:sz w:val="16"/>
                <w:szCs w:val="16"/>
              </w:rPr>
            </w:pPr>
            <w:r>
              <w:rPr>
                <w:noProof/>
                <w:sz w:val="16"/>
              </w:rPr>
              <w:t>Année</w:t>
            </w:r>
            <w:r>
              <w:rPr>
                <w:noProof/>
              </w:rPr>
              <w:br/>
            </w:r>
            <w:r>
              <w:rPr>
                <w:b/>
                <w:noProof/>
                <w:sz w:val="16"/>
              </w:rPr>
              <w:t>N</w:t>
            </w:r>
          </w:p>
        </w:tc>
        <w:tc>
          <w:tcPr>
            <w:tcW w:w="318" w:type="pct"/>
            <w:shd w:val="clear" w:color="auto" w:fill="auto"/>
            <w:vAlign w:val="center"/>
          </w:tcPr>
          <w:p w:rsidR="00E84155" w:rsidRDefault="00A01F78">
            <w:pPr>
              <w:spacing w:before="20" w:after="20"/>
              <w:jc w:val="center"/>
              <w:rPr>
                <w:noProof/>
                <w:sz w:val="16"/>
                <w:szCs w:val="16"/>
              </w:rPr>
            </w:pPr>
            <w:r>
              <w:rPr>
                <w:noProof/>
                <w:sz w:val="16"/>
              </w:rPr>
              <w:t>Année</w:t>
            </w:r>
            <w:r>
              <w:rPr>
                <w:noProof/>
              </w:rPr>
              <w:br/>
            </w:r>
            <w:r>
              <w:rPr>
                <w:b/>
                <w:noProof/>
                <w:sz w:val="16"/>
              </w:rPr>
              <w:t>N + 1</w:t>
            </w:r>
          </w:p>
        </w:tc>
        <w:tc>
          <w:tcPr>
            <w:tcW w:w="1891" w:type="pct"/>
            <w:shd w:val="clear" w:color="auto" w:fill="auto"/>
            <w:vAlign w:val="center"/>
          </w:tcPr>
          <w:p w:rsidR="00E84155" w:rsidRDefault="00A01F78">
            <w:pPr>
              <w:spacing w:before="20" w:after="20"/>
              <w:jc w:val="center"/>
              <w:rPr>
                <w:noProof/>
                <w:sz w:val="16"/>
                <w:szCs w:val="16"/>
              </w:rPr>
            </w:pPr>
            <w:r>
              <w:rPr>
                <w:noProof/>
                <w:sz w:val="16"/>
              </w:rPr>
              <w:t xml:space="preserve">Année </w:t>
            </w:r>
            <w:r>
              <w:rPr>
                <w:b/>
                <w:noProof/>
                <w:sz w:val="16"/>
              </w:rPr>
              <w:t>N + 2</w:t>
            </w:r>
          </w:p>
        </w:tc>
        <w:tc>
          <w:tcPr>
            <w:tcW w:w="226" w:type="pct"/>
            <w:shd w:val="clear" w:color="auto" w:fill="auto"/>
            <w:vAlign w:val="center"/>
          </w:tcPr>
          <w:p w:rsidR="00E84155" w:rsidRDefault="00A01F78">
            <w:pPr>
              <w:spacing w:before="20" w:after="20"/>
              <w:jc w:val="center"/>
              <w:rPr>
                <w:noProof/>
                <w:sz w:val="16"/>
                <w:szCs w:val="16"/>
              </w:rPr>
            </w:pPr>
            <w:r>
              <w:rPr>
                <w:noProof/>
                <w:sz w:val="16"/>
              </w:rPr>
              <w:t xml:space="preserve">Année </w:t>
            </w:r>
            <w:r>
              <w:rPr>
                <w:b/>
                <w:noProof/>
                <w:sz w:val="16"/>
              </w:rPr>
              <w:t>N + 3</w:t>
            </w:r>
          </w:p>
        </w:tc>
        <w:tc>
          <w:tcPr>
            <w:tcW w:w="345" w:type="pct"/>
            <w:gridSpan w:val="3"/>
            <w:shd w:val="clear" w:color="auto" w:fill="auto"/>
            <w:vAlign w:val="center"/>
          </w:tcPr>
          <w:p w:rsidR="00E84155" w:rsidRDefault="00A01F78">
            <w:pPr>
              <w:jc w:val="center"/>
              <w:rPr>
                <w:b/>
                <w:noProof/>
                <w:sz w:val="16"/>
                <w:szCs w:val="16"/>
              </w:rPr>
            </w:pPr>
            <w:r>
              <w:rPr>
                <w:noProof/>
                <w:sz w:val="16"/>
              </w:rPr>
              <w:t>Insérer autant d'années que nécessaire, pour refléter la durée de l'incidence (cf. point 1.6)</w:t>
            </w:r>
          </w:p>
        </w:tc>
      </w:tr>
      <w:tr w:rsidR="00E84155">
        <w:trPr>
          <w:gridBefore w:val="1"/>
          <w:wBefore w:w="6" w:type="pct"/>
          <w:trHeight w:val="289"/>
          <w:jc w:val="center"/>
        </w:trPr>
        <w:tc>
          <w:tcPr>
            <w:tcW w:w="4424" w:type="pct"/>
            <w:gridSpan w:val="5"/>
            <w:shd w:val="clear" w:color="auto" w:fill="auto"/>
          </w:tcPr>
          <w:p w:rsidR="00E84155" w:rsidRDefault="00A01F78">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226" w:type="pct"/>
            <w:shd w:val="clear" w:color="auto" w:fill="auto"/>
            <w:vAlign w:val="center"/>
          </w:tcPr>
          <w:p w:rsidR="00E84155" w:rsidRDefault="00E84155">
            <w:pPr>
              <w:spacing w:before="20" w:after="20"/>
              <w:jc w:val="center"/>
              <w:rPr>
                <w:noProof/>
                <w:sz w:val="16"/>
                <w:szCs w:val="16"/>
              </w:rPr>
            </w:pPr>
          </w:p>
        </w:tc>
        <w:tc>
          <w:tcPr>
            <w:tcW w:w="345" w:type="pct"/>
            <w:gridSpan w:val="3"/>
            <w:shd w:val="clear" w:color="auto" w:fill="auto"/>
            <w:vAlign w:val="center"/>
          </w:tcPr>
          <w:p w:rsidR="00E84155" w:rsidRDefault="00E84155">
            <w:pPr>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4"/>
              <w:jc w:val="left"/>
              <w:rPr>
                <w:b/>
                <w:noProof/>
                <w:sz w:val="16"/>
                <w:szCs w:val="16"/>
              </w:rPr>
            </w:pPr>
            <w:r>
              <w:rPr>
                <w:noProof/>
                <w:sz w:val="16"/>
              </w:rPr>
              <w:t xml:space="preserve">XX 01 01 01 (au siège et dans les bureaux de représentation </w:t>
            </w:r>
            <w:r>
              <w:rPr>
                <w:noProof/>
                <w:sz w:val="16"/>
              </w:rPr>
              <w:t>de la Commission)</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After w:val="4"/>
          <w:wAfter w:w="570" w:type="pct"/>
          <w:trHeight w:val="248"/>
          <w:jc w:val="center"/>
        </w:trPr>
        <w:tc>
          <w:tcPr>
            <w:tcW w:w="4430" w:type="pct"/>
            <w:gridSpan w:val="6"/>
            <w:shd w:val="clear" w:color="auto" w:fill="auto"/>
            <w:vAlign w:val="center"/>
          </w:tcPr>
          <w:p w:rsidR="00E84155" w:rsidRDefault="00A01F78">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27"/>
            </w:r>
          </w:p>
          <w:p w:rsidR="00E84155" w:rsidRDefault="00E84155">
            <w:pPr>
              <w:pStyle w:val="Text1"/>
              <w:spacing w:before="0" w:after="0"/>
              <w:ind w:left="0"/>
              <w:jc w:val="left"/>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948" w:type="pct"/>
            <w:vMerge w:val="restart"/>
            <w:shd w:val="clear" w:color="auto" w:fill="auto"/>
            <w:vAlign w:val="center"/>
          </w:tcPr>
          <w:p w:rsidR="00E84155" w:rsidRDefault="00A01F78">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8"/>
            </w:r>
          </w:p>
          <w:p w:rsidR="00E84155" w:rsidRDefault="00E84155">
            <w:pPr>
              <w:pStyle w:val="Text1"/>
              <w:spacing w:beforeLines="20" w:before="48" w:afterLines="20" w:after="48"/>
              <w:ind w:left="136"/>
              <w:jc w:val="left"/>
              <w:rPr>
                <w:b/>
                <w:noProof/>
                <w:sz w:val="16"/>
                <w:szCs w:val="16"/>
              </w:rPr>
            </w:pPr>
          </w:p>
        </w:tc>
        <w:tc>
          <w:tcPr>
            <w:tcW w:w="949" w:type="pct"/>
            <w:shd w:val="clear" w:color="auto" w:fill="auto"/>
            <w:vAlign w:val="center"/>
          </w:tcPr>
          <w:p w:rsidR="00E84155" w:rsidRDefault="00A01F78">
            <w:pPr>
              <w:pStyle w:val="Text1"/>
              <w:spacing w:beforeLines="20" w:before="48" w:afterLines="20" w:after="48"/>
              <w:ind w:left="136"/>
              <w:jc w:val="left"/>
              <w:rPr>
                <w:b/>
                <w:noProof/>
                <w:sz w:val="16"/>
                <w:szCs w:val="16"/>
              </w:rPr>
            </w:pPr>
            <w:r>
              <w:rPr>
                <w:noProof/>
                <w:sz w:val="16"/>
              </w:rPr>
              <w:t>— au siège</w:t>
            </w:r>
          </w:p>
          <w:p w:rsidR="00E84155" w:rsidRDefault="00E84155">
            <w:pPr>
              <w:pStyle w:val="Text1"/>
              <w:spacing w:beforeLines="20" w:before="48" w:afterLines="20" w:after="48"/>
              <w:ind w:left="136"/>
              <w:jc w:val="left"/>
              <w:rPr>
                <w:b/>
                <w:noProof/>
                <w:sz w:val="16"/>
                <w:szCs w:val="16"/>
              </w:rPr>
            </w:pPr>
          </w:p>
        </w:tc>
        <w:tc>
          <w:tcPr>
            <w:tcW w:w="318" w:type="pct"/>
            <w:shd w:val="clear" w:color="auto" w:fill="auto"/>
            <w:vAlign w:val="center"/>
          </w:tcPr>
          <w:p w:rsidR="00E84155" w:rsidRDefault="00E84155">
            <w:pPr>
              <w:pStyle w:val="Text1"/>
              <w:spacing w:beforeLines="20" w:before="48" w:afterLines="20" w:after="48"/>
              <w:ind w:left="0"/>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948" w:type="pct"/>
            <w:vMerge/>
            <w:shd w:val="clear" w:color="auto" w:fill="auto"/>
            <w:vAlign w:val="center"/>
          </w:tcPr>
          <w:p w:rsidR="00E84155" w:rsidRDefault="00E84155">
            <w:pPr>
              <w:pStyle w:val="Text1"/>
              <w:spacing w:beforeLines="20" w:before="48" w:afterLines="20" w:after="48"/>
              <w:ind w:left="136"/>
              <w:jc w:val="left"/>
              <w:rPr>
                <w:b/>
                <w:noProof/>
                <w:sz w:val="16"/>
                <w:szCs w:val="16"/>
              </w:rPr>
            </w:pPr>
          </w:p>
        </w:tc>
        <w:tc>
          <w:tcPr>
            <w:tcW w:w="949" w:type="pct"/>
            <w:shd w:val="clear" w:color="auto" w:fill="auto"/>
            <w:vAlign w:val="center"/>
          </w:tcPr>
          <w:p w:rsidR="00E84155" w:rsidRDefault="00A01F78">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E84155" w:rsidRDefault="00E84155">
            <w:pPr>
              <w:pStyle w:val="Text1"/>
              <w:spacing w:beforeLines="20" w:before="48" w:afterLines="20" w:after="48"/>
              <w:ind w:left="0"/>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shd w:val="clear" w:color="auto" w:fill="auto"/>
            <w:vAlign w:val="center"/>
          </w:tcPr>
          <w:p w:rsidR="00E84155" w:rsidRDefault="00A01F78">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318" w:type="pct"/>
            <w:shd w:val="clear" w:color="auto" w:fill="auto"/>
            <w:vAlign w:val="center"/>
          </w:tcPr>
          <w:p w:rsidR="00E84155" w:rsidRDefault="00E84155">
            <w:pPr>
              <w:spacing w:beforeLines="20" w:before="48" w:afterLines="20" w:after="48"/>
              <w:jc w:val="center"/>
              <w:rPr>
                <w:noProof/>
                <w:sz w:val="16"/>
                <w:szCs w:val="16"/>
              </w:rPr>
            </w:pPr>
          </w:p>
        </w:tc>
        <w:tc>
          <w:tcPr>
            <w:tcW w:w="1891" w:type="pct"/>
            <w:shd w:val="clear" w:color="auto" w:fill="auto"/>
            <w:vAlign w:val="center"/>
          </w:tcPr>
          <w:p w:rsidR="00E84155" w:rsidRDefault="00E84155">
            <w:pPr>
              <w:spacing w:beforeLines="20" w:before="48" w:afterLines="20" w:after="48"/>
              <w:jc w:val="center"/>
              <w:rPr>
                <w:noProof/>
                <w:sz w:val="16"/>
                <w:szCs w:val="16"/>
              </w:rPr>
            </w:pPr>
          </w:p>
        </w:tc>
        <w:tc>
          <w:tcPr>
            <w:tcW w:w="226"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c>
          <w:tcPr>
            <w:tcW w:w="115" w:type="pct"/>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tcBorders>
              <w:bottom w:val="double" w:sz="4" w:space="0" w:color="auto"/>
            </w:tcBorders>
            <w:shd w:val="clear" w:color="auto" w:fill="auto"/>
            <w:vAlign w:val="center"/>
          </w:tcPr>
          <w:p w:rsidR="00E84155" w:rsidRDefault="00A01F78">
            <w:pPr>
              <w:pStyle w:val="Text1"/>
              <w:spacing w:beforeLines="20" w:before="48" w:afterLines="20" w:after="48"/>
              <w:ind w:left="134"/>
              <w:jc w:val="left"/>
              <w:rPr>
                <w:noProof/>
                <w:sz w:val="16"/>
                <w:szCs w:val="16"/>
              </w:rPr>
            </w:pPr>
            <w:r>
              <w:rPr>
                <w:noProof/>
                <w:sz w:val="16"/>
              </w:rPr>
              <w:t xml:space="preserve">Autres </w:t>
            </w:r>
            <w:r>
              <w:rPr>
                <w:noProof/>
                <w:sz w:val="16"/>
              </w:rPr>
              <w:t>lignes budgétaires (à préciser)</w:t>
            </w:r>
          </w:p>
        </w:tc>
        <w:tc>
          <w:tcPr>
            <w:tcW w:w="318"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84155" w:rsidRDefault="00E84155">
            <w:pPr>
              <w:spacing w:beforeLines="20" w:before="48" w:afterLines="20" w:after="48"/>
              <w:jc w:val="center"/>
              <w:rPr>
                <w:noProof/>
                <w:sz w:val="16"/>
                <w:szCs w:val="16"/>
              </w:rPr>
            </w:pPr>
          </w:p>
        </w:tc>
      </w:tr>
      <w:tr w:rsidR="00E84155">
        <w:trPr>
          <w:gridBefore w:val="1"/>
          <w:wBefore w:w="6" w:type="pct"/>
          <w:trHeight w:val="289"/>
          <w:jc w:val="center"/>
        </w:trPr>
        <w:tc>
          <w:tcPr>
            <w:tcW w:w="1897" w:type="pct"/>
            <w:gridSpan w:val="2"/>
            <w:tcBorders>
              <w:top w:val="double" w:sz="4" w:space="0" w:color="auto"/>
            </w:tcBorders>
            <w:shd w:val="clear" w:color="auto" w:fill="auto"/>
            <w:vAlign w:val="center"/>
          </w:tcPr>
          <w:p w:rsidR="00E84155" w:rsidRDefault="00A01F78">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84155" w:rsidRDefault="00E84155">
            <w:pPr>
              <w:spacing w:beforeLines="20" w:before="48" w:afterLines="20" w:after="48"/>
              <w:jc w:val="center"/>
              <w:rPr>
                <w:b/>
                <w:noProof/>
                <w:sz w:val="16"/>
                <w:szCs w:val="16"/>
              </w:rPr>
            </w:pPr>
          </w:p>
        </w:tc>
      </w:tr>
    </w:tbl>
    <w:p w:rsidR="00E84155" w:rsidRDefault="00A01F78">
      <w:pPr>
        <w:pStyle w:val="Text1"/>
        <w:spacing w:before="60" w:after="60"/>
        <w:ind w:left="851"/>
        <w:rPr>
          <w:noProof/>
          <w:sz w:val="18"/>
          <w:szCs w:val="18"/>
        </w:rPr>
      </w:pPr>
      <w:r>
        <w:rPr>
          <w:b/>
          <w:noProof/>
          <w:sz w:val="18"/>
        </w:rPr>
        <w:t>XX</w:t>
      </w:r>
      <w:r>
        <w:rPr>
          <w:noProof/>
          <w:sz w:val="18"/>
        </w:rPr>
        <w:t xml:space="preserve"> est le domaine politique ou le titre concerné.</w:t>
      </w:r>
    </w:p>
    <w:p w:rsidR="00E84155" w:rsidRDefault="00A01F78">
      <w:pPr>
        <w:pStyle w:val="Text1"/>
        <w:rPr>
          <w:noProof/>
          <w:sz w:val="18"/>
          <w:szCs w:val="18"/>
        </w:rPr>
      </w:pPr>
      <w:r>
        <w:rPr>
          <w:noProof/>
          <w:sz w:val="18"/>
        </w:rPr>
        <w:t>Les besoins en ressources humaines seront couverts par les effectifs de la DG déjà affectés à la gestion de l'action et/ou redéployés en interne au sein</w:t>
      </w:r>
      <w:r>
        <w:rPr>
          <w:noProof/>
          <w:sz w:val="18"/>
        </w:rPr>
        <w:t xml:space="preserve"> de la DG, complétés le cas échéant par toute dotation additionnelle qui pourrait être allouée à la DG gestionnaire dans le cadre de la procédure d'allocation annuelle et compte tenu des contraintes budgétaires existantes.</w:t>
      </w:r>
    </w:p>
    <w:p w:rsidR="00E84155" w:rsidRDefault="00A01F78">
      <w:pPr>
        <w:rPr>
          <w:noProof/>
          <w:sz w:val="20"/>
        </w:rPr>
      </w:pPr>
      <w:r>
        <w:rPr>
          <w:noProof/>
          <w:sz w:val="20"/>
        </w:rPr>
        <w:t>Description des tâches à effectue</w:t>
      </w:r>
      <w:r>
        <w:rPr>
          <w:noProof/>
          <w:sz w:val="20"/>
        </w:rPr>
        <w:t>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84155">
        <w:tc>
          <w:tcPr>
            <w:tcW w:w="3240" w:type="dxa"/>
          </w:tcPr>
          <w:p w:rsidR="00E84155" w:rsidRDefault="00A01F78">
            <w:pPr>
              <w:rPr>
                <w:noProof/>
                <w:sz w:val="20"/>
              </w:rPr>
            </w:pPr>
            <w:r>
              <w:rPr>
                <w:noProof/>
                <w:sz w:val="20"/>
              </w:rPr>
              <w:t>Fonctionnaires et agents temporaires</w:t>
            </w:r>
          </w:p>
        </w:tc>
        <w:tc>
          <w:tcPr>
            <w:tcW w:w="7200" w:type="dxa"/>
          </w:tcPr>
          <w:p w:rsidR="00E84155" w:rsidRDefault="00E84155">
            <w:pPr>
              <w:rPr>
                <w:noProof/>
                <w:sz w:val="20"/>
              </w:rPr>
            </w:pPr>
          </w:p>
        </w:tc>
      </w:tr>
      <w:tr w:rsidR="00E84155">
        <w:tc>
          <w:tcPr>
            <w:tcW w:w="3240" w:type="dxa"/>
          </w:tcPr>
          <w:p w:rsidR="00E84155" w:rsidRDefault="00A01F78">
            <w:pPr>
              <w:spacing w:before="60" w:after="60"/>
              <w:rPr>
                <w:noProof/>
                <w:sz w:val="20"/>
              </w:rPr>
            </w:pPr>
            <w:r>
              <w:rPr>
                <w:noProof/>
                <w:sz w:val="20"/>
              </w:rPr>
              <w:t>Personnel externe</w:t>
            </w:r>
          </w:p>
        </w:tc>
        <w:tc>
          <w:tcPr>
            <w:tcW w:w="7200" w:type="dxa"/>
          </w:tcPr>
          <w:p w:rsidR="00E84155" w:rsidRDefault="00E84155">
            <w:pPr>
              <w:rPr>
                <w:noProof/>
                <w:sz w:val="20"/>
              </w:rPr>
            </w:pPr>
          </w:p>
        </w:tc>
      </w:tr>
    </w:tbl>
    <w:p w:rsidR="00E84155" w:rsidRDefault="00E84155">
      <w:pPr>
        <w:rPr>
          <w:noProof/>
        </w:rPr>
        <w:sectPr w:rsidR="00E84155" w:rsidSect="00A01F78">
          <w:pgSz w:w="11907" w:h="16840"/>
          <w:pgMar w:top="1134" w:right="1418" w:bottom="1134" w:left="1418" w:header="709" w:footer="709" w:gutter="0"/>
          <w:cols w:space="708"/>
          <w:docGrid w:linePitch="360"/>
        </w:sectPr>
      </w:pPr>
    </w:p>
    <w:p w:rsidR="00E84155" w:rsidRDefault="00A01F78">
      <w:pPr>
        <w:pStyle w:val="ManualHeading3"/>
        <w:rPr>
          <w:bCs/>
          <w:noProof/>
          <w:szCs w:val="24"/>
        </w:rPr>
      </w:pPr>
      <w:r>
        <w:rPr>
          <w:noProof/>
        </w:rPr>
        <w:t>3.2.4.</w:t>
      </w:r>
      <w:r>
        <w:rPr>
          <w:noProof/>
        </w:rPr>
        <w:tab/>
        <w:t xml:space="preserve">Compatibilité avec le cadre financier pluriannuel actuel </w:t>
      </w:r>
    </w:p>
    <w:p w:rsidR="00E84155" w:rsidRDefault="00A01F78">
      <w:pPr>
        <w:pStyle w:val="ListDash1"/>
        <w:rPr>
          <w:noProof/>
        </w:rPr>
      </w:pPr>
      <w:r>
        <w:rPr>
          <w:noProof/>
        </w:rPr>
        <w:sym w:font="Wingdings" w:char="F078"/>
      </w:r>
      <w:r>
        <w:rPr>
          <w:noProof/>
        </w:rPr>
        <w:tab/>
        <w:t>La proposition/l'initiative est compatible avec le cadre financier pluriannuel actuel.</w:t>
      </w:r>
    </w:p>
    <w:p w:rsidR="00E84155" w:rsidRDefault="00A01F78">
      <w:pPr>
        <w:pStyle w:val="ListDash1"/>
        <w:rPr>
          <w:noProof/>
        </w:rPr>
      </w:pPr>
      <w:r>
        <w:rPr>
          <w:noProof/>
        </w:rPr>
        <w:sym w:font="Wingdings" w:char="F0A8"/>
      </w:r>
      <w:r>
        <w:rPr>
          <w:noProof/>
        </w:rPr>
        <w:tab/>
        <w:t>La proposition/l</w:t>
      </w:r>
      <w:r>
        <w:rPr>
          <w:noProof/>
        </w:rPr>
        <w:t>'initiative nécessite une reprogrammation de la rubrique concernée du cadre financier pluriannuel.</w:t>
      </w:r>
    </w:p>
    <w:p w:rsidR="00E84155" w:rsidRDefault="00A01F78">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E84155" w:rsidRDefault="00A01F78">
      <w:pPr>
        <w:pStyle w:val="ListDash1"/>
        <w:rPr>
          <w:noProof/>
        </w:rPr>
      </w:pPr>
      <w:r>
        <w:rPr>
          <w:noProof/>
        </w:rPr>
        <w:sym w:font="Wingdings" w:char="F0A8"/>
      </w:r>
      <w:r>
        <w:rPr>
          <w:noProof/>
        </w:rPr>
        <w:tab/>
        <w:t xml:space="preserve">La proposition/l'initiative nécessite </w:t>
      </w:r>
      <w:r>
        <w:rPr>
          <w:noProof/>
        </w:rPr>
        <w:t>le recours à l’instrument de flexibilité ou la révision du cadre financier pluriannuel.</w:t>
      </w:r>
    </w:p>
    <w:p w:rsidR="00E84155" w:rsidRDefault="00A01F78">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E84155" w:rsidRDefault="00A01F78">
      <w:pPr>
        <w:pStyle w:val="ManualHeading3"/>
        <w:rPr>
          <w:bCs/>
          <w:noProof/>
          <w:szCs w:val="24"/>
        </w:rPr>
      </w:pPr>
      <w:r>
        <w:rPr>
          <w:noProof/>
        </w:rPr>
        <w:t>3.2.5.</w:t>
      </w:r>
      <w:r>
        <w:rPr>
          <w:noProof/>
        </w:rPr>
        <w:tab/>
        <w:t xml:space="preserve">Participation de tiers au financement </w:t>
      </w:r>
    </w:p>
    <w:p w:rsidR="00E84155" w:rsidRDefault="00A01F78">
      <w:pPr>
        <w:pStyle w:val="ListDash1"/>
        <w:rPr>
          <w:noProof/>
        </w:rPr>
      </w:pPr>
      <w:r>
        <w:rPr>
          <w:noProof/>
        </w:rPr>
        <w:t>La propos</w:t>
      </w:r>
      <w:r>
        <w:rPr>
          <w:noProof/>
        </w:rPr>
        <w:t xml:space="preserve">ition/l'initiative ne prévoit pas de cofinancement par des tierces parties. </w:t>
      </w:r>
    </w:p>
    <w:p w:rsidR="00E84155" w:rsidRDefault="00A01F78">
      <w:pPr>
        <w:pStyle w:val="ListDash1"/>
        <w:rPr>
          <w:noProof/>
        </w:rPr>
      </w:pPr>
      <w:r>
        <w:rPr>
          <w:noProof/>
        </w:rPr>
        <w:t>La proposition/l'initiative prévoit un cofinancement estimé ci-après:</w:t>
      </w:r>
    </w:p>
    <w:p w:rsidR="00E84155" w:rsidRDefault="00A01F78">
      <w:pPr>
        <w:jc w:val="right"/>
        <w:rPr>
          <w:noProof/>
          <w:sz w:val="20"/>
        </w:rPr>
      </w:pPr>
      <w:r>
        <w:rPr>
          <w:noProof/>
          <w:sz w:val="20"/>
        </w:rPr>
        <w:t>Crédits en millions d’EUR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84155">
        <w:trPr>
          <w:cantSplit/>
        </w:trPr>
        <w:tc>
          <w:tcPr>
            <w:tcW w:w="2340" w:type="dxa"/>
          </w:tcPr>
          <w:p w:rsidR="00E84155" w:rsidRDefault="00E84155">
            <w:pPr>
              <w:spacing w:before="60" w:after="60"/>
              <w:rPr>
                <w:noProof/>
                <w:sz w:val="20"/>
              </w:rPr>
            </w:pPr>
          </w:p>
        </w:tc>
        <w:tc>
          <w:tcPr>
            <w:tcW w:w="964" w:type="dxa"/>
            <w:vAlign w:val="center"/>
          </w:tcPr>
          <w:p w:rsidR="00E84155" w:rsidRDefault="00A01F78">
            <w:pPr>
              <w:jc w:val="center"/>
              <w:rPr>
                <w:noProof/>
                <w:sz w:val="20"/>
              </w:rPr>
            </w:pPr>
            <w:r>
              <w:rPr>
                <w:noProof/>
                <w:sz w:val="20"/>
              </w:rPr>
              <w:t>Année</w:t>
            </w:r>
            <w:r>
              <w:rPr>
                <w:noProof/>
              </w:rPr>
              <w:br/>
            </w:r>
            <w:r>
              <w:rPr>
                <w:b/>
                <w:noProof/>
                <w:sz w:val="20"/>
              </w:rPr>
              <w:t>N</w:t>
            </w:r>
          </w:p>
        </w:tc>
        <w:tc>
          <w:tcPr>
            <w:tcW w:w="964" w:type="dxa"/>
            <w:vAlign w:val="center"/>
          </w:tcPr>
          <w:p w:rsidR="00E84155" w:rsidRDefault="00A01F78">
            <w:pPr>
              <w:jc w:val="center"/>
              <w:rPr>
                <w:noProof/>
                <w:sz w:val="20"/>
              </w:rPr>
            </w:pPr>
            <w:r>
              <w:rPr>
                <w:noProof/>
                <w:sz w:val="20"/>
              </w:rPr>
              <w:t>Année</w:t>
            </w:r>
            <w:r>
              <w:rPr>
                <w:noProof/>
              </w:rPr>
              <w:br/>
            </w:r>
            <w:r>
              <w:rPr>
                <w:b/>
                <w:noProof/>
                <w:sz w:val="20"/>
              </w:rPr>
              <w:t>N + 1</w:t>
            </w:r>
          </w:p>
        </w:tc>
        <w:tc>
          <w:tcPr>
            <w:tcW w:w="964" w:type="dxa"/>
            <w:vAlign w:val="center"/>
          </w:tcPr>
          <w:p w:rsidR="00E84155" w:rsidRDefault="00A01F78">
            <w:pPr>
              <w:jc w:val="center"/>
              <w:rPr>
                <w:noProof/>
                <w:sz w:val="20"/>
              </w:rPr>
            </w:pPr>
            <w:r>
              <w:rPr>
                <w:noProof/>
                <w:sz w:val="20"/>
              </w:rPr>
              <w:t>Année</w:t>
            </w:r>
            <w:r>
              <w:rPr>
                <w:noProof/>
              </w:rPr>
              <w:br/>
            </w:r>
            <w:r>
              <w:rPr>
                <w:b/>
                <w:noProof/>
                <w:sz w:val="20"/>
              </w:rPr>
              <w:t>N + 2</w:t>
            </w:r>
          </w:p>
        </w:tc>
        <w:tc>
          <w:tcPr>
            <w:tcW w:w="964" w:type="dxa"/>
            <w:vAlign w:val="center"/>
          </w:tcPr>
          <w:p w:rsidR="00E84155" w:rsidRDefault="00A01F78">
            <w:pPr>
              <w:jc w:val="center"/>
              <w:rPr>
                <w:noProof/>
                <w:sz w:val="20"/>
              </w:rPr>
            </w:pPr>
            <w:r>
              <w:rPr>
                <w:noProof/>
                <w:sz w:val="20"/>
              </w:rPr>
              <w:t>Année</w:t>
            </w:r>
            <w:r>
              <w:rPr>
                <w:noProof/>
              </w:rPr>
              <w:br/>
            </w:r>
            <w:r>
              <w:rPr>
                <w:b/>
                <w:noProof/>
                <w:sz w:val="20"/>
              </w:rPr>
              <w:t>N + 3</w:t>
            </w:r>
          </w:p>
        </w:tc>
        <w:tc>
          <w:tcPr>
            <w:tcW w:w="2892" w:type="dxa"/>
            <w:gridSpan w:val="3"/>
            <w:vAlign w:val="center"/>
          </w:tcPr>
          <w:p w:rsidR="00E84155" w:rsidRDefault="00A01F78">
            <w:pPr>
              <w:jc w:val="center"/>
              <w:rPr>
                <w:b/>
                <w:noProof/>
                <w:sz w:val="20"/>
              </w:rPr>
            </w:pPr>
            <w:r>
              <w:rPr>
                <w:noProof/>
                <w:sz w:val="20"/>
              </w:rPr>
              <w:t>Insérer autant d'an</w:t>
            </w:r>
            <w:r>
              <w:rPr>
                <w:noProof/>
                <w:sz w:val="20"/>
              </w:rPr>
              <w:t>nées que nécessaire, pour refléter la durée de l'incidence (cf. point 1.6)</w:t>
            </w:r>
          </w:p>
        </w:tc>
        <w:tc>
          <w:tcPr>
            <w:tcW w:w="1158" w:type="dxa"/>
            <w:vAlign w:val="center"/>
          </w:tcPr>
          <w:p w:rsidR="00E84155" w:rsidRDefault="00A01F78">
            <w:pPr>
              <w:spacing w:before="60" w:after="60"/>
              <w:jc w:val="center"/>
              <w:rPr>
                <w:noProof/>
                <w:sz w:val="20"/>
              </w:rPr>
            </w:pPr>
            <w:r>
              <w:rPr>
                <w:noProof/>
                <w:sz w:val="20"/>
              </w:rPr>
              <w:t>Total</w:t>
            </w:r>
          </w:p>
        </w:tc>
      </w:tr>
      <w:tr w:rsidR="00E84155">
        <w:trPr>
          <w:cantSplit/>
        </w:trPr>
        <w:tc>
          <w:tcPr>
            <w:tcW w:w="2340" w:type="dxa"/>
          </w:tcPr>
          <w:p w:rsidR="00E84155" w:rsidRDefault="00A01F78">
            <w:pPr>
              <w:rPr>
                <w:noProof/>
              </w:rPr>
            </w:pPr>
            <w:r>
              <w:rPr>
                <w:noProof/>
                <w:sz w:val="20"/>
              </w:rPr>
              <w:t>Préciser l'organisme de cofinancement</w:t>
            </w:r>
            <w:r>
              <w:rPr>
                <w:i/>
                <w:noProof/>
                <w:sz w:val="20"/>
              </w:rPr>
              <w:t xml:space="preserve"> </w:t>
            </w: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1158" w:type="dxa"/>
            <w:vAlign w:val="center"/>
          </w:tcPr>
          <w:p w:rsidR="00E84155" w:rsidRDefault="00E84155">
            <w:pPr>
              <w:spacing w:before="60" w:after="60"/>
              <w:jc w:val="center"/>
              <w:rPr>
                <w:noProof/>
                <w:sz w:val="20"/>
              </w:rPr>
            </w:pPr>
          </w:p>
        </w:tc>
      </w:tr>
      <w:tr w:rsidR="00E84155">
        <w:trPr>
          <w:cantSplit/>
        </w:trPr>
        <w:tc>
          <w:tcPr>
            <w:tcW w:w="2340" w:type="dxa"/>
          </w:tcPr>
          <w:p w:rsidR="00E84155" w:rsidRDefault="00A01F78">
            <w:pPr>
              <w:spacing w:before="60" w:after="60"/>
              <w:jc w:val="left"/>
              <w:rPr>
                <w:noProof/>
                <w:sz w:val="20"/>
              </w:rPr>
            </w:pPr>
            <w:r>
              <w:rPr>
                <w:noProof/>
                <w:sz w:val="20"/>
              </w:rPr>
              <w:t xml:space="preserve">TOTAL crédits cofinancés </w:t>
            </w: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964" w:type="dxa"/>
            <w:vAlign w:val="center"/>
          </w:tcPr>
          <w:p w:rsidR="00E84155" w:rsidRDefault="00E84155">
            <w:pPr>
              <w:spacing w:before="60" w:after="60"/>
              <w:jc w:val="center"/>
              <w:rPr>
                <w:noProof/>
                <w:sz w:val="20"/>
              </w:rPr>
            </w:pPr>
          </w:p>
        </w:tc>
        <w:tc>
          <w:tcPr>
            <w:tcW w:w="1158" w:type="dxa"/>
            <w:vAlign w:val="center"/>
          </w:tcPr>
          <w:p w:rsidR="00E84155" w:rsidRDefault="00E84155">
            <w:pPr>
              <w:spacing w:before="60" w:after="60"/>
              <w:jc w:val="center"/>
              <w:rPr>
                <w:noProof/>
                <w:sz w:val="20"/>
              </w:rPr>
            </w:pPr>
          </w:p>
        </w:tc>
      </w:tr>
    </w:tbl>
    <w:p w:rsidR="00E84155" w:rsidRDefault="00A01F78">
      <w:pPr>
        <w:pStyle w:val="ManualHeading2"/>
        <w:rPr>
          <w:bCs/>
          <w:noProof/>
          <w:szCs w:val="24"/>
        </w:rPr>
      </w:pPr>
      <w:r>
        <w:rPr>
          <w:noProof/>
        </w:rPr>
        <w:t>3.3.</w:t>
      </w:r>
      <w:r>
        <w:rPr>
          <w:noProof/>
        </w:rPr>
        <w:tab/>
        <w:t xml:space="preserve">Incidence estimée sur les recettes </w:t>
      </w:r>
    </w:p>
    <w:p w:rsidR="00E84155" w:rsidRDefault="00A01F78">
      <w:pPr>
        <w:pStyle w:val="ListDash1"/>
        <w:rPr>
          <w:noProof/>
        </w:rPr>
      </w:pPr>
      <w:r>
        <w:rPr>
          <w:noProof/>
        </w:rPr>
        <w:sym w:font="Wingdings" w:char="F078"/>
      </w:r>
      <w:r>
        <w:rPr>
          <w:noProof/>
        </w:rPr>
        <w:tab/>
        <w:t xml:space="preserve">La proposition/l'initiative est sans incidence </w:t>
      </w:r>
      <w:r>
        <w:rPr>
          <w:noProof/>
        </w:rPr>
        <w:t>financière sur les recettes.</w:t>
      </w:r>
    </w:p>
    <w:p w:rsidR="00E84155" w:rsidRDefault="00A01F78">
      <w:pPr>
        <w:pStyle w:val="ListDash1"/>
        <w:rPr>
          <w:noProof/>
        </w:rPr>
      </w:pPr>
      <w:r>
        <w:rPr>
          <w:noProof/>
        </w:rPr>
        <w:sym w:font="Wingdings" w:char="F0A8"/>
      </w:r>
      <w:r>
        <w:rPr>
          <w:noProof/>
        </w:rPr>
        <w:tab/>
        <w:t>La proposition/l’initiative a une incidence financière décrite ci-après:</w:t>
      </w:r>
    </w:p>
    <w:p w:rsidR="00E84155" w:rsidRDefault="00A01F78">
      <w:pPr>
        <w:pStyle w:val="ListNumberLevel3"/>
        <w:tabs>
          <w:tab w:val="clear" w:pos="2126"/>
        </w:tabs>
        <w:rPr>
          <w:noProof/>
        </w:rPr>
      </w:pPr>
      <w:r>
        <w:rPr>
          <w:noProof/>
        </w:rPr>
        <w:sym w:font="Wingdings" w:char="F0A8"/>
      </w:r>
      <w:r>
        <w:rPr>
          <w:noProof/>
        </w:rPr>
        <w:tab/>
        <w:t xml:space="preserve">sur les ressources propres </w:t>
      </w:r>
    </w:p>
    <w:p w:rsidR="00E84155" w:rsidRDefault="00A01F78">
      <w:pPr>
        <w:pStyle w:val="ListNumberLevel3"/>
        <w:tabs>
          <w:tab w:val="clear" w:pos="2126"/>
        </w:tabs>
        <w:rPr>
          <w:noProof/>
        </w:rPr>
      </w:pPr>
      <w:r>
        <w:rPr>
          <w:noProof/>
        </w:rPr>
        <w:sym w:font="Wingdings" w:char="F0A8"/>
      </w:r>
      <w:r>
        <w:rPr>
          <w:noProof/>
        </w:rPr>
        <w:tab/>
        <w:t xml:space="preserve">sur les recettes diverses </w:t>
      </w:r>
    </w:p>
    <w:p w:rsidR="00E84155" w:rsidRDefault="00A01F78">
      <w:pPr>
        <w:jc w:val="right"/>
        <w:rPr>
          <w:i/>
          <w:noProof/>
          <w:sz w:val="20"/>
        </w:rPr>
      </w:pPr>
      <w:r>
        <w:rPr>
          <w:noProof/>
        </w:rPr>
        <w:t>En millions d’EUR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84155">
        <w:trPr>
          <w:trHeight w:val="388"/>
        </w:trPr>
        <w:tc>
          <w:tcPr>
            <w:tcW w:w="2144" w:type="dxa"/>
            <w:vMerge w:val="restart"/>
            <w:vAlign w:val="center"/>
          </w:tcPr>
          <w:p w:rsidR="00E84155" w:rsidRDefault="00A01F78">
            <w:pPr>
              <w:spacing w:before="40" w:after="40"/>
              <w:rPr>
                <w:noProof/>
                <w:sz w:val="18"/>
              </w:rPr>
            </w:pPr>
            <w:r>
              <w:rPr>
                <w:noProof/>
                <w:sz w:val="18"/>
              </w:rPr>
              <w:t>Ligne budgétaire de recettes:</w:t>
            </w:r>
          </w:p>
        </w:tc>
        <w:tc>
          <w:tcPr>
            <w:tcW w:w="1276" w:type="dxa"/>
            <w:vMerge w:val="restart"/>
            <w:vAlign w:val="center"/>
          </w:tcPr>
          <w:p w:rsidR="00E84155" w:rsidRDefault="00A01F78">
            <w:pPr>
              <w:jc w:val="center"/>
              <w:rPr>
                <w:noProof/>
                <w:sz w:val="18"/>
              </w:rPr>
            </w:pPr>
            <w:r>
              <w:rPr>
                <w:noProof/>
                <w:sz w:val="18"/>
              </w:rPr>
              <w:t xml:space="preserve">Montants inscrits pour </w:t>
            </w:r>
            <w:r>
              <w:rPr>
                <w:noProof/>
                <w:sz w:val="18"/>
              </w:rPr>
              <w:t>l'exercice en cours</w:t>
            </w:r>
          </w:p>
        </w:tc>
        <w:tc>
          <w:tcPr>
            <w:tcW w:w="7200" w:type="dxa"/>
            <w:gridSpan w:val="7"/>
            <w:vAlign w:val="center"/>
          </w:tcPr>
          <w:p w:rsidR="00E84155" w:rsidRDefault="00A01F78">
            <w:pPr>
              <w:jc w:val="center"/>
              <w:rPr>
                <w:noProof/>
                <w:sz w:val="18"/>
              </w:rPr>
            </w:pPr>
            <w:r>
              <w:rPr>
                <w:noProof/>
                <w:sz w:val="18"/>
              </w:rPr>
              <w:t>Incidence de la proposition/de l'initiative</w:t>
            </w:r>
            <w:r>
              <w:rPr>
                <w:rStyle w:val="FootnoteReference"/>
                <w:noProof/>
                <w:sz w:val="18"/>
              </w:rPr>
              <w:footnoteReference w:id="29"/>
            </w:r>
          </w:p>
        </w:tc>
      </w:tr>
      <w:tr w:rsidR="00E84155">
        <w:trPr>
          <w:trHeight w:val="388"/>
        </w:trPr>
        <w:tc>
          <w:tcPr>
            <w:tcW w:w="2144" w:type="dxa"/>
            <w:vMerge/>
          </w:tcPr>
          <w:p w:rsidR="00E84155" w:rsidRDefault="00E84155">
            <w:pPr>
              <w:spacing w:before="40" w:after="40"/>
              <w:rPr>
                <w:noProof/>
                <w:sz w:val="18"/>
              </w:rPr>
            </w:pPr>
          </w:p>
        </w:tc>
        <w:tc>
          <w:tcPr>
            <w:tcW w:w="1276" w:type="dxa"/>
            <w:vMerge/>
          </w:tcPr>
          <w:p w:rsidR="00E84155" w:rsidRDefault="00E84155">
            <w:pPr>
              <w:spacing w:beforeLines="40" w:before="96" w:afterLines="40" w:after="96"/>
              <w:rPr>
                <w:i/>
                <w:noProof/>
                <w:sz w:val="18"/>
              </w:rPr>
            </w:pPr>
          </w:p>
        </w:tc>
        <w:tc>
          <w:tcPr>
            <w:tcW w:w="1080" w:type="dxa"/>
            <w:vAlign w:val="center"/>
          </w:tcPr>
          <w:p w:rsidR="00E84155" w:rsidRDefault="00A01F78">
            <w:pPr>
              <w:jc w:val="center"/>
              <w:rPr>
                <w:noProof/>
                <w:sz w:val="18"/>
              </w:rPr>
            </w:pPr>
            <w:r>
              <w:rPr>
                <w:noProof/>
                <w:sz w:val="18"/>
              </w:rPr>
              <w:t>Année</w:t>
            </w:r>
            <w:r>
              <w:rPr>
                <w:noProof/>
              </w:rPr>
              <w:br/>
            </w:r>
            <w:r>
              <w:rPr>
                <w:b/>
                <w:noProof/>
                <w:sz w:val="18"/>
              </w:rPr>
              <w:t>N</w:t>
            </w:r>
          </w:p>
        </w:tc>
        <w:tc>
          <w:tcPr>
            <w:tcW w:w="900" w:type="dxa"/>
            <w:vAlign w:val="center"/>
          </w:tcPr>
          <w:p w:rsidR="00E84155" w:rsidRDefault="00A01F78">
            <w:pPr>
              <w:jc w:val="center"/>
              <w:rPr>
                <w:noProof/>
                <w:sz w:val="18"/>
              </w:rPr>
            </w:pPr>
            <w:r>
              <w:rPr>
                <w:noProof/>
                <w:sz w:val="18"/>
              </w:rPr>
              <w:t>Année</w:t>
            </w:r>
            <w:r>
              <w:rPr>
                <w:noProof/>
              </w:rPr>
              <w:br/>
            </w:r>
            <w:r>
              <w:rPr>
                <w:b/>
                <w:noProof/>
                <w:sz w:val="18"/>
              </w:rPr>
              <w:t>N + 1</w:t>
            </w:r>
          </w:p>
        </w:tc>
        <w:tc>
          <w:tcPr>
            <w:tcW w:w="900" w:type="dxa"/>
            <w:vAlign w:val="center"/>
          </w:tcPr>
          <w:p w:rsidR="00E84155" w:rsidRDefault="00A01F78">
            <w:pPr>
              <w:jc w:val="center"/>
              <w:rPr>
                <w:noProof/>
                <w:sz w:val="18"/>
              </w:rPr>
            </w:pPr>
            <w:r>
              <w:rPr>
                <w:noProof/>
                <w:sz w:val="18"/>
              </w:rPr>
              <w:t>Année</w:t>
            </w:r>
            <w:r>
              <w:rPr>
                <w:noProof/>
              </w:rPr>
              <w:br/>
            </w:r>
            <w:r>
              <w:rPr>
                <w:b/>
                <w:noProof/>
                <w:sz w:val="18"/>
              </w:rPr>
              <w:t>N + 2</w:t>
            </w:r>
          </w:p>
        </w:tc>
        <w:tc>
          <w:tcPr>
            <w:tcW w:w="1080" w:type="dxa"/>
            <w:vAlign w:val="center"/>
          </w:tcPr>
          <w:p w:rsidR="00E84155" w:rsidRDefault="00A01F78">
            <w:pPr>
              <w:jc w:val="center"/>
              <w:rPr>
                <w:noProof/>
                <w:sz w:val="18"/>
              </w:rPr>
            </w:pPr>
            <w:r>
              <w:rPr>
                <w:noProof/>
                <w:sz w:val="18"/>
              </w:rPr>
              <w:t>Année</w:t>
            </w:r>
            <w:r>
              <w:rPr>
                <w:noProof/>
              </w:rPr>
              <w:br/>
            </w:r>
            <w:r>
              <w:rPr>
                <w:b/>
                <w:noProof/>
                <w:sz w:val="18"/>
              </w:rPr>
              <w:t>N + 3</w:t>
            </w:r>
          </w:p>
        </w:tc>
        <w:tc>
          <w:tcPr>
            <w:tcW w:w="3240" w:type="dxa"/>
            <w:gridSpan w:val="3"/>
            <w:vAlign w:val="center"/>
          </w:tcPr>
          <w:p w:rsidR="00E84155" w:rsidRDefault="00A01F78">
            <w:pPr>
              <w:jc w:val="center"/>
              <w:rPr>
                <w:b/>
                <w:noProof/>
                <w:sz w:val="18"/>
              </w:rPr>
            </w:pPr>
            <w:r>
              <w:rPr>
                <w:noProof/>
                <w:sz w:val="18"/>
              </w:rPr>
              <w:t>Insérer autant d'années que nécessaire, pour refléter la durée de l'incidence (cf. point 1.6)</w:t>
            </w:r>
          </w:p>
        </w:tc>
      </w:tr>
      <w:tr w:rsidR="00E84155">
        <w:trPr>
          <w:trHeight w:val="388"/>
        </w:trPr>
        <w:tc>
          <w:tcPr>
            <w:tcW w:w="2144" w:type="dxa"/>
            <w:vAlign w:val="center"/>
          </w:tcPr>
          <w:p w:rsidR="00E84155" w:rsidRDefault="00A01F78">
            <w:pPr>
              <w:spacing w:before="40" w:after="40"/>
              <w:rPr>
                <w:noProof/>
                <w:sz w:val="18"/>
              </w:rPr>
            </w:pPr>
            <w:r>
              <w:rPr>
                <w:noProof/>
                <w:sz w:val="18"/>
              </w:rPr>
              <w:t>Article ………….</w:t>
            </w:r>
          </w:p>
        </w:tc>
        <w:tc>
          <w:tcPr>
            <w:tcW w:w="1276" w:type="dxa"/>
          </w:tcPr>
          <w:p w:rsidR="00E84155" w:rsidRDefault="00E84155">
            <w:pPr>
              <w:spacing w:beforeLines="40" w:before="96" w:afterLines="40" w:after="96"/>
              <w:jc w:val="center"/>
              <w:rPr>
                <w:i/>
                <w:noProof/>
                <w:sz w:val="18"/>
              </w:rPr>
            </w:pPr>
          </w:p>
        </w:tc>
        <w:tc>
          <w:tcPr>
            <w:tcW w:w="1080" w:type="dxa"/>
          </w:tcPr>
          <w:p w:rsidR="00E84155" w:rsidRDefault="00E84155">
            <w:pPr>
              <w:spacing w:beforeLines="40" w:before="96" w:afterLines="40" w:after="96"/>
              <w:jc w:val="center"/>
              <w:rPr>
                <w:noProof/>
                <w:sz w:val="18"/>
              </w:rPr>
            </w:pPr>
          </w:p>
        </w:tc>
        <w:tc>
          <w:tcPr>
            <w:tcW w:w="900" w:type="dxa"/>
          </w:tcPr>
          <w:p w:rsidR="00E84155" w:rsidRDefault="00E84155">
            <w:pPr>
              <w:spacing w:beforeLines="40" w:before="96" w:afterLines="40" w:after="96"/>
              <w:jc w:val="center"/>
              <w:rPr>
                <w:noProof/>
                <w:sz w:val="18"/>
              </w:rPr>
            </w:pPr>
          </w:p>
        </w:tc>
        <w:tc>
          <w:tcPr>
            <w:tcW w:w="900" w:type="dxa"/>
          </w:tcPr>
          <w:p w:rsidR="00E84155" w:rsidRDefault="00E84155">
            <w:pPr>
              <w:spacing w:beforeLines="40" w:before="96" w:afterLines="40" w:after="96"/>
              <w:jc w:val="center"/>
              <w:rPr>
                <w:noProof/>
                <w:sz w:val="18"/>
              </w:rPr>
            </w:pPr>
          </w:p>
        </w:tc>
        <w:tc>
          <w:tcPr>
            <w:tcW w:w="1080" w:type="dxa"/>
          </w:tcPr>
          <w:p w:rsidR="00E84155" w:rsidRDefault="00E84155">
            <w:pPr>
              <w:spacing w:beforeLines="40" w:before="96" w:afterLines="40" w:after="96"/>
              <w:jc w:val="center"/>
              <w:rPr>
                <w:noProof/>
                <w:sz w:val="18"/>
              </w:rPr>
            </w:pPr>
          </w:p>
        </w:tc>
        <w:tc>
          <w:tcPr>
            <w:tcW w:w="1080" w:type="dxa"/>
          </w:tcPr>
          <w:p w:rsidR="00E84155" w:rsidRDefault="00E84155">
            <w:pPr>
              <w:spacing w:beforeLines="40" w:before="96" w:afterLines="40" w:after="96"/>
              <w:jc w:val="center"/>
              <w:rPr>
                <w:noProof/>
                <w:sz w:val="18"/>
              </w:rPr>
            </w:pPr>
          </w:p>
        </w:tc>
        <w:tc>
          <w:tcPr>
            <w:tcW w:w="1080" w:type="dxa"/>
          </w:tcPr>
          <w:p w:rsidR="00E84155" w:rsidRDefault="00E84155">
            <w:pPr>
              <w:spacing w:beforeLines="40" w:before="96" w:afterLines="40" w:after="96"/>
              <w:jc w:val="center"/>
              <w:rPr>
                <w:noProof/>
                <w:sz w:val="18"/>
              </w:rPr>
            </w:pPr>
          </w:p>
        </w:tc>
        <w:tc>
          <w:tcPr>
            <w:tcW w:w="1080" w:type="dxa"/>
          </w:tcPr>
          <w:p w:rsidR="00E84155" w:rsidRDefault="00E84155">
            <w:pPr>
              <w:spacing w:beforeLines="40" w:before="96" w:afterLines="40" w:after="96"/>
              <w:jc w:val="center"/>
              <w:rPr>
                <w:noProof/>
                <w:sz w:val="18"/>
              </w:rPr>
            </w:pPr>
          </w:p>
        </w:tc>
      </w:tr>
    </w:tbl>
    <w:p w:rsidR="00E84155" w:rsidRDefault="00A01F78">
      <w:pPr>
        <w:pStyle w:val="Text1"/>
        <w:rPr>
          <w:noProof/>
          <w:sz w:val="20"/>
        </w:rPr>
      </w:pPr>
      <w:r>
        <w:rPr>
          <w:noProof/>
          <w:sz w:val="20"/>
        </w:rPr>
        <w:t>Pour les recettes diverses</w:t>
      </w:r>
      <w:r>
        <w:rPr>
          <w:noProof/>
          <w:sz w:val="20"/>
        </w:rPr>
        <w:t xml:space="preserve"> qui seront «affectées», préciser la(les) ligne(s) budgétaire(s) de dépenses concernée(s).</w:t>
      </w:r>
    </w:p>
    <w:p w:rsidR="00E84155" w:rsidRDefault="00E84155">
      <w:pPr>
        <w:pStyle w:val="Text1"/>
        <w:pBdr>
          <w:top w:val="single" w:sz="4" w:space="1" w:color="auto"/>
          <w:left w:val="single" w:sz="4" w:space="4" w:color="auto"/>
          <w:bottom w:val="single" w:sz="4" w:space="1" w:color="auto"/>
          <w:right w:val="single" w:sz="4" w:space="4" w:color="auto"/>
        </w:pBdr>
        <w:rPr>
          <w:noProof/>
        </w:rPr>
      </w:pPr>
    </w:p>
    <w:p w:rsidR="00E84155" w:rsidRDefault="00A01F78">
      <w:pPr>
        <w:pStyle w:val="Text1"/>
        <w:rPr>
          <w:noProof/>
        </w:rPr>
      </w:pPr>
      <w:r>
        <w:rPr>
          <w:noProof/>
          <w:sz w:val="20"/>
        </w:rPr>
        <w:t>Préciser la méthode de calcul de l'incidence sur les recettes.</w:t>
      </w:r>
      <w:bookmarkStart w:id="0" w:name="_GoBack"/>
      <w:bookmarkEnd w:id="0"/>
    </w:p>
    <w:sectPr w:rsidR="00E84155" w:rsidSect="00A01F7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55" w:rsidRDefault="00A01F78">
      <w:pPr>
        <w:spacing w:before="0" w:after="0"/>
      </w:pPr>
      <w:r>
        <w:separator/>
      </w:r>
    </w:p>
  </w:endnote>
  <w:endnote w:type="continuationSeparator" w:id="0">
    <w:p w:rsidR="00E84155" w:rsidRDefault="00A01F78">
      <w:pPr>
        <w:spacing w:before="0" w:after="0"/>
      </w:pPr>
      <w:r>
        <w:continuationSeparator/>
      </w:r>
    </w:p>
  </w:endnote>
  <w:endnote w:type="continuationNotice" w:id="1">
    <w:p w:rsidR="00E84155" w:rsidRDefault="00E841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55" w:rsidRPr="00A01F78" w:rsidRDefault="00A01F78" w:rsidP="00A01F78">
    <w:pPr>
      <w:pStyle w:val="Footer"/>
      <w:rPr>
        <w:rFonts w:ascii="Arial" w:hAnsi="Arial" w:cs="Arial"/>
        <w:b/>
        <w:sz w:val="48"/>
      </w:rPr>
    </w:pPr>
    <w:r w:rsidRPr="00A01F78">
      <w:rPr>
        <w:rFonts w:ascii="Arial" w:hAnsi="Arial" w:cs="Arial"/>
        <w:b/>
        <w:sz w:val="48"/>
      </w:rPr>
      <w:t>FR</w:t>
    </w:r>
    <w:r w:rsidRPr="00A01F78">
      <w:rPr>
        <w:rFonts w:ascii="Arial" w:hAnsi="Arial" w:cs="Arial"/>
        <w:b/>
        <w:sz w:val="48"/>
      </w:rPr>
      <w:tab/>
    </w:r>
    <w:r w:rsidRPr="00A01F78">
      <w:rPr>
        <w:rFonts w:ascii="Arial" w:hAnsi="Arial" w:cs="Arial"/>
        <w:b/>
        <w:sz w:val="48"/>
      </w:rPr>
      <w:tab/>
    </w:r>
    <w:fldSimple w:instr=" DOCVARIABLE &quot;LW_Confidence&quot; \* MERGEFORMAT ">
      <w:r>
        <w:t xml:space="preserve"> </w:t>
      </w:r>
    </w:fldSimple>
    <w:r w:rsidRPr="00A01F78">
      <w:tab/>
    </w:r>
    <w:r w:rsidRPr="00A01F7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55" w:rsidRPr="00A01F78" w:rsidRDefault="00A01F78" w:rsidP="00A01F78">
    <w:pPr>
      <w:pStyle w:val="Footer"/>
      <w:rPr>
        <w:rFonts w:ascii="Arial" w:hAnsi="Arial" w:cs="Arial"/>
        <w:b/>
        <w:sz w:val="48"/>
      </w:rPr>
    </w:pPr>
    <w:r w:rsidRPr="00A01F78">
      <w:rPr>
        <w:rFonts w:ascii="Arial" w:hAnsi="Arial" w:cs="Arial"/>
        <w:b/>
        <w:sz w:val="48"/>
      </w:rPr>
      <w:t>FR</w:t>
    </w:r>
    <w:r w:rsidRPr="00A01F78">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fldSimple w:instr=" DOCVARIABLE &quot;LW_Confidence&quot; \* MERGEFORMAT ">
      <w:r>
        <w:t xml:space="preserve"> </w:t>
      </w:r>
    </w:fldSimple>
    <w:r w:rsidRPr="00A01F78">
      <w:tab/>
    </w:r>
    <w:r w:rsidRPr="00A01F7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55" w:rsidRPr="00A01F78" w:rsidRDefault="00A01F78" w:rsidP="00A01F78">
    <w:pPr>
      <w:pStyle w:val="FooterLandscape"/>
      <w:rPr>
        <w:rFonts w:ascii="Arial" w:hAnsi="Arial" w:cs="Arial"/>
        <w:b/>
        <w:sz w:val="48"/>
      </w:rPr>
    </w:pPr>
    <w:r w:rsidRPr="00A01F78">
      <w:rPr>
        <w:rFonts w:ascii="Arial" w:hAnsi="Arial" w:cs="Arial"/>
        <w:b/>
        <w:sz w:val="48"/>
      </w:rPr>
      <w:t>FR</w:t>
    </w:r>
    <w:r w:rsidRPr="00A01F78">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fldSimple w:instr=" DOCVARIABLE &quot;LW_Confidence&quot; \* MERGEFORMAT ">
      <w:r>
        <w:t xml:space="preserve"> </w:t>
      </w:r>
    </w:fldSimple>
    <w:r w:rsidRPr="00A01F78">
      <w:tab/>
    </w:r>
    <w:r w:rsidRPr="00A01F7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Default="00A01F78">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fldSimple w:instr=" DOCVARIABLE &quot;LW_Confidence&quot; \* MERGEFORMAT ">
      <w:r>
        <w:t xml:space="preserve"> </w:t>
      </w:r>
    </w:fldSimple>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Footer"/>
      <w:rPr>
        <w:rFonts w:ascii="Arial" w:hAnsi="Arial" w:cs="Arial"/>
        <w:b/>
        <w:sz w:val="48"/>
      </w:rPr>
    </w:pPr>
    <w:r w:rsidRPr="00A01F78">
      <w:rPr>
        <w:rFonts w:ascii="Arial" w:hAnsi="Arial" w:cs="Arial"/>
        <w:b/>
        <w:sz w:val="48"/>
      </w:rPr>
      <w:t>FR</w:t>
    </w:r>
    <w:r w:rsidRPr="00A01F78">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fldSimple w:instr=" DOCVARIABLE &quot;LW_Confidence&quot; \* MERGEFORMAT ">
      <w:r>
        <w:t xml:space="preserve"> </w:t>
      </w:r>
    </w:fldSimple>
    <w:r w:rsidRPr="00A01F78">
      <w:tab/>
    </w:r>
    <w:r w:rsidRPr="00A01F78">
      <w:rPr>
        <w:rFonts w:ascii="Arial" w:hAnsi="Arial" w:cs="Arial"/>
        <w:b/>
        <w:sz w:val="48"/>
      </w:rPr>
      <w: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55" w:rsidRDefault="00A01F78">
      <w:pPr>
        <w:spacing w:before="0" w:after="0"/>
      </w:pPr>
      <w:r>
        <w:separator/>
      </w:r>
    </w:p>
  </w:footnote>
  <w:footnote w:type="continuationSeparator" w:id="0">
    <w:p w:rsidR="00E84155" w:rsidRDefault="00A01F78">
      <w:pPr>
        <w:spacing w:before="0" w:after="0"/>
      </w:pPr>
      <w:r>
        <w:continuationSeparator/>
      </w:r>
    </w:p>
  </w:footnote>
  <w:footnote w:type="continuationNotice" w:id="1">
    <w:p w:rsidR="00E84155" w:rsidRDefault="00E84155">
      <w:pPr>
        <w:spacing w:before="0" w:after="0"/>
      </w:pPr>
    </w:p>
  </w:footnote>
  <w:footnote w:id="2">
    <w:p w:rsidR="00E84155" w:rsidRDefault="00A01F78">
      <w:pPr>
        <w:pStyle w:val="FootnoteText"/>
      </w:pPr>
      <w:r>
        <w:rPr>
          <w:rStyle w:val="FootnoteReference"/>
        </w:rPr>
        <w:footnoteRef/>
      </w:r>
      <w:r>
        <w:tab/>
        <w:t>Règlement (UE) 2016/2135 du Parlement européen et du Conseil du 23 novembre 2016 modifiant le</w:t>
      </w:r>
      <w:r>
        <w:t xml:space="preserve"> règlement (UE) n° 1303/2013 en ce qui concerne certaines dispositions ayant trait à la gestion financière pour certains États membres connaissant ou risquant de connaître de sérieuses difficultés du point de vue de leur stabilité financière (JO L 338 du 1</w:t>
      </w:r>
      <w:r>
        <w:t>3.12.2016, p. 34).</w:t>
      </w:r>
    </w:p>
  </w:footnote>
  <w:footnote w:id="3">
    <w:p w:rsidR="00E84155" w:rsidRDefault="00A01F78">
      <w:pPr>
        <w:pStyle w:val="FootnoteText"/>
      </w:pPr>
      <w:r>
        <w:rPr>
          <w:rStyle w:val="FootnoteReference"/>
        </w:rPr>
        <w:footnoteRef/>
      </w:r>
      <w:r>
        <w:tab/>
        <w:t>Décision d'exécution (UE) 2016/1941 de la Commission du 3 novembre 2016 modifiant la décision d'exécution 2014/190/UE établissant la ventilation annuelle par État membre des ressources globales pour le Fonds européen de développement r</w:t>
      </w:r>
      <w:r>
        <w:t>égional, le Fonds social européen et le Fonds de cohésion au titre de l'objectif «Investissement pour la croissance et l'emploi» et de l'objectif «Coopération territoriale européenne», la ventilation annuelle par État membre des ressources de la dotation s</w:t>
      </w:r>
      <w:r>
        <w:t xml:space="preserve">pécifique allouée à l'initiative pour l'emploi des jeunes, accompagnée de la liste des régions éligibles, ainsi que les montants à transférer de la dotation de chaque État membre bénéficiaire du Fonds de cohésion et des Fonds structurels au mécanisme pour </w:t>
      </w:r>
      <w:r>
        <w:t>l'interconnexion en Europe et à l'aide aux plus démunis pour la période 2014-2020 [notifiée sous le numéro C(2016) 6909] (JO L 299 du 5.11.2016, p. 61).</w:t>
      </w:r>
    </w:p>
  </w:footnote>
  <w:footnote w:id="4">
    <w:p w:rsidR="00E84155" w:rsidRDefault="00A01F78">
      <w:pPr>
        <w:pStyle w:val="FootnoteText"/>
      </w:pPr>
      <w:r>
        <w:rPr>
          <w:rStyle w:val="FootnoteReference"/>
        </w:rPr>
        <w:footnoteRef/>
      </w:r>
      <w:r>
        <w:tab/>
        <w:t>Décision d'exécution (UE) 2016/1916 de la Commission du 27 octobre 2016 modifiant la décision d'exécu</w:t>
      </w:r>
      <w:r>
        <w:t>tion 2014/99/UE de la Commission établissant la liste des régions éligibles à un financement du Fonds européen de développement régional et du Fonds social européen et des États membres éligibles à un financement par le Fonds de cohésion pour la période 20</w:t>
      </w:r>
      <w:r>
        <w:t>14-2020 [notifiée sous le numéro C(2016) 6820] (JO L 296 du 1.11.2016, p. 15).</w:t>
      </w:r>
    </w:p>
  </w:footnote>
  <w:footnote w:id="5">
    <w:p w:rsidR="00E84155" w:rsidRDefault="00A01F78">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6">
    <w:p w:rsidR="00E84155" w:rsidRDefault="00A01F78">
      <w:pPr>
        <w:pStyle w:val="FootnoteText"/>
      </w:pPr>
      <w:r>
        <w:rPr>
          <w:rStyle w:val="FootnoteReference"/>
        </w:rPr>
        <w:footnoteRef/>
      </w:r>
      <w:r>
        <w:tab/>
        <w:t>JO C […]</w:t>
      </w:r>
      <w:r>
        <w:t xml:space="preserve"> du […], p. […].</w:t>
      </w:r>
    </w:p>
  </w:footnote>
  <w:footnote w:id="7">
    <w:p w:rsidR="00E84155" w:rsidRDefault="00A01F78">
      <w:pPr>
        <w:pStyle w:val="FootnoteText"/>
      </w:pPr>
      <w:r>
        <w:rPr>
          <w:rStyle w:val="FootnoteReference"/>
        </w:rPr>
        <w:footnoteRef/>
      </w:r>
      <w:r>
        <w:tab/>
        <w:t>JO C […] du […], p. […].</w:t>
      </w:r>
    </w:p>
  </w:footnote>
  <w:footnote w:id="8">
    <w:p w:rsidR="00E84155" w:rsidRDefault="00A01F78">
      <w:pPr>
        <w:pStyle w:val="FootnoteText"/>
      </w:pPr>
      <w:r>
        <w:rPr>
          <w:rStyle w:val="FootnoteReference"/>
        </w:rPr>
        <w:footnoteRef/>
      </w:r>
      <w:r>
        <w:tab/>
        <w:t xml:space="preserve">Règlement (UE) n° 1303/2013 du Parlement européen et du Conseil du 17 décembre 2013 portant dispositions communes relatives au Fonds européen de développement régional, au Fonds social européen, au Fonds de </w:t>
      </w:r>
      <w:r>
        <w:t>cohésion, au Fonds européen agricole pour le développement rural et au Fonds européen pour les affaires maritimes et la pêche, portant dispositions générales applicables au Fonds européen de développement régional, au Fonds social européen, au Fonds de coh</w:t>
      </w:r>
      <w:r>
        <w:t>ésion et au Fonds européen pour les affaires maritimes et la pêche, et abrogeant le règlement (CE) n °1083/2006 du Conseil.</w:t>
      </w:r>
    </w:p>
  </w:footnote>
  <w:footnote w:id="9">
    <w:p w:rsidR="00E84155" w:rsidRDefault="00A01F78">
      <w:pPr>
        <w:pStyle w:val="FootnoteText"/>
      </w:pPr>
      <w:r>
        <w:rPr>
          <w:rStyle w:val="FootnoteReference"/>
        </w:rPr>
        <w:footnoteRef/>
      </w:r>
      <w:r>
        <w:tab/>
        <w:t>Règlement (UE, Euratom) nº 1311/2013 du Conseil du 2 décembre 2013 fixant le cadre financier pluriannuel pour la période 2014-2020</w:t>
      </w:r>
      <w:r>
        <w:t xml:space="preserve"> (JO L 347 du 20.12.2013, p. 884).</w:t>
      </w:r>
    </w:p>
  </w:footnote>
  <w:footnote w:id="10">
    <w:p w:rsidR="00E84155" w:rsidRDefault="00A01F78">
      <w:pPr>
        <w:pStyle w:val="FootnoteText"/>
      </w:pPr>
      <w:r>
        <w:rPr>
          <w:rStyle w:val="FootnoteReference"/>
        </w:rPr>
        <w:footnoteRef/>
      </w:r>
      <w:r>
        <w:tab/>
        <w:t>Communication de la Commission au Conseil et au Parlement européen - Ajustement technique du cadre financier pour 2017 à l'évolution du RNB et ajustement des enveloppes en faveur de la politique de cohésion [COM(2016) 3</w:t>
      </w:r>
      <w:r>
        <w:t>11 du 30 juin 2016].</w:t>
      </w:r>
    </w:p>
  </w:footnote>
  <w:footnote w:id="11">
    <w:p w:rsidR="00E84155" w:rsidRDefault="00A01F78">
      <w:pPr>
        <w:pStyle w:val="FootnoteText"/>
      </w:pPr>
      <w:r>
        <w:rPr>
          <w:rStyle w:val="FootnoteReference"/>
        </w:rPr>
        <w:footnoteRef/>
      </w:r>
      <w:r>
        <w:tab/>
        <w:t>Décision d'exécution (UE) 2016/1941 de la Commission du 3 novembre 2016 modifiant la décision d'exécution 2014/190/UE établissant la ventilation annuelle par État membre des ressources globales pour le Fonds européen de développement</w:t>
      </w:r>
      <w:r>
        <w:t xml:space="preserve"> régional, le Fonds social européen et le Fonds de cohésion au titre de l'objectif «Investissement pour la croissance et l'emploi» et de l'objectif «Coopération territoriale européenne», la ventilation annuelle par État membre des ressources de la dotation</w:t>
      </w:r>
      <w:r>
        <w:t xml:space="preserve"> spécifique allouée à l'initiative pour l'emploi des jeunes, accompagnée de la liste des régions éligibles, ainsi que les montants à transférer de la dotation de chaque État membre bénéficiaire du Fonds de cohésion et des Fonds structurels au mécanisme pou</w:t>
      </w:r>
      <w:r>
        <w:t>r l'interconnexion en Europe et à l'aide aux plus démunis pour la période 2014-2020 [notifiée sous le numéro C(2016) 6909] (JO L 299 du 5.11.2016, p. 61).</w:t>
      </w:r>
    </w:p>
  </w:footnote>
  <w:footnote w:id="12">
    <w:p w:rsidR="00E84155" w:rsidRDefault="00A01F78">
      <w:pPr>
        <w:pStyle w:val="FootnoteText"/>
      </w:pPr>
      <w:r>
        <w:rPr>
          <w:rStyle w:val="FootnoteReference"/>
        </w:rPr>
        <w:footnoteRef/>
      </w:r>
      <w:r>
        <w:tab/>
        <w:t>Règlement (UE, Euratom) 2017/1123 du Conseil du 20 juin 2017 modifiant le règlement (UE, Euratom) n</w:t>
      </w:r>
      <w:r>
        <w:t>° 1311/2013 fixant le cadre financier pluriannuel pour la période 2014-2020 (JO L 163 du 24.6.2017, p. 1).</w:t>
      </w:r>
    </w:p>
  </w:footnote>
  <w:footnote w:id="13">
    <w:p w:rsidR="00E84155" w:rsidRDefault="00A01F78">
      <w:pPr>
        <w:pStyle w:val="FootnoteText"/>
      </w:pPr>
      <w:r>
        <w:rPr>
          <w:rStyle w:val="FootnoteReference"/>
        </w:rPr>
        <w:footnoteRef/>
      </w:r>
      <w:r>
        <w:tab/>
        <w:t>Règlement (UE, Euratom) 2015/623 du Conseil du 21 avril 2015 modifiant le règlement (UE, Euratom) n° 1311/2013 fixant le cadre financier pluriannue</w:t>
      </w:r>
      <w:r>
        <w:t>l pour la période 2014-2020 (JO L 103 du 22.4.2015, p. 1).</w:t>
      </w:r>
    </w:p>
  </w:footnote>
  <w:footnote w:id="14">
    <w:p w:rsidR="00E84155" w:rsidRDefault="00A01F78">
      <w:pPr>
        <w:pStyle w:val="FootnoteText"/>
        <w:rPr>
          <w:szCs w:val="24"/>
        </w:rPr>
      </w:pPr>
      <w:r>
        <w:rPr>
          <w:rStyle w:val="FootnoteReference"/>
        </w:rPr>
        <w:footnoteRef/>
      </w:r>
      <w:r>
        <w:tab/>
        <w:t>ABM: activity-based management (gestion par activité); ABB: activity-based budgeting (établissement du budget par activité).</w:t>
      </w:r>
    </w:p>
  </w:footnote>
  <w:footnote w:id="15">
    <w:p w:rsidR="00E84155" w:rsidRDefault="00A01F78">
      <w:pPr>
        <w:pStyle w:val="FootnoteText"/>
        <w:rPr>
          <w:szCs w:val="24"/>
        </w:rPr>
      </w:pPr>
      <w:r>
        <w:rPr>
          <w:rStyle w:val="FootnoteReference"/>
        </w:rPr>
        <w:footnoteRef/>
      </w:r>
      <w:r>
        <w:tab/>
        <w:t>Tel(le) que visé(e) à l'article 54, paragraphe 2, point a) ou b), du</w:t>
      </w:r>
      <w:r>
        <w:t xml:space="preserve"> règlement financier.</w:t>
      </w:r>
    </w:p>
  </w:footnote>
  <w:footnote w:id="16">
    <w:p w:rsidR="00E84155" w:rsidRDefault="00A01F78">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7">
    <w:p w:rsidR="00E84155" w:rsidRDefault="00A01F78">
      <w:pPr>
        <w:pStyle w:val="FootnoteText"/>
        <w:rPr>
          <w:szCs w:val="24"/>
        </w:rPr>
      </w:pPr>
      <w:r>
        <w:rPr>
          <w:rStyle w:val="FootnoteReference"/>
        </w:rPr>
        <w:footnoteRef/>
      </w:r>
      <w:r>
        <w:tab/>
        <w:t>CD = crédits dissociés / CND = crédits non dissociés.</w:t>
      </w:r>
    </w:p>
  </w:footnote>
  <w:footnote w:id="18">
    <w:p w:rsidR="00E84155" w:rsidRDefault="00A01F78">
      <w:pPr>
        <w:pStyle w:val="FootnoteText"/>
        <w:rPr>
          <w:szCs w:val="24"/>
        </w:rPr>
      </w:pPr>
      <w:r>
        <w:rPr>
          <w:rStyle w:val="FootnoteReference"/>
        </w:rPr>
        <w:footnoteRef/>
      </w:r>
      <w:r>
        <w:tab/>
        <w:t xml:space="preserve">AELE: Association européenne de libre-échange. </w:t>
      </w:r>
    </w:p>
  </w:footnote>
  <w:footnote w:id="19">
    <w:p w:rsidR="00E84155" w:rsidRDefault="00A01F78">
      <w:pPr>
        <w:pStyle w:val="FootnoteText"/>
        <w:rPr>
          <w:szCs w:val="24"/>
        </w:rPr>
      </w:pPr>
      <w:r>
        <w:rPr>
          <w:rStyle w:val="FootnoteReference"/>
        </w:rPr>
        <w:footnoteRef/>
      </w:r>
      <w:r>
        <w:tab/>
        <w:t>Pays candidats et, le cas échéant, pays candidats potentiels des Balkans occidentaux.</w:t>
      </w:r>
    </w:p>
  </w:footnote>
  <w:footnote w:id="20">
    <w:p w:rsidR="00E84155" w:rsidRDefault="00A01F78">
      <w:pPr>
        <w:pStyle w:val="FootnoteText"/>
      </w:pPr>
      <w:r>
        <w:rPr>
          <w:rStyle w:val="FootnoteReference"/>
        </w:rPr>
        <w:footnoteRef/>
      </w:r>
      <w:r>
        <w:tab/>
        <w:t>Confo</w:t>
      </w:r>
      <w:r>
        <w:t>rmément à l’article 136 du règlement (UE) nº 1303/2013, le préfinancement est validé (apuré) avec les dépenses de l’IEJ déclarées au 31.12.2018.</w:t>
      </w:r>
    </w:p>
  </w:footnote>
  <w:footnote w:id="21">
    <w:p w:rsidR="00E84155" w:rsidRDefault="00A01F78">
      <w:pPr>
        <w:pStyle w:val="FootnoteText"/>
        <w:rPr>
          <w:szCs w:val="24"/>
        </w:rPr>
      </w:pPr>
      <w:r>
        <w:rPr>
          <w:rStyle w:val="FootnoteReference"/>
        </w:rPr>
        <w:footnoteRef/>
      </w:r>
      <w:r>
        <w:tab/>
        <w:t>Assistance technique et/ou administrative et dépenses d’appui à la mise en œuvre de programmes et/ou d’action</w:t>
      </w:r>
      <w:r>
        <w:t>s de l’UE (anciennes lignes «BA»), recherche indirecte, recherche directe.</w:t>
      </w:r>
    </w:p>
  </w:footnote>
  <w:footnote w:id="22">
    <w:p w:rsidR="00E84155" w:rsidRDefault="00A01F78">
      <w:pPr>
        <w:pStyle w:val="FootnoteText"/>
        <w:rPr>
          <w:szCs w:val="24"/>
        </w:rPr>
      </w:pPr>
      <w:r>
        <w:rPr>
          <w:rStyle w:val="FootnoteReference"/>
        </w:rPr>
        <w:footnoteRef/>
      </w:r>
      <w:r>
        <w:tab/>
        <w:t>L'année N est l'année du début de la mise en œuvre de la proposition/de l'initiative.</w:t>
      </w:r>
    </w:p>
  </w:footnote>
  <w:footnote w:id="23">
    <w:p w:rsidR="00E84155" w:rsidRDefault="00A01F78">
      <w:pPr>
        <w:pStyle w:val="FootnoteText"/>
        <w:rPr>
          <w:szCs w:val="24"/>
        </w:rPr>
      </w:pPr>
      <w:r>
        <w:rPr>
          <w:rStyle w:val="FootnoteReference"/>
        </w:rPr>
        <w:footnoteRef/>
      </w:r>
      <w:r>
        <w:tab/>
        <w:t>Les réalisations se réfèrent aux produits et services qui seront fournis (par exemple: nomb</w:t>
      </w:r>
      <w:r>
        <w:t>re d’échanges d’étudiants financés, nombre de km de routes construites, etc.).</w:t>
      </w:r>
    </w:p>
  </w:footnote>
  <w:footnote w:id="24">
    <w:p w:rsidR="00E84155" w:rsidRDefault="00A01F78">
      <w:pPr>
        <w:pStyle w:val="FootnoteText"/>
        <w:rPr>
          <w:szCs w:val="24"/>
        </w:rPr>
      </w:pPr>
      <w:r>
        <w:rPr>
          <w:rStyle w:val="FootnoteReference"/>
        </w:rPr>
        <w:footnoteRef/>
      </w:r>
      <w:r>
        <w:tab/>
        <w:t xml:space="preserve">Tel que décrit dans la partie 1.4.2. «Objectif(s) spécifique(s)…» </w:t>
      </w:r>
    </w:p>
  </w:footnote>
  <w:footnote w:id="25">
    <w:p w:rsidR="00E84155" w:rsidRDefault="00A01F78">
      <w:pPr>
        <w:pStyle w:val="FootnoteText"/>
        <w:rPr>
          <w:szCs w:val="24"/>
        </w:rPr>
      </w:pPr>
      <w:r>
        <w:rPr>
          <w:rStyle w:val="FootnoteReference"/>
        </w:rPr>
        <w:footnoteRef/>
      </w:r>
      <w:r>
        <w:tab/>
        <w:t>L'année N est l'année du début de la mise en œuvre de la proposition/de l'initiative.</w:t>
      </w:r>
    </w:p>
  </w:footnote>
  <w:footnote w:id="26">
    <w:p w:rsidR="00E84155" w:rsidRDefault="00A01F78">
      <w:pPr>
        <w:pStyle w:val="FootnoteText"/>
        <w:rPr>
          <w:szCs w:val="24"/>
        </w:rPr>
      </w:pPr>
      <w:r>
        <w:rPr>
          <w:rStyle w:val="FootnoteReference"/>
        </w:rPr>
        <w:footnoteRef/>
      </w:r>
      <w:r>
        <w:tab/>
        <w:t>Assistance techniq</w:t>
      </w:r>
      <w:r>
        <w:t>ue et/ou administrative et dépenses d’appui à la mise en œuvre de programmes et/ou d’actions de l’UE (anciennes lignes «BA»), recherche indirecte, recherche directe.</w:t>
      </w:r>
    </w:p>
  </w:footnote>
  <w:footnote w:id="27">
    <w:p w:rsidR="00E84155" w:rsidRDefault="00A01F78">
      <w:pPr>
        <w:pStyle w:val="FootnoteText"/>
        <w:rPr>
          <w:szCs w:val="24"/>
        </w:rPr>
      </w:pPr>
      <w:r>
        <w:rPr>
          <w:rStyle w:val="FootnoteReference"/>
        </w:rPr>
        <w:footnoteRef/>
      </w:r>
      <w:r>
        <w:tab/>
        <w:t>AC = agent contractuel; AL = agent local; END = expert national détaché; INT = intérimai</w:t>
      </w:r>
      <w:r>
        <w:t xml:space="preserve">re; JED = jeune expert en délégation. </w:t>
      </w:r>
    </w:p>
  </w:footnote>
  <w:footnote w:id="28">
    <w:p w:rsidR="00E84155" w:rsidRDefault="00A01F78">
      <w:pPr>
        <w:pStyle w:val="FootnoteText"/>
        <w:rPr>
          <w:szCs w:val="24"/>
        </w:rPr>
      </w:pPr>
      <w:r>
        <w:rPr>
          <w:rStyle w:val="FootnoteReference"/>
        </w:rPr>
        <w:footnoteRef/>
      </w:r>
      <w:r>
        <w:tab/>
        <w:t>Sous-plafonds de personnel externe financés sur crédits opérationnels (anciennes lignes «BA»).</w:t>
      </w:r>
    </w:p>
  </w:footnote>
  <w:footnote w:id="29">
    <w:p w:rsidR="00E84155" w:rsidRDefault="00A01F78">
      <w:pPr>
        <w:pStyle w:val="FootnoteText"/>
        <w:rPr>
          <w:szCs w:val="24"/>
        </w:rPr>
      </w:pPr>
      <w:r>
        <w:rPr>
          <w:rStyle w:val="FootnoteReference"/>
        </w:rPr>
        <w:footnoteRef/>
      </w:r>
      <w:r>
        <w:tab/>
        <w:t>En ce qui concerne les ressources propres traditionnelles (droits de douane, cotisations sur le sucre), les montants i</w:t>
      </w:r>
      <w:r>
        <w:t>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55" w:rsidRDefault="00E84155" w:rsidP="00A01F7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Default="00A01F78">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Default="00A01F78" w:rsidP="00A01F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78" w:rsidRPr="00A01F78" w:rsidRDefault="00A01F78" w:rsidP="00A01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09:42: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E46C61130F44F35870CA53B2CBD7A7E"/>
    <w:docVar w:name="LW_CROSSREFERENCE" w:val="&lt;UNUSED&gt;"/>
    <w:docVar w:name="LW_DocType" w:val="COM"/>
    <w:docVar w:name="LW_EMISSION" w:val="5.10.2017"/>
    <w:docVar w:name="LW_EMISSION_ISODATE" w:val="2017-10-0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47"/>
    <w:docVar w:name="LW_REF.II.NEW.CP_YEAR" w:val="2017"/>
    <w:docVar w:name="LW_REF.INST.NEW" w:val="COM"/>
    <w:docVar w:name="LW_REF.INST.NEW_ADOPTED" w:val="final"/>
    <w:docVar w:name="LW_REF.INST.NEW_TEXT" w:val="(2017) 565"/>
    <w:docVar w:name="LW_REF.INTERNE" w:val="&lt;UNUSED&gt;"/>
    <w:docVar w:name="LW_SOUS.TITRE.OBJ.CP" w:val="&lt;UNUSED&gt;"/>
    <w:docVar w:name="LW_STATUT.CP" w:val="Proposition de"/>
    <w:docVar w:name="LW_SUPERTITRE" w:val="&lt;UNUSED&gt;"/>
    <w:docVar w:name="LW_TITRE.OBJ.CP" w:val="modifiant le règlement (UE) n° 1303/2013 en ce qui concerne les changements apportés aux ressources affectées à la cohésion économique, sociale et territoriale et aux ressources affectées aux objectifs «Investissement pour la croissance et l'emploi» et «Coopération territoriale européenne»"/>
    <w:docVar w:name="LW_TYPE.DOC.CP" w:val="RÈGLEMENT DU PARLEMENT EUROPÉEN ET DU CONSEIL"/>
  </w:docVars>
  <w:rsids>
    <w:rsidRoot w:val="00E84155"/>
    <w:rsid w:val="00A01F78"/>
    <w:rsid w:val="00E84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506">
      <w:bodyDiv w:val="1"/>
      <w:marLeft w:val="0"/>
      <w:marRight w:val="0"/>
      <w:marTop w:val="0"/>
      <w:marBottom w:val="0"/>
      <w:divBdr>
        <w:top w:val="none" w:sz="0" w:space="0" w:color="auto"/>
        <w:left w:val="none" w:sz="0" w:space="0" w:color="auto"/>
        <w:bottom w:val="none" w:sz="0" w:space="0" w:color="auto"/>
        <w:right w:val="none" w:sz="0" w:space="0" w:color="auto"/>
      </w:divBdr>
      <w:divsChild>
        <w:div w:id="1453860283">
          <w:marLeft w:val="0"/>
          <w:marRight w:val="0"/>
          <w:marTop w:val="0"/>
          <w:marBottom w:val="0"/>
          <w:divBdr>
            <w:top w:val="none" w:sz="0" w:space="0" w:color="auto"/>
            <w:left w:val="none" w:sz="0" w:space="0" w:color="auto"/>
            <w:bottom w:val="none" w:sz="0" w:space="0" w:color="auto"/>
            <w:right w:val="none" w:sz="0" w:space="0" w:color="auto"/>
          </w:divBdr>
        </w:div>
      </w:divsChild>
    </w:div>
    <w:div w:id="227881525">
      <w:bodyDiv w:val="1"/>
      <w:marLeft w:val="0"/>
      <w:marRight w:val="0"/>
      <w:marTop w:val="0"/>
      <w:marBottom w:val="0"/>
      <w:divBdr>
        <w:top w:val="none" w:sz="0" w:space="0" w:color="auto"/>
        <w:left w:val="none" w:sz="0" w:space="0" w:color="auto"/>
        <w:bottom w:val="none" w:sz="0" w:space="0" w:color="auto"/>
        <w:right w:val="none" w:sz="0" w:space="0" w:color="auto"/>
      </w:divBdr>
      <w:divsChild>
        <w:div w:id="1778021271">
          <w:marLeft w:val="0"/>
          <w:marRight w:val="0"/>
          <w:marTop w:val="0"/>
          <w:marBottom w:val="0"/>
          <w:divBdr>
            <w:top w:val="none" w:sz="0" w:space="0" w:color="auto"/>
            <w:left w:val="none" w:sz="0" w:space="0" w:color="auto"/>
            <w:bottom w:val="none" w:sz="0" w:space="0" w:color="auto"/>
            <w:right w:val="none" w:sz="0" w:space="0" w:color="auto"/>
          </w:divBdr>
        </w:div>
      </w:divsChild>
    </w:div>
    <w:div w:id="448165128">
      <w:bodyDiv w:val="1"/>
      <w:marLeft w:val="0"/>
      <w:marRight w:val="0"/>
      <w:marTop w:val="0"/>
      <w:marBottom w:val="0"/>
      <w:divBdr>
        <w:top w:val="none" w:sz="0" w:space="0" w:color="auto"/>
        <w:left w:val="none" w:sz="0" w:space="0" w:color="auto"/>
        <w:bottom w:val="none" w:sz="0" w:space="0" w:color="auto"/>
        <w:right w:val="none" w:sz="0" w:space="0" w:color="auto"/>
      </w:divBdr>
      <w:divsChild>
        <w:div w:id="1971157902">
          <w:marLeft w:val="0"/>
          <w:marRight w:val="0"/>
          <w:marTop w:val="0"/>
          <w:marBottom w:val="0"/>
          <w:divBdr>
            <w:top w:val="none" w:sz="0" w:space="0" w:color="auto"/>
            <w:left w:val="none" w:sz="0" w:space="0" w:color="auto"/>
            <w:bottom w:val="none" w:sz="0" w:space="0" w:color="auto"/>
            <w:right w:val="none" w:sz="0" w:space="0" w:color="auto"/>
          </w:divBdr>
        </w:div>
      </w:divsChild>
    </w:div>
    <w:div w:id="676881867">
      <w:bodyDiv w:val="1"/>
      <w:marLeft w:val="0"/>
      <w:marRight w:val="0"/>
      <w:marTop w:val="0"/>
      <w:marBottom w:val="0"/>
      <w:divBdr>
        <w:top w:val="none" w:sz="0" w:space="0" w:color="auto"/>
        <w:left w:val="none" w:sz="0" w:space="0" w:color="auto"/>
        <w:bottom w:val="none" w:sz="0" w:space="0" w:color="auto"/>
        <w:right w:val="none" w:sz="0" w:space="0" w:color="auto"/>
      </w:divBdr>
      <w:divsChild>
        <w:div w:id="727843991">
          <w:marLeft w:val="0"/>
          <w:marRight w:val="0"/>
          <w:marTop w:val="0"/>
          <w:marBottom w:val="0"/>
          <w:divBdr>
            <w:top w:val="none" w:sz="0" w:space="0" w:color="auto"/>
            <w:left w:val="none" w:sz="0" w:space="0" w:color="auto"/>
            <w:bottom w:val="none" w:sz="0" w:space="0" w:color="auto"/>
            <w:right w:val="none" w:sz="0" w:space="0" w:color="auto"/>
          </w:divBdr>
        </w:div>
      </w:divsChild>
    </w:div>
    <w:div w:id="790781615">
      <w:bodyDiv w:val="1"/>
      <w:marLeft w:val="0"/>
      <w:marRight w:val="0"/>
      <w:marTop w:val="0"/>
      <w:marBottom w:val="0"/>
      <w:divBdr>
        <w:top w:val="none" w:sz="0" w:space="0" w:color="auto"/>
        <w:left w:val="none" w:sz="0" w:space="0" w:color="auto"/>
        <w:bottom w:val="none" w:sz="0" w:space="0" w:color="auto"/>
        <w:right w:val="none" w:sz="0" w:space="0" w:color="auto"/>
      </w:divBdr>
      <w:divsChild>
        <w:div w:id="941377238">
          <w:marLeft w:val="0"/>
          <w:marRight w:val="0"/>
          <w:marTop w:val="0"/>
          <w:marBottom w:val="0"/>
          <w:divBdr>
            <w:top w:val="none" w:sz="0" w:space="0" w:color="auto"/>
            <w:left w:val="none" w:sz="0" w:space="0" w:color="auto"/>
            <w:bottom w:val="none" w:sz="0" w:space="0" w:color="auto"/>
            <w:right w:val="none" w:sz="0" w:space="0" w:color="auto"/>
          </w:divBdr>
        </w:div>
      </w:divsChild>
    </w:div>
    <w:div w:id="986514969">
      <w:bodyDiv w:val="1"/>
      <w:marLeft w:val="0"/>
      <w:marRight w:val="0"/>
      <w:marTop w:val="0"/>
      <w:marBottom w:val="0"/>
      <w:divBdr>
        <w:top w:val="none" w:sz="0" w:space="0" w:color="auto"/>
        <w:left w:val="none" w:sz="0" w:space="0" w:color="auto"/>
        <w:bottom w:val="none" w:sz="0" w:space="0" w:color="auto"/>
        <w:right w:val="none" w:sz="0" w:space="0" w:color="auto"/>
      </w:divBdr>
      <w:divsChild>
        <w:div w:id="1066142732">
          <w:marLeft w:val="0"/>
          <w:marRight w:val="0"/>
          <w:marTop w:val="0"/>
          <w:marBottom w:val="0"/>
          <w:divBdr>
            <w:top w:val="none" w:sz="0" w:space="0" w:color="auto"/>
            <w:left w:val="none" w:sz="0" w:space="0" w:color="auto"/>
            <w:bottom w:val="none" w:sz="0" w:space="0" w:color="auto"/>
            <w:right w:val="none" w:sz="0" w:space="0" w:color="auto"/>
          </w:divBdr>
          <w:divsChild>
            <w:div w:id="776481600">
              <w:marLeft w:val="0"/>
              <w:marRight w:val="0"/>
              <w:marTop w:val="0"/>
              <w:marBottom w:val="0"/>
              <w:divBdr>
                <w:top w:val="none" w:sz="0" w:space="0" w:color="auto"/>
                <w:left w:val="none" w:sz="0" w:space="0" w:color="auto"/>
                <w:bottom w:val="none" w:sz="0" w:space="0" w:color="auto"/>
                <w:right w:val="none" w:sz="0" w:space="0" w:color="auto"/>
              </w:divBdr>
              <w:divsChild>
                <w:div w:id="786436942">
                  <w:marLeft w:val="0"/>
                  <w:marRight w:val="0"/>
                  <w:marTop w:val="0"/>
                  <w:marBottom w:val="0"/>
                  <w:divBdr>
                    <w:top w:val="none" w:sz="0" w:space="0" w:color="auto"/>
                    <w:left w:val="none" w:sz="0" w:space="0" w:color="auto"/>
                    <w:bottom w:val="none" w:sz="0" w:space="0" w:color="auto"/>
                    <w:right w:val="none" w:sz="0" w:space="0" w:color="auto"/>
                  </w:divBdr>
                  <w:divsChild>
                    <w:div w:id="347563230">
                      <w:marLeft w:val="1"/>
                      <w:marRight w:val="1"/>
                      <w:marTop w:val="0"/>
                      <w:marBottom w:val="0"/>
                      <w:divBdr>
                        <w:top w:val="none" w:sz="0" w:space="0" w:color="auto"/>
                        <w:left w:val="none" w:sz="0" w:space="0" w:color="auto"/>
                        <w:bottom w:val="none" w:sz="0" w:space="0" w:color="auto"/>
                        <w:right w:val="none" w:sz="0" w:space="0" w:color="auto"/>
                      </w:divBdr>
                      <w:divsChild>
                        <w:div w:id="1269923262">
                          <w:marLeft w:val="0"/>
                          <w:marRight w:val="0"/>
                          <w:marTop w:val="0"/>
                          <w:marBottom w:val="0"/>
                          <w:divBdr>
                            <w:top w:val="none" w:sz="0" w:space="0" w:color="auto"/>
                            <w:left w:val="none" w:sz="0" w:space="0" w:color="auto"/>
                            <w:bottom w:val="none" w:sz="0" w:space="0" w:color="auto"/>
                            <w:right w:val="none" w:sz="0" w:space="0" w:color="auto"/>
                          </w:divBdr>
                          <w:divsChild>
                            <w:div w:id="1612667735">
                              <w:marLeft w:val="0"/>
                              <w:marRight w:val="0"/>
                              <w:marTop w:val="0"/>
                              <w:marBottom w:val="360"/>
                              <w:divBdr>
                                <w:top w:val="none" w:sz="0" w:space="0" w:color="auto"/>
                                <w:left w:val="none" w:sz="0" w:space="0" w:color="auto"/>
                                <w:bottom w:val="none" w:sz="0" w:space="0" w:color="auto"/>
                                <w:right w:val="none" w:sz="0" w:space="0" w:color="auto"/>
                              </w:divBdr>
                              <w:divsChild>
                                <w:div w:id="140390823">
                                  <w:marLeft w:val="0"/>
                                  <w:marRight w:val="0"/>
                                  <w:marTop w:val="0"/>
                                  <w:marBottom w:val="0"/>
                                  <w:divBdr>
                                    <w:top w:val="none" w:sz="0" w:space="0" w:color="auto"/>
                                    <w:left w:val="none" w:sz="0" w:space="0" w:color="auto"/>
                                    <w:bottom w:val="none" w:sz="0" w:space="0" w:color="auto"/>
                                    <w:right w:val="none" w:sz="0" w:space="0" w:color="auto"/>
                                  </w:divBdr>
                                  <w:divsChild>
                                    <w:div w:id="1458374493">
                                      <w:marLeft w:val="0"/>
                                      <w:marRight w:val="0"/>
                                      <w:marTop w:val="0"/>
                                      <w:marBottom w:val="0"/>
                                      <w:divBdr>
                                        <w:top w:val="none" w:sz="0" w:space="0" w:color="auto"/>
                                        <w:left w:val="none" w:sz="0" w:space="0" w:color="auto"/>
                                        <w:bottom w:val="none" w:sz="0" w:space="0" w:color="auto"/>
                                        <w:right w:val="none" w:sz="0" w:space="0" w:color="auto"/>
                                      </w:divBdr>
                                      <w:divsChild>
                                        <w:div w:id="1773624652">
                                          <w:marLeft w:val="0"/>
                                          <w:marRight w:val="0"/>
                                          <w:marTop w:val="0"/>
                                          <w:marBottom w:val="0"/>
                                          <w:divBdr>
                                            <w:top w:val="none" w:sz="0" w:space="0" w:color="auto"/>
                                            <w:left w:val="none" w:sz="0" w:space="0" w:color="auto"/>
                                            <w:bottom w:val="none" w:sz="0" w:space="0" w:color="auto"/>
                                            <w:right w:val="none" w:sz="0" w:space="0" w:color="auto"/>
                                          </w:divBdr>
                                          <w:divsChild>
                                            <w:div w:id="348921227">
                                              <w:marLeft w:val="0"/>
                                              <w:marRight w:val="0"/>
                                              <w:marTop w:val="0"/>
                                              <w:marBottom w:val="0"/>
                                              <w:divBdr>
                                                <w:top w:val="none" w:sz="0" w:space="0" w:color="auto"/>
                                                <w:left w:val="none" w:sz="0" w:space="0" w:color="auto"/>
                                                <w:bottom w:val="none" w:sz="0" w:space="0" w:color="auto"/>
                                                <w:right w:val="none" w:sz="0" w:space="0" w:color="auto"/>
                                              </w:divBdr>
                                              <w:divsChild>
                                                <w:div w:id="5239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791">
      <w:bodyDiv w:val="1"/>
      <w:marLeft w:val="0"/>
      <w:marRight w:val="0"/>
      <w:marTop w:val="0"/>
      <w:marBottom w:val="0"/>
      <w:divBdr>
        <w:top w:val="none" w:sz="0" w:space="0" w:color="auto"/>
        <w:left w:val="none" w:sz="0" w:space="0" w:color="auto"/>
        <w:bottom w:val="none" w:sz="0" w:space="0" w:color="auto"/>
        <w:right w:val="none" w:sz="0" w:space="0" w:color="auto"/>
      </w:divBdr>
      <w:divsChild>
        <w:div w:id="140972235">
          <w:marLeft w:val="0"/>
          <w:marRight w:val="0"/>
          <w:marTop w:val="0"/>
          <w:marBottom w:val="0"/>
          <w:divBdr>
            <w:top w:val="none" w:sz="0" w:space="0" w:color="auto"/>
            <w:left w:val="none" w:sz="0" w:space="0" w:color="auto"/>
            <w:bottom w:val="none" w:sz="0" w:space="0" w:color="auto"/>
            <w:right w:val="none" w:sz="0" w:space="0" w:color="auto"/>
          </w:divBdr>
          <w:divsChild>
            <w:div w:id="1057704275">
              <w:marLeft w:val="0"/>
              <w:marRight w:val="0"/>
              <w:marTop w:val="0"/>
              <w:marBottom w:val="0"/>
              <w:divBdr>
                <w:top w:val="none" w:sz="0" w:space="0" w:color="auto"/>
                <w:left w:val="none" w:sz="0" w:space="0" w:color="auto"/>
                <w:bottom w:val="none" w:sz="0" w:space="0" w:color="auto"/>
                <w:right w:val="none" w:sz="0" w:space="0" w:color="auto"/>
              </w:divBdr>
              <w:divsChild>
                <w:div w:id="359742476">
                  <w:marLeft w:val="0"/>
                  <w:marRight w:val="0"/>
                  <w:marTop w:val="0"/>
                  <w:marBottom w:val="0"/>
                  <w:divBdr>
                    <w:top w:val="none" w:sz="0" w:space="0" w:color="auto"/>
                    <w:left w:val="none" w:sz="0" w:space="0" w:color="auto"/>
                    <w:bottom w:val="none" w:sz="0" w:space="0" w:color="auto"/>
                    <w:right w:val="none" w:sz="0" w:space="0" w:color="auto"/>
                  </w:divBdr>
                  <w:divsChild>
                    <w:div w:id="981694903">
                      <w:marLeft w:val="1"/>
                      <w:marRight w:val="1"/>
                      <w:marTop w:val="0"/>
                      <w:marBottom w:val="0"/>
                      <w:divBdr>
                        <w:top w:val="none" w:sz="0" w:space="0" w:color="auto"/>
                        <w:left w:val="none" w:sz="0" w:space="0" w:color="auto"/>
                        <w:bottom w:val="none" w:sz="0" w:space="0" w:color="auto"/>
                        <w:right w:val="none" w:sz="0" w:space="0" w:color="auto"/>
                      </w:divBdr>
                      <w:divsChild>
                        <w:div w:id="288365808">
                          <w:marLeft w:val="0"/>
                          <w:marRight w:val="0"/>
                          <w:marTop w:val="0"/>
                          <w:marBottom w:val="0"/>
                          <w:divBdr>
                            <w:top w:val="none" w:sz="0" w:space="0" w:color="auto"/>
                            <w:left w:val="none" w:sz="0" w:space="0" w:color="auto"/>
                            <w:bottom w:val="none" w:sz="0" w:space="0" w:color="auto"/>
                            <w:right w:val="none" w:sz="0" w:space="0" w:color="auto"/>
                          </w:divBdr>
                          <w:divsChild>
                            <w:div w:id="1465733293">
                              <w:marLeft w:val="0"/>
                              <w:marRight w:val="0"/>
                              <w:marTop w:val="0"/>
                              <w:marBottom w:val="360"/>
                              <w:divBdr>
                                <w:top w:val="none" w:sz="0" w:space="0" w:color="auto"/>
                                <w:left w:val="none" w:sz="0" w:space="0" w:color="auto"/>
                                <w:bottom w:val="none" w:sz="0" w:space="0" w:color="auto"/>
                                <w:right w:val="none" w:sz="0" w:space="0" w:color="auto"/>
                              </w:divBdr>
                              <w:divsChild>
                                <w:div w:id="108625414">
                                  <w:marLeft w:val="0"/>
                                  <w:marRight w:val="0"/>
                                  <w:marTop w:val="0"/>
                                  <w:marBottom w:val="0"/>
                                  <w:divBdr>
                                    <w:top w:val="none" w:sz="0" w:space="0" w:color="auto"/>
                                    <w:left w:val="none" w:sz="0" w:space="0" w:color="auto"/>
                                    <w:bottom w:val="none" w:sz="0" w:space="0" w:color="auto"/>
                                    <w:right w:val="none" w:sz="0" w:space="0" w:color="auto"/>
                                  </w:divBdr>
                                  <w:divsChild>
                                    <w:div w:id="1030883539">
                                      <w:marLeft w:val="0"/>
                                      <w:marRight w:val="0"/>
                                      <w:marTop w:val="0"/>
                                      <w:marBottom w:val="0"/>
                                      <w:divBdr>
                                        <w:top w:val="none" w:sz="0" w:space="0" w:color="auto"/>
                                        <w:left w:val="none" w:sz="0" w:space="0" w:color="auto"/>
                                        <w:bottom w:val="none" w:sz="0" w:space="0" w:color="auto"/>
                                        <w:right w:val="none" w:sz="0" w:space="0" w:color="auto"/>
                                      </w:divBdr>
                                      <w:divsChild>
                                        <w:div w:id="1317951803">
                                          <w:marLeft w:val="0"/>
                                          <w:marRight w:val="0"/>
                                          <w:marTop w:val="0"/>
                                          <w:marBottom w:val="0"/>
                                          <w:divBdr>
                                            <w:top w:val="none" w:sz="0" w:space="0" w:color="auto"/>
                                            <w:left w:val="none" w:sz="0" w:space="0" w:color="auto"/>
                                            <w:bottom w:val="none" w:sz="0" w:space="0" w:color="auto"/>
                                            <w:right w:val="none" w:sz="0" w:space="0" w:color="auto"/>
                                          </w:divBdr>
                                          <w:divsChild>
                                            <w:div w:id="731662566">
                                              <w:marLeft w:val="0"/>
                                              <w:marRight w:val="0"/>
                                              <w:marTop w:val="0"/>
                                              <w:marBottom w:val="0"/>
                                              <w:divBdr>
                                                <w:top w:val="none" w:sz="0" w:space="0" w:color="auto"/>
                                                <w:left w:val="none" w:sz="0" w:space="0" w:color="auto"/>
                                                <w:bottom w:val="none" w:sz="0" w:space="0" w:color="auto"/>
                                                <w:right w:val="none" w:sz="0" w:space="0" w:color="auto"/>
                                              </w:divBdr>
                                              <w:divsChild>
                                                <w:div w:id="151607660">
                                                  <w:marLeft w:val="0"/>
                                                  <w:marRight w:val="0"/>
                                                  <w:marTop w:val="0"/>
                                                  <w:marBottom w:val="0"/>
                                                  <w:divBdr>
                                                    <w:top w:val="none" w:sz="0" w:space="0" w:color="auto"/>
                                                    <w:left w:val="none" w:sz="0" w:space="0" w:color="auto"/>
                                                    <w:bottom w:val="none" w:sz="0" w:space="0" w:color="auto"/>
                                                    <w:right w:val="none" w:sz="0" w:space="0" w:color="auto"/>
                                                  </w:divBdr>
                                                  <w:divsChild>
                                                    <w:div w:id="1775515992">
                                                      <w:marLeft w:val="0"/>
                                                      <w:marRight w:val="0"/>
                                                      <w:marTop w:val="0"/>
                                                      <w:marBottom w:val="0"/>
                                                      <w:divBdr>
                                                        <w:top w:val="none" w:sz="0" w:space="0" w:color="auto"/>
                                                        <w:left w:val="none" w:sz="0" w:space="0" w:color="auto"/>
                                                        <w:bottom w:val="none" w:sz="0" w:space="0" w:color="auto"/>
                                                        <w:right w:val="none" w:sz="0" w:space="0" w:color="auto"/>
                                                      </w:divBdr>
                                                      <w:divsChild>
                                                        <w:div w:id="2077318096">
                                                          <w:marLeft w:val="0"/>
                                                          <w:marRight w:val="0"/>
                                                          <w:marTop w:val="0"/>
                                                          <w:marBottom w:val="0"/>
                                                          <w:divBdr>
                                                            <w:top w:val="none" w:sz="0" w:space="0" w:color="auto"/>
                                                            <w:left w:val="none" w:sz="0" w:space="0" w:color="auto"/>
                                                            <w:bottom w:val="none" w:sz="0" w:space="0" w:color="auto"/>
                                                            <w:right w:val="none" w:sz="0" w:space="0" w:color="auto"/>
                                                          </w:divBdr>
                                                          <w:divsChild>
                                                            <w:div w:id="1023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64715">
      <w:bodyDiv w:val="1"/>
      <w:marLeft w:val="0"/>
      <w:marRight w:val="0"/>
      <w:marTop w:val="0"/>
      <w:marBottom w:val="0"/>
      <w:divBdr>
        <w:top w:val="none" w:sz="0" w:space="0" w:color="auto"/>
        <w:left w:val="none" w:sz="0" w:space="0" w:color="auto"/>
        <w:bottom w:val="none" w:sz="0" w:space="0" w:color="auto"/>
        <w:right w:val="none" w:sz="0" w:space="0" w:color="auto"/>
      </w:divBdr>
      <w:divsChild>
        <w:div w:id="414523516">
          <w:marLeft w:val="0"/>
          <w:marRight w:val="0"/>
          <w:marTop w:val="0"/>
          <w:marBottom w:val="0"/>
          <w:divBdr>
            <w:top w:val="none" w:sz="0" w:space="0" w:color="auto"/>
            <w:left w:val="none" w:sz="0" w:space="0" w:color="auto"/>
            <w:bottom w:val="none" w:sz="0" w:space="0" w:color="auto"/>
            <w:right w:val="none" w:sz="0" w:space="0" w:color="auto"/>
          </w:divBdr>
        </w:div>
      </w:divsChild>
    </w:div>
    <w:div w:id="1602494971">
      <w:bodyDiv w:val="1"/>
      <w:marLeft w:val="0"/>
      <w:marRight w:val="0"/>
      <w:marTop w:val="0"/>
      <w:marBottom w:val="0"/>
      <w:divBdr>
        <w:top w:val="none" w:sz="0" w:space="0" w:color="auto"/>
        <w:left w:val="none" w:sz="0" w:space="0" w:color="auto"/>
        <w:bottom w:val="none" w:sz="0" w:space="0" w:color="auto"/>
        <w:right w:val="none" w:sz="0" w:space="0" w:color="auto"/>
      </w:divBdr>
      <w:divsChild>
        <w:div w:id="1915699597">
          <w:marLeft w:val="0"/>
          <w:marRight w:val="0"/>
          <w:marTop w:val="0"/>
          <w:marBottom w:val="0"/>
          <w:divBdr>
            <w:top w:val="none" w:sz="0" w:space="0" w:color="auto"/>
            <w:left w:val="none" w:sz="0" w:space="0" w:color="auto"/>
            <w:bottom w:val="none" w:sz="0" w:space="0" w:color="auto"/>
            <w:right w:val="none" w:sz="0" w:space="0" w:color="auto"/>
          </w:divBdr>
        </w:div>
      </w:divsChild>
    </w:div>
    <w:div w:id="1625194211">
      <w:bodyDiv w:val="1"/>
      <w:marLeft w:val="0"/>
      <w:marRight w:val="0"/>
      <w:marTop w:val="0"/>
      <w:marBottom w:val="0"/>
      <w:divBdr>
        <w:top w:val="none" w:sz="0" w:space="0" w:color="auto"/>
        <w:left w:val="none" w:sz="0" w:space="0" w:color="auto"/>
        <w:bottom w:val="none" w:sz="0" w:space="0" w:color="auto"/>
        <w:right w:val="none" w:sz="0" w:space="0" w:color="auto"/>
      </w:divBdr>
      <w:divsChild>
        <w:div w:id="1139763268">
          <w:marLeft w:val="0"/>
          <w:marRight w:val="0"/>
          <w:marTop w:val="0"/>
          <w:marBottom w:val="0"/>
          <w:divBdr>
            <w:top w:val="none" w:sz="0" w:space="0" w:color="auto"/>
            <w:left w:val="none" w:sz="0" w:space="0" w:color="auto"/>
            <w:bottom w:val="none" w:sz="0" w:space="0" w:color="auto"/>
            <w:right w:val="none" w:sz="0" w:space="0" w:color="auto"/>
          </w:divBdr>
          <w:divsChild>
            <w:div w:id="211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705">
      <w:bodyDiv w:val="1"/>
      <w:marLeft w:val="0"/>
      <w:marRight w:val="0"/>
      <w:marTop w:val="0"/>
      <w:marBottom w:val="0"/>
      <w:divBdr>
        <w:top w:val="none" w:sz="0" w:space="0" w:color="auto"/>
        <w:left w:val="none" w:sz="0" w:space="0" w:color="auto"/>
        <w:bottom w:val="none" w:sz="0" w:space="0" w:color="auto"/>
        <w:right w:val="none" w:sz="0" w:space="0" w:color="auto"/>
      </w:divBdr>
      <w:divsChild>
        <w:div w:id="30962155">
          <w:marLeft w:val="0"/>
          <w:marRight w:val="0"/>
          <w:marTop w:val="0"/>
          <w:marBottom w:val="0"/>
          <w:divBdr>
            <w:top w:val="none" w:sz="0" w:space="0" w:color="auto"/>
            <w:left w:val="none" w:sz="0" w:space="0" w:color="auto"/>
            <w:bottom w:val="none" w:sz="0" w:space="0" w:color="auto"/>
            <w:right w:val="none" w:sz="0" w:space="0" w:color="auto"/>
          </w:divBdr>
          <w:divsChild>
            <w:div w:id="1616517122">
              <w:marLeft w:val="0"/>
              <w:marRight w:val="0"/>
              <w:marTop w:val="0"/>
              <w:marBottom w:val="0"/>
              <w:divBdr>
                <w:top w:val="none" w:sz="0" w:space="0" w:color="auto"/>
                <w:left w:val="none" w:sz="0" w:space="0" w:color="auto"/>
                <w:bottom w:val="none" w:sz="0" w:space="0" w:color="auto"/>
                <w:right w:val="none" w:sz="0" w:space="0" w:color="auto"/>
              </w:divBdr>
              <w:divsChild>
                <w:div w:id="1063914249">
                  <w:marLeft w:val="0"/>
                  <w:marRight w:val="0"/>
                  <w:marTop w:val="0"/>
                  <w:marBottom w:val="0"/>
                  <w:divBdr>
                    <w:top w:val="none" w:sz="0" w:space="0" w:color="auto"/>
                    <w:left w:val="none" w:sz="0" w:space="0" w:color="auto"/>
                    <w:bottom w:val="none" w:sz="0" w:space="0" w:color="auto"/>
                    <w:right w:val="none" w:sz="0" w:space="0" w:color="auto"/>
                  </w:divBdr>
                  <w:divsChild>
                    <w:div w:id="23986901">
                      <w:marLeft w:val="1"/>
                      <w:marRight w:val="1"/>
                      <w:marTop w:val="0"/>
                      <w:marBottom w:val="0"/>
                      <w:divBdr>
                        <w:top w:val="none" w:sz="0" w:space="0" w:color="auto"/>
                        <w:left w:val="none" w:sz="0" w:space="0" w:color="auto"/>
                        <w:bottom w:val="none" w:sz="0" w:space="0" w:color="auto"/>
                        <w:right w:val="none" w:sz="0" w:space="0" w:color="auto"/>
                      </w:divBdr>
                      <w:divsChild>
                        <w:div w:id="936862724">
                          <w:marLeft w:val="0"/>
                          <w:marRight w:val="0"/>
                          <w:marTop w:val="0"/>
                          <w:marBottom w:val="0"/>
                          <w:divBdr>
                            <w:top w:val="none" w:sz="0" w:space="0" w:color="auto"/>
                            <w:left w:val="none" w:sz="0" w:space="0" w:color="auto"/>
                            <w:bottom w:val="none" w:sz="0" w:space="0" w:color="auto"/>
                            <w:right w:val="none" w:sz="0" w:space="0" w:color="auto"/>
                          </w:divBdr>
                          <w:divsChild>
                            <w:div w:id="397822852">
                              <w:marLeft w:val="0"/>
                              <w:marRight w:val="0"/>
                              <w:marTop w:val="0"/>
                              <w:marBottom w:val="360"/>
                              <w:divBdr>
                                <w:top w:val="none" w:sz="0" w:space="0" w:color="auto"/>
                                <w:left w:val="none" w:sz="0" w:space="0" w:color="auto"/>
                                <w:bottom w:val="none" w:sz="0" w:space="0" w:color="auto"/>
                                <w:right w:val="none" w:sz="0" w:space="0" w:color="auto"/>
                              </w:divBdr>
                              <w:divsChild>
                                <w:div w:id="2103598754">
                                  <w:marLeft w:val="0"/>
                                  <w:marRight w:val="0"/>
                                  <w:marTop w:val="0"/>
                                  <w:marBottom w:val="0"/>
                                  <w:divBdr>
                                    <w:top w:val="none" w:sz="0" w:space="0" w:color="auto"/>
                                    <w:left w:val="none" w:sz="0" w:space="0" w:color="auto"/>
                                    <w:bottom w:val="none" w:sz="0" w:space="0" w:color="auto"/>
                                    <w:right w:val="none" w:sz="0" w:space="0" w:color="auto"/>
                                  </w:divBdr>
                                  <w:divsChild>
                                    <w:div w:id="504173963">
                                      <w:marLeft w:val="0"/>
                                      <w:marRight w:val="0"/>
                                      <w:marTop w:val="0"/>
                                      <w:marBottom w:val="0"/>
                                      <w:divBdr>
                                        <w:top w:val="none" w:sz="0" w:space="0" w:color="auto"/>
                                        <w:left w:val="none" w:sz="0" w:space="0" w:color="auto"/>
                                        <w:bottom w:val="none" w:sz="0" w:space="0" w:color="auto"/>
                                        <w:right w:val="none" w:sz="0" w:space="0" w:color="auto"/>
                                      </w:divBdr>
                                      <w:divsChild>
                                        <w:div w:id="1186406453">
                                          <w:marLeft w:val="0"/>
                                          <w:marRight w:val="0"/>
                                          <w:marTop w:val="0"/>
                                          <w:marBottom w:val="0"/>
                                          <w:divBdr>
                                            <w:top w:val="none" w:sz="0" w:space="0" w:color="auto"/>
                                            <w:left w:val="none" w:sz="0" w:space="0" w:color="auto"/>
                                            <w:bottom w:val="none" w:sz="0" w:space="0" w:color="auto"/>
                                            <w:right w:val="none" w:sz="0" w:space="0" w:color="auto"/>
                                          </w:divBdr>
                                          <w:divsChild>
                                            <w:div w:id="1616446910">
                                              <w:marLeft w:val="0"/>
                                              <w:marRight w:val="0"/>
                                              <w:marTop w:val="0"/>
                                              <w:marBottom w:val="0"/>
                                              <w:divBdr>
                                                <w:top w:val="none" w:sz="0" w:space="0" w:color="auto"/>
                                                <w:left w:val="none" w:sz="0" w:space="0" w:color="auto"/>
                                                <w:bottom w:val="none" w:sz="0" w:space="0" w:color="auto"/>
                                                <w:right w:val="none" w:sz="0" w:space="0" w:color="auto"/>
                                              </w:divBdr>
                                              <w:divsChild>
                                                <w:div w:id="1987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816777">
      <w:bodyDiv w:val="1"/>
      <w:marLeft w:val="0"/>
      <w:marRight w:val="0"/>
      <w:marTop w:val="0"/>
      <w:marBottom w:val="0"/>
      <w:divBdr>
        <w:top w:val="none" w:sz="0" w:space="0" w:color="auto"/>
        <w:left w:val="none" w:sz="0" w:space="0" w:color="auto"/>
        <w:bottom w:val="none" w:sz="0" w:space="0" w:color="auto"/>
        <w:right w:val="none" w:sz="0" w:space="0" w:color="auto"/>
      </w:divBdr>
      <w:divsChild>
        <w:div w:id="44095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D767-B9E4-44DA-A66E-EBBBFA7D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30</Pages>
  <Words>6317</Words>
  <Characters>36012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19</cp:revision>
  <cp:lastPrinted>2017-10-05T07:49:00Z</cp:lastPrinted>
  <dcterms:created xsi:type="dcterms:W3CDTF">2017-10-04T15:06:00Z</dcterms:created>
  <dcterms:modified xsi:type="dcterms:W3CDTF">2017-10-05T07:49:00Z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