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alt="AC395C1A64D64229BCC9DEF0490ED6FD"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rPr>
          <w:noProof/>
        </w:rPr>
      </w:pPr>
      <w:bookmarkStart w:id="1" w:name="_GoBack"/>
      <w:bookmarkEnd w:id="1"/>
      <w:r>
        <w:rPr>
          <w:noProof/>
        </w:rPr>
        <w:lastRenderedPageBreak/>
        <w:t>Having regard to:</w:t>
      </w:r>
    </w:p>
    <w:p>
      <w:pPr>
        <w:pStyle w:val="Tiret0"/>
        <w:tabs>
          <w:tab w:val="clear" w:pos="850"/>
          <w:tab w:val="num" w:pos="1004"/>
        </w:tabs>
        <w:rPr>
          <w:noProof/>
        </w:rPr>
      </w:pPr>
      <w:r>
        <w:rPr>
          <w:noProof/>
        </w:rPr>
        <w:t>the Treaty on the Functioning of the European Union, and in particular Article 314 thereof, in conjunction with the Treaty establishing the European Atomic Energy Community, and in particular Article 106a thereof,</w:t>
      </w:r>
    </w:p>
    <w:p>
      <w:pPr>
        <w:pStyle w:val="Tiret0"/>
        <w:tabs>
          <w:tab w:val="clear" w:pos="850"/>
          <w:tab w:val="num" w:pos="927"/>
        </w:tabs>
        <w:rPr>
          <w:rFonts w:cs="Arial"/>
          <w:noProof/>
          <w:szCs w:val="18"/>
        </w:rPr>
      </w:pPr>
      <w:r>
        <w:rPr>
          <w:noProof/>
        </w:rPr>
        <w:t>Regulation (EU, Euratom) No 966/2012 of the European Parliament and of the Council of 25 October 2012 on the financial rules applicable to the general budget of the Union</w:t>
      </w:r>
      <w:r>
        <w:rPr>
          <w:rStyle w:val="FootnoteReference"/>
          <w:noProof/>
        </w:rPr>
        <w:footnoteReference w:id="2"/>
      </w:r>
      <w:r>
        <w:rPr>
          <w:noProof/>
        </w:rPr>
        <w:t>, and in particular Article 41 thereof,</w:t>
      </w:r>
    </w:p>
    <w:p>
      <w:pPr>
        <w:pStyle w:val="Tiret0"/>
        <w:tabs>
          <w:tab w:val="clear" w:pos="850"/>
          <w:tab w:val="num" w:pos="927"/>
        </w:tabs>
        <w:rPr>
          <w:noProof/>
        </w:rPr>
      </w:pPr>
      <w:r>
        <w:rPr>
          <w:noProof/>
        </w:rPr>
        <w:t>the general budget of the European Union for the financial year 2017, as adopted on 1 December 2016</w:t>
      </w:r>
      <w:r>
        <w:rPr>
          <w:rStyle w:val="FootnoteReference"/>
          <w:noProof/>
        </w:rPr>
        <w:footnoteReference w:id="3"/>
      </w:r>
      <w:r>
        <w:rPr>
          <w:noProof/>
        </w:rPr>
        <w:t>,</w:t>
      </w:r>
    </w:p>
    <w:p>
      <w:pPr>
        <w:pStyle w:val="Tiret0"/>
        <w:rPr>
          <w:noProof/>
        </w:rPr>
      </w:pPr>
      <w:r>
        <w:rPr>
          <w:noProof/>
        </w:rPr>
        <w:t>the amending budget No 1/2017</w:t>
      </w:r>
      <w:r>
        <w:rPr>
          <w:rStyle w:val="FootnoteReference"/>
          <w:noProof/>
        </w:rPr>
        <w:footnoteReference w:id="4"/>
      </w:r>
      <w:r>
        <w:rPr>
          <w:noProof/>
        </w:rPr>
        <w:t>, adopted on 5 April 2017,</w:t>
      </w:r>
    </w:p>
    <w:p>
      <w:pPr>
        <w:pStyle w:val="Tiret0"/>
        <w:rPr>
          <w:noProof/>
        </w:rPr>
      </w:pPr>
      <w:r>
        <w:rPr>
          <w:noProof/>
        </w:rPr>
        <w:t>the amending budget No 2/2017</w:t>
      </w:r>
      <w:r>
        <w:rPr>
          <w:rStyle w:val="FootnoteReference"/>
          <w:noProof/>
        </w:rPr>
        <w:footnoteReference w:id="5"/>
      </w:r>
      <w:r>
        <w:rPr>
          <w:noProof/>
        </w:rPr>
        <w:t>, adopted on 4 July 2017,</w:t>
      </w:r>
    </w:p>
    <w:p>
      <w:pPr>
        <w:pStyle w:val="Tiret0"/>
        <w:rPr>
          <w:noProof/>
        </w:rPr>
      </w:pPr>
      <w:r>
        <w:rPr>
          <w:noProof/>
        </w:rPr>
        <w:t>the amending budget No 3/2017</w:t>
      </w:r>
      <w:r>
        <w:rPr>
          <w:rStyle w:val="FootnoteReference"/>
          <w:noProof/>
        </w:rPr>
        <w:footnoteReference w:id="6"/>
      </w:r>
      <w:r>
        <w:rPr>
          <w:noProof/>
        </w:rPr>
        <w:t>, adopted on 13 September 2017,</w:t>
      </w:r>
    </w:p>
    <w:p>
      <w:pPr>
        <w:pStyle w:val="Tiret0"/>
        <w:rPr>
          <w:noProof/>
        </w:rPr>
      </w:pPr>
      <w:r>
        <w:rPr>
          <w:noProof/>
        </w:rPr>
        <w:t>the amending budget No 4/2017</w:t>
      </w:r>
      <w:r>
        <w:rPr>
          <w:rStyle w:val="FootnoteReference"/>
          <w:noProof/>
        </w:rPr>
        <w:footnoteReference w:id="7"/>
      </w:r>
      <w:r>
        <w:rPr>
          <w:noProof/>
        </w:rPr>
        <w:t>, adopted on 13 September 2017,</w:t>
      </w:r>
    </w:p>
    <w:p>
      <w:pPr>
        <w:pStyle w:val="Tiret0"/>
        <w:rPr>
          <w:noProof/>
        </w:rPr>
      </w:pPr>
      <w:r>
        <w:rPr>
          <w:noProof/>
        </w:rPr>
        <w:t>the draft amending budget No 5/2017</w:t>
      </w:r>
      <w:r>
        <w:rPr>
          <w:rStyle w:val="FootnoteReference"/>
          <w:noProof/>
        </w:rPr>
        <w:footnoteReference w:id="8"/>
      </w:r>
      <w:r>
        <w:rPr>
          <w:noProof/>
        </w:rPr>
        <w:t>, presented on 28 July 2017,</w:t>
      </w:r>
    </w:p>
    <w:p>
      <w:pPr>
        <w:pStyle w:val="Tiret0"/>
        <w:numPr>
          <w:ilvl w:val="0"/>
          <w:numId w:val="0"/>
        </w:numPr>
        <w:spacing w:after="600"/>
        <w:rPr>
          <w:noProof/>
        </w:rPr>
      </w:pPr>
      <w:r>
        <w:rPr>
          <w:noProof/>
        </w:rPr>
        <w:t>The European Commission hereby presents draft amending budget No 6 to the 2017 budget to the European Parliament and to the Council.</w:t>
      </w:r>
    </w:p>
    <w:p>
      <w:pPr>
        <w:spacing w:after="240"/>
        <w:jc w:val="both"/>
        <w:rPr>
          <w:b/>
          <w:noProof/>
          <w:u w:val="single"/>
          <w:lang w:eastAsia="ko-KR"/>
        </w:rPr>
      </w:pPr>
      <w:r>
        <w:rPr>
          <w:b/>
          <w:noProof/>
          <w:u w:val="single"/>
          <w:lang w:eastAsia="ko-KR"/>
        </w:rPr>
        <w:t>CHANGES TO THE STATEMENT OF REVENUE AND EXPENDITURE BY SECTION</w:t>
      </w:r>
    </w:p>
    <w:p>
      <w:pPr>
        <w:jc w:val="both"/>
        <w:rPr>
          <w:noProof/>
          <w:lang w:eastAsia="ko-KR"/>
        </w:rPr>
      </w:pPr>
      <w:r>
        <w:rPr>
          <w:noProof/>
        </w:rPr>
        <w:t>The changes to the statement of revenue and expenditure by section are available on EUR-Lex (</w:t>
      </w:r>
      <w:hyperlink r:id="rId16" w:history="1">
        <w:r>
          <w:rPr>
            <w:rStyle w:val="Hyperlink"/>
            <w:noProof/>
            <w:color w:val="auto"/>
          </w:rPr>
          <w:t>http://eur-lex.europa.eu/budget/www/index-en.htm</w:t>
        </w:r>
      </w:hyperlink>
      <w:r>
        <w:rPr>
          <w:noProof/>
        </w:rPr>
        <w:t>). An English version of the changes to this statement is attached for information as a budgetary annex.</w:t>
      </w:r>
    </w:p>
    <w:p>
      <w:pPr>
        <w:rPr>
          <w:noProof/>
        </w:rPr>
        <w:sectPr>
          <w:headerReference w:type="even" r:id="rId17"/>
          <w:headerReference w:type="default" r:id="rId18"/>
          <w:footerReference w:type="even" r:id="rId19"/>
          <w:footerReference w:type="default" r:id="rId20"/>
          <w:headerReference w:type="first" r:id="rId21"/>
          <w:footerReference w:type="first" r:id="rId22"/>
          <w:pgSz w:w="11907" w:h="16839"/>
          <w:pgMar w:top="1418" w:right="1418" w:bottom="1418" w:left="1418" w:header="709" w:footer="709" w:gutter="0"/>
          <w:pgNumType w:start="2"/>
          <w:cols w:space="720"/>
          <w:docGrid w:linePitch="360"/>
        </w:sectPr>
      </w:pPr>
    </w:p>
    <w:p>
      <w:pPr>
        <w:pStyle w:val="TOCHeading"/>
        <w:rPr>
          <w:noProof/>
        </w:rPr>
      </w:pPr>
      <w:bookmarkStart w:id="2" w:name="_Toc294675429"/>
      <w:bookmarkStart w:id="3" w:name="_Toc272133653"/>
      <w:bookmarkStart w:id="4" w:name="_Toc294673202"/>
      <w:bookmarkStart w:id="5" w:name="_Toc318365572"/>
      <w:bookmarkStart w:id="6" w:name="_Toc361649893"/>
      <w:bookmarkStart w:id="7" w:name="_Toc387301589"/>
      <w:r>
        <w:rPr>
          <w:noProof/>
        </w:rPr>
        <w:lastRenderedPageBreak/>
        <w:t>TABLE OF CONTENTS</w:t>
      </w:r>
    </w:p>
    <w:sdt>
      <w:sdtPr>
        <w:rPr>
          <w:b w:val="0"/>
          <w:noProof/>
          <w:sz w:val="24"/>
          <w:lang w:eastAsia="en-GB"/>
        </w:rPr>
        <w:id w:val="2029912794"/>
        <w:docPartObj>
          <w:docPartGallery w:val="Table of Contents"/>
          <w:docPartUnique/>
        </w:docPartObj>
      </w:sdtPr>
      <w:sdtEndPr>
        <w:rPr>
          <w:bCs/>
        </w:rPr>
      </w:sdtEndPr>
      <w:sdtContent>
        <w:p>
          <w:pPr>
            <w:pStyle w:val="TOCHeading"/>
            <w:spacing w:before="0" w:after="0"/>
            <w:jc w:val="left"/>
            <w:rPr>
              <w:noProof/>
            </w:rPr>
          </w:pPr>
        </w:p>
        <w:p>
          <w:pPr>
            <w:pStyle w:val="TOC1"/>
            <w:tabs>
              <w:tab w:val="left" w:pos="709"/>
              <w:tab w:val="right" w:leader="dot" w:pos="9061"/>
            </w:tabs>
            <w:rPr>
              <w:rFonts w:asciiTheme="minorHAnsi" w:eastAsiaTheme="minorEastAsia" w:hAnsiTheme="minorHAnsi" w:cstheme="minorBidi"/>
              <w:b w:val="0"/>
              <w:bCs w:val="0"/>
              <w:caps w:val="0"/>
              <w:noProof/>
              <w:sz w:val="22"/>
              <w:szCs w:val="22"/>
            </w:rPr>
          </w:pPr>
          <w:r>
            <w:rPr>
              <w:noProof/>
            </w:rPr>
            <w:fldChar w:fldCharType="begin"/>
          </w:r>
          <w:r>
            <w:rPr>
              <w:noProof/>
            </w:rPr>
            <w:instrText xml:space="preserve"> TOC \o "1-3" \h \z \u </w:instrText>
          </w:r>
          <w:r>
            <w:rPr>
              <w:noProof/>
            </w:rPr>
            <w:fldChar w:fldCharType="separate"/>
          </w:r>
          <w:hyperlink w:anchor="_Toc494994370" w:history="1">
            <w:r>
              <w:rPr>
                <w:rStyle w:val="Hyperlink"/>
                <w:noProof/>
              </w:rPr>
              <w:t>1.</w:t>
            </w:r>
            <w:r>
              <w:rPr>
                <w:rFonts w:asciiTheme="minorHAnsi" w:eastAsiaTheme="minorEastAsia" w:hAnsiTheme="minorHAnsi" w:cstheme="minorBidi"/>
                <w:b w:val="0"/>
                <w:bCs w:val="0"/>
                <w:caps w:val="0"/>
                <w:noProof/>
                <w:sz w:val="22"/>
                <w:szCs w:val="22"/>
              </w:rPr>
              <w:tab/>
            </w:r>
            <w:r>
              <w:rPr>
                <w:rStyle w:val="Hyperlink"/>
                <w:noProof/>
              </w:rPr>
              <w:t>Introduction</w:t>
            </w:r>
            <w:r>
              <w:rPr>
                <w:noProof/>
                <w:webHidden/>
              </w:rPr>
              <w:tab/>
            </w:r>
            <w:r>
              <w:rPr>
                <w:noProof/>
                <w:webHidden/>
              </w:rPr>
              <w:fldChar w:fldCharType="begin"/>
            </w:r>
            <w:r>
              <w:rPr>
                <w:noProof/>
                <w:webHidden/>
              </w:rPr>
              <w:instrText xml:space="preserve"> PAGEREF _Toc494994370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rPr>
          </w:pPr>
          <w:hyperlink w:anchor="_Toc494994371" w:history="1">
            <w:r>
              <w:rPr>
                <w:rStyle w:val="Hyperlink"/>
                <w:smallCaps/>
                <w:noProof/>
                <w:lang w:eastAsia="de-DE"/>
              </w:rPr>
              <w:t>2.</w:t>
            </w:r>
            <w:r>
              <w:rPr>
                <w:rFonts w:asciiTheme="minorHAnsi" w:eastAsiaTheme="minorEastAsia" w:hAnsiTheme="minorHAnsi" w:cstheme="minorBidi"/>
                <w:b w:val="0"/>
                <w:bCs w:val="0"/>
                <w:caps w:val="0"/>
                <w:noProof/>
                <w:sz w:val="22"/>
                <w:szCs w:val="22"/>
              </w:rPr>
              <w:tab/>
            </w:r>
            <w:r>
              <w:rPr>
                <w:rStyle w:val="Hyperlink"/>
                <w:smallCaps/>
                <w:noProof/>
                <w:lang w:eastAsia="de-DE"/>
              </w:rPr>
              <w:t>Decrease of payment and commitment appropriations</w:t>
            </w:r>
            <w:r>
              <w:rPr>
                <w:noProof/>
                <w:webHidden/>
              </w:rPr>
              <w:tab/>
            </w:r>
            <w:r>
              <w:rPr>
                <w:noProof/>
                <w:webHidden/>
              </w:rPr>
              <w:fldChar w:fldCharType="begin"/>
            </w:r>
            <w:r>
              <w:rPr>
                <w:noProof/>
                <w:webHidden/>
              </w:rPr>
              <w:instrText xml:space="preserve"> PAGEREF _Toc494994371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494994372" w:history="1">
            <w:r>
              <w:rPr>
                <w:rStyle w:val="Hyperlink"/>
                <w:rFonts w:eastAsia="Calibri"/>
                <w:b/>
                <w:noProof/>
                <w:lang w:eastAsia="de-DE"/>
              </w:rPr>
              <w:t>2.1</w:t>
            </w:r>
            <w:r>
              <w:rPr>
                <w:rFonts w:asciiTheme="minorHAnsi" w:eastAsiaTheme="minorEastAsia" w:hAnsiTheme="minorHAnsi" w:cstheme="minorBidi"/>
                <w:smallCaps w:val="0"/>
                <w:noProof/>
                <w:sz w:val="22"/>
                <w:szCs w:val="22"/>
              </w:rPr>
              <w:tab/>
            </w:r>
            <w:r>
              <w:rPr>
                <w:rStyle w:val="Hyperlink"/>
                <w:rFonts w:eastAsia="Calibri"/>
                <w:b/>
                <w:noProof/>
                <w:lang w:eastAsia="de-DE"/>
              </w:rPr>
              <w:t>Heading 1b – Economic, social and territorial cohesion</w:t>
            </w:r>
            <w:r>
              <w:rPr>
                <w:noProof/>
                <w:webHidden/>
              </w:rPr>
              <w:tab/>
            </w:r>
            <w:r>
              <w:rPr>
                <w:noProof/>
                <w:webHidden/>
              </w:rPr>
              <w:fldChar w:fldCharType="begin"/>
            </w:r>
            <w:r>
              <w:rPr>
                <w:noProof/>
                <w:webHidden/>
              </w:rPr>
              <w:instrText xml:space="preserve"> PAGEREF _Toc494994372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494994373" w:history="1">
            <w:r>
              <w:rPr>
                <w:rStyle w:val="Hyperlink"/>
                <w:rFonts w:eastAsia="Calibri"/>
                <w:b/>
                <w:noProof/>
                <w:lang w:eastAsia="de-DE"/>
              </w:rPr>
              <w:t>2.2</w:t>
            </w:r>
            <w:r>
              <w:rPr>
                <w:rFonts w:asciiTheme="minorHAnsi" w:eastAsiaTheme="minorEastAsia" w:hAnsiTheme="minorHAnsi" w:cstheme="minorBidi"/>
                <w:smallCaps w:val="0"/>
                <w:noProof/>
                <w:sz w:val="22"/>
                <w:szCs w:val="22"/>
              </w:rPr>
              <w:tab/>
            </w:r>
            <w:r>
              <w:rPr>
                <w:rStyle w:val="Hyperlink"/>
                <w:rFonts w:eastAsia="Calibri"/>
                <w:b/>
                <w:noProof/>
                <w:lang w:eastAsia="de-DE"/>
              </w:rPr>
              <w:t>Heading 2 – Sustainable Growth: Natural resources</w:t>
            </w:r>
            <w:r>
              <w:rPr>
                <w:noProof/>
                <w:webHidden/>
              </w:rPr>
              <w:tab/>
            </w:r>
            <w:r>
              <w:rPr>
                <w:noProof/>
                <w:webHidden/>
              </w:rPr>
              <w:fldChar w:fldCharType="begin"/>
            </w:r>
            <w:r>
              <w:rPr>
                <w:noProof/>
                <w:webHidden/>
              </w:rPr>
              <w:instrText xml:space="preserve"> PAGEREF _Toc494994373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494994374" w:history="1">
            <w:r>
              <w:rPr>
                <w:rStyle w:val="Hyperlink"/>
                <w:rFonts w:eastAsia="Calibri"/>
                <w:b/>
                <w:noProof/>
                <w:lang w:eastAsia="de-DE"/>
              </w:rPr>
              <w:t>2.3</w:t>
            </w:r>
            <w:r>
              <w:rPr>
                <w:rFonts w:asciiTheme="minorHAnsi" w:eastAsiaTheme="minorEastAsia" w:hAnsiTheme="minorHAnsi" w:cstheme="minorBidi"/>
                <w:smallCaps w:val="0"/>
                <w:noProof/>
                <w:sz w:val="22"/>
                <w:szCs w:val="22"/>
              </w:rPr>
              <w:tab/>
            </w:r>
            <w:r>
              <w:rPr>
                <w:rStyle w:val="Hyperlink"/>
                <w:rFonts w:eastAsia="Calibri"/>
                <w:b/>
                <w:noProof/>
                <w:lang w:eastAsia="de-DE"/>
              </w:rPr>
              <w:t>Heading 3 – Security and Citizenship</w:t>
            </w:r>
            <w:r>
              <w:rPr>
                <w:noProof/>
                <w:webHidden/>
              </w:rPr>
              <w:tab/>
            </w:r>
            <w:r>
              <w:rPr>
                <w:noProof/>
                <w:webHidden/>
              </w:rPr>
              <w:fldChar w:fldCharType="begin"/>
            </w:r>
            <w:r>
              <w:rPr>
                <w:noProof/>
                <w:webHidden/>
              </w:rPr>
              <w:instrText xml:space="preserve"> PAGEREF _Toc494994374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494994375" w:history="1">
            <w:r>
              <w:rPr>
                <w:rStyle w:val="Hyperlink"/>
                <w:rFonts w:eastAsia="Calibri"/>
                <w:b/>
                <w:noProof/>
                <w:lang w:eastAsia="de-DE"/>
              </w:rPr>
              <w:t>2.4</w:t>
            </w:r>
            <w:r>
              <w:rPr>
                <w:rFonts w:asciiTheme="minorHAnsi" w:eastAsiaTheme="minorEastAsia" w:hAnsiTheme="minorHAnsi" w:cstheme="minorBidi"/>
                <w:smallCaps w:val="0"/>
                <w:noProof/>
                <w:sz w:val="22"/>
                <w:szCs w:val="22"/>
              </w:rPr>
              <w:tab/>
            </w:r>
            <w:r>
              <w:rPr>
                <w:rStyle w:val="Hyperlink"/>
                <w:rFonts w:eastAsia="Calibri"/>
                <w:b/>
                <w:noProof/>
                <w:lang w:eastAsia="de-DE"/>
              </w:rPr>
              <w:t>Heading 4 – Global Europe</w:t>
            </w:r>
            <w:r>
              <w:rPr>
                <w:noProof/>
                <w:webHidden/>
              </w:rPr>
              <w:tab/>
            </w:r>
            <w:r>
              <w:rPr>
                <w:noProof/>
                <w:webHidden/>
              </w:rPr>
              <w:fldChar w:fldCharType="begin"/>
            </w:r>
            <w:r>
              <w:rPr>
                <w:noProof/>
                <w:webHidden/>
              </w:rPr>
              <w:instrText xml:space="preserve"> PAGEREF _Toc494994375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494994376" w:history="1">
            <w:r>
              <w:rPr>
                <w:rStyle w:val="Hyperlink"/>
                <w:rFonts w:eastAsia="Calibri"/>
                <w:b/>
                <w:noProof/>
                <w:lang w:eastAsia="de-DE"/>
              </w:rPr>
              <w:t>2.5</w:t>
            </w:r>
            <w:r>
              <w:rPr>
                <w:rFonts w:asciiTheme="minorHAnsi" w:eastAsiaTheme="minorEastAsia" w:hAnsiTheme="minorHAnsi" w:cstheme="minorBidi"/>
                <w:smallCaps w:val="0"/>
                <w:noProof/>
                <w:sz w:val="22"/>
                <w:szCs w:val="22"/>
              </w:rPr>
              <w:tab/>
            </w:r>
            <w:r>
              <w:rPr>
                <w:rStyle w:val="Hyperlink"/>
                <w:rFonts w:eastAsia="Calibri"/>
                <w:b/>
                <w:noProof/>
                <w:lang w:eastAsia="de-DE"/>
              </w:rPr>
              <w:t>European Union Solidarity Fund (EUSF)</w:t>
            </w:r>
            <w:r>
              <w:rPr>
                <w:noProof/>
                <w:webHidden/>
              </w:rPr>
              <w:tab/>
            </w:r>
            <w:r>
              <w:rPr>
                <w:noProof/>
                <w:webHidden/>
              </w:rPr>
              <w:fldChar w:fldCharType="begin"/>
            </w:r>
            <w:r>
              <w:rPr>
                <w:noProof/>
                <w:webHidden/>
              </w:rPr>
              <w:instrText xml:space="preserve"> PAGEREF _Toc494994376 \h </w:instrText>
            </w:r>
            <w:r>
              <w:rPr>
                <w:noProof/>
                <w:webHidden/>
              </w:rPr>
            </w:r>
            <w:r>
              <w:rPr>
                <w:noProof/>
                <w:webHidden/>
              </w:rPr>
              <w:fldChar w:fldCharType="separate"/>
            </w:r>
            <w:r>
              <w:rPr>
                <w:noProof/>
                <w:webHidden/>
              </w:rPr>
              <w:t>9</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rPr>
          </w:pPr>
          <w:hyperlink w:anchor="_Toc494994377" w:history="1">
            <w:r>
              <w:rPr>
                <w:rStyle w:val="Hyperlink"/>
                <w:smallCaps/>
                <w:noProof/>
                <w:lang w:eastAsia="de-DE"/>
              </w:rPr>
              <w:t>3.</w:t>
            </w:r>
            <w:r>
              <w:rPr>
                <w:rFonts w:asciiTheme="minorHAnsi" w:eastAsiaTheme="minorEastAsia" w:hAnsiTheme="minorHAnsi" w:cstheme="minorBidi"/>
                <w:b w:val="0"/>
                <w:bCs w:val="0"/>
                <w:caps w:val="0"/>
                <w:noProof/>
                <w:sz w:val="22"/>
                <w:szCs w:val="22"/>
              </w:rPr>
              <w:tab/>
            </w:r>
            <w:r>
              <w:rPr>
                <w:rStyle w:val="Hyperlink"/>
                <w:smallCaps/>
                <w:noProof/>
                <w:lang w:eastAsia="de-DE"/>
              </w:rPr>
              <w:t>Update of revenue</w:t>
            </w:r>
            <w:r>
              <w:rPr>
                <w:noProof/>
                <w:webHidden/>
              </w:rPr>
              <w:tab/>
            </w:r>
            <w:r>
              <w:rPr>
                <w:noProof/>
                <w:webHidden/>
              </w:rPr>
              <w:fldChar w:fldCharType="begin"/>
            </w:r>
            <w:r>
              <w:rPr>
                <w:noProof/>
                <w:webHidden/>
              </w:rPr>
              <w:instrText xml:space="preserve"> PAGEREF _Toc494994377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494994378" w:history="1">
            <w:r>
              <w:rPr>
                <w:rStyle w:val="Hyperlink"/>
                <w:rFonts w:eastAsia="Calibri"/>
                <w:b/>
                <w:noProof/>
                <w:lang w:eastAsia="de-DE"/>
              </w:rPr>
              <w:t>3.1</w:t>
            </w:r>
            <w:r>
              <w:rPr>
                <w:rFonts w:asciiTheme="minorHAnsi" w:eastAsiaTheme="minorEastAsia" w:hAnsiTheme="minorHAnsi" w:cstheme="minorBidi"/>
                <w:smallCaps w:val="0"/>
                <w:noProof/>
                <w:sz w:val="22"/>
                <w:szCs w:val="22"/>
              </w:rPr>
              <w:tab/>
            </w:r>
            <w:r>
              <w:rPr>
                <w:rStyle w:val="Hyperlink"/>
                <w:rFonts w:eastAsia="Calibri"/>
                <w:b/>
                <w:noProof/>
                <w:lang w:eastAsia="de-DE"/>
              </w:rPr>
              <w:t>Overall impact of DAB 6/2017 on the distribution of total own resources payments between Member States</w:t>
            </w:r>
            <w:r>
              <w:rPr>
                <w:noProof/>
                <w:webHidden/>
              </w:rPr>
              <w:tab/>
            </w:r>
            <w:r>
              <w:rPr>
                <w:noProof/>
                <w:webHidden/>
              </w:rPr>
              <w:fldChar w:fldCharType="begin"/>
            </w:r>
            <w:r>
              <w:rPr>
                <w:noProof/>
                <w:webHidden/>
              </w:rPr>
              <w:instrText xml:space="preserve"> PAGEREF _Toc494994378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494994379" w:history="1">
            <w:r>
              <w:rPr>
                <w:rStyle w:val="Hyperlink"/>
                <w:rFonts w:eastAsia="Calibri"/>
                <w:b/>
                <w:noProof/>
                <w:lang w:eastAsia="de-DE"/>
              </w:rPr>
              <w:t>3.2</w:t>
            </w:r>
            <w:r>
              <w:rPr>
                <w:rFonts w:asciiTheme="minorHAnsi" w:eastAsiaTheme="minorEastAsia" w:hAnsiTheme="minorHAnsi" w:cstheme="minorBidi"/>
                <w:smallCaps w:val="0"/>
                <w:noProof/>
                <w:sz w:val="22"/>
                <w:szCs w:val="22"/>
              </w:rPr>
              <w:tab/>
            </w:r>
            <w:r>
              <w:rPr>
                <w:rStyle w:val="Hyperlink"/>
                <w:rFonts w:eastAsia="Calibri"/>
                <w:b/>
                <w:noProof/>
                <w:lang w:eastAsia="de-DE"/>
              </w:rPr>
              <w:t>Revision of the forecast of TOR, VAT and GNI bases</w:t>
            </w:r>
            <w:r>
              <w:rPr>
                <w:noProof/>
                <w:webHidden/>
              </w:rPr>
              <w:tab/>
            </w:r>
            <w:r>
              <w:rPr>
                <w:noProof/>
                <w:webHidden/>
              </w:rPr>
              <w:fldChar w:fldCharType="begin"/>
            </w:r>
            <w:r>
              <w:rPr>
                <w:noProof/>
                <w:webHidden/>
              </w:rPr>
              <w:instrText xml:space="preserve"> PAGEREF _Toc494994379 \h </w:instrText>
            </w:r>
            <w:r>
              <w:rPr>
                <w:noProof/>
                <w:webHidden/>
              </w:rPr>
            </w:r>
            <w:r>
              <w:rPr>
                <w:noProof/>
                <w:webHidden/>
              </w:rPr>
              <w:fldChar w:fldCharType="separate"/>
            </w:r>
            <w:r>
              <w:rPr>
                <w:noProof/>
                <w:webHidden/>
              </w:rPr>
              <w:t>10</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494994380" w:history="1">
            <w:r>
              <w:rPr>
                <w:rStyle w:val="Hyperlink"/>
                <w:rFonts w:eastAsia="Calibri"/>
                <w:b/>
                <w:noProof/>
                <w:lang w:eastAsia="de-DE"/>
              </w:rPr>
              <w:t>3.3</w:t>
            </w:r>
            <w:r>
              <w:rPr>
                <w:rFonts w:asciiTheme="minorHAnsi" w:eastAsiaTheme="minorEastAsia" w:hAnsiTheme="minorHAnsi" w:cstheme="minorBidi"/>
                <w:smallCaps w:val="0"/>
                <w:noProof/>
                <w:sz w:val="22"/>
                <w:szCs w:val="22"/>
              </w:rPr>
              <w:tab/>
            </w:r>
            <w:r>
              <w:rPr>
                <w:rStyle w:val="Hyperlink"/>
                <w:rFonts w:eastAsia="Calibri"/>
                <w:b/>
                <w:noProof/>
                <w:lang w:eastAsia="de-DE"/>
              </w:rPr>
              <w:t>2016 and 2013 UK correction</w:t>
            </w:r>
            <w:r>
              <w:rPr>
                <w:noProof/>
                <w:webHidden/>
              </w:rPr>
              <w:tab/>
            </w:r>
            <w:r>
              <w:rPr>
                <w:noProof/>
                <w:webHidden/>
              </w:rPr>
              <w:fldChar w:fldCharType="begin"/>
            </w:r>
            <w:r>
              <w:rPr>
                <w:noProof/>
                <w:webHidden/>
              </w:rPr>
              <w:instrText xml:space="preserve"> PAGEREF _Toc494994380 \h </w:instrText>
            </w:r>
            <w:r>
              <w:rPr>
                <w:noProof/>
                <w:webHidden/>
              </w:rPr>
            </w:r>
            <w:r>
              <w:rPr>
                <w:noProof/>
                <w:webHidden/>
              </w:rPr>
              <w:fldChar w:fldCharType="separate"/>
            </w:r>
            <w:r>
              <w:rPr>
                <w:noProof/>
                <w:webHidden/>
              </w:rPr>
              <w:t>11</w:t>
            </w:r>
            <w:r>
              <w:rPr>
                <w:noProof/>
                <w:webHidden/>
              </w:rPr>
              <w:fldChar w:fldCharType="end"/>
            </w:r>
          </w:hyperlink>
        </w:p>
        <w:p>
          <w:pPr>
            <w:pStyle w:val="TOC2"/>
            <w:rPr>
              <w:rFonts w:asciiTheme="minorHAnsi" w:eastAsiaTheme="minorEastAsia" w:hAnsiTheme="minorHAnsi" w:cstheme="minorBidi"/>
              <w:smallCaps w:val="0"/>
              <w:noProof/>
              <w:sz w:val="22"/>
              <w:szCs w:val="22"/>
            </w:rPr>
          </w:pPr>
          <w:hyperlink w:anchor="_Toc494994381" w:history="1">
            <w:r>
              <w:rPr>
                <w:rStyle w:val="Hyperlink"/>
                <w:rFonts w:eastAsia="Calibri"/>
                <w:b/>
                <w:noProof/>
                <w:lang w:eastAsia="de-DE"/>
              </w:rPr>
              <w:t>3.4</w:t>
            </w:r>
            <w:r>
              <w:rPr>
                <w:rFonts w:asciiTheme="minorHAnsi" w:eastAsiaTheme="minorEastAsia" w:hAnsiTheme="minorHAnsi" w:cstheme="minorBidi"/>
                <w:smallCaps w:val="0"/>
                <w:noProof/>
                <w:sz w:val="22"/>
                <w:szCs w:val="22"/>
              </w:rPr>
              <w:tab/>
            </w:r>
            <w:r>
              <w:rPr>
                <w:rStyle w:val="Hyperlink"/>
                <w:rFonts w:eastAsia="Calibri"/>
                <w:b/>
                <w:noProof/>
                <w:lang w:eastAsia="de-DE"/>
              </w:rPr>
              <w:t>Fines</w:t>
            </w:r>
            <w:r>
              <w:rPr>
                <w:noProof/>
                <w:webHidden/>
              </w:rPr>
              <w:tab/>
            </w:r>
            <w:r>
              <w:rPr>
                <w:noProof/>
                <w:webHidden/>
              </w:rPr>
              <w:fldChar w:fldCharType="begin"/>
            </w:r>
            <w:r>
              <w:rPr>
                <w:noProof/>
                <w:webHidden/>
              </w:rPr>
              <w:instrText xml:space="preserve"> PAGEREF _Toc494994381 \h </w:instrText>
            </w:r>
            <w:r>
              <w:rPr>
                <w:noProof/>
                <w:webHidden/>
              </w:rPr>
            </w:r>
            <w:r>
              <w:rPr>
                <w:noProof/>
                <w:webHidden/>
              </w:rPr>
              <w:fldChar w:fldCharType="separate"/>
            </w:r>
            <w:r>
              <w:rPr>
                <w:noProof/>
                <w:webHidden/>
              </w:rPr>
              <w:t>15</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rPr>
          </w:pPr>
          <w:hyperlink w:anchor="_Toc494994382" w:history="1">
            <w:r>
              <w:rPr>
                <w:rStyle w:val="Hyperlink"/>
                <w:noProof/>
              </w:rPr>
              <w:t>4.</w:t>
            </w:r>
            <w:r>
              <w:rPr>
                <w:rFonts w:asciiTheme="minorHAnsi" w:eastAsiaTheme="minorEastAsia" w:hAnsiTheme="minorHAnsi" w:cstheme="minorBidi"/>
                <w:b w:val="0"/>
                <w:bCs w:val="0"/>
                <w:caps w:val="0"/>
                <w:noProof/>
                <w:sz w:val="22"/>
                <w:szCs w:val="22"/>
              </w:rPr>
              <w:tab/>
            </w:r>
            <w:r>
              <w:rPr>
                <w:rStyle w:val="Hyperlink"/>
                <w:noProof/>
              </w:rPr>
              <w:t>Summary table by MFF heading</w:t>
            </w:r>
            <w:r>
              <w:rPr>
                <w:noProof/>
                <w:webHidden/>
              </w:rPr>
              <w:tab/>
            </w:r>
            <w:r>
              <w:rPr>
                <w:noProof/>
                <w:webHidden/>
              </w:rPr>
              <w:fldChar w:fldCharType="begin"/>
            </w:r>
            <w:r>
              <w:rPr>
                <w:noProof/>
                <w:webHidden/>
              </w:rPr>
              <w:instrText xml:space="preserve"> PAGEREF _Toc494994382 \h </w:instrText>
            </w:r>
            <w:r>
              <w:rPr>
                <w:noProof/>
                <w:webHidden/>
              </w:rPr>
            </w:r>
            <w:r>
              <w:rPr>
                <w:noProof/>
                <w:webHidden/>
              </w:rPr>
              <w:fldChar w:fldCharType="separate"/>
            </w:r>
            <w:r>
              <w:rPr>
                <w:noProof/>
                <w:webHidden/>
              </w:rPr>
              <w:t>16</w:t>
            </w:r>
            <w:r>
              <w:rPr>
                <w:noProof/>
                <w:webHidden/>
              </w:rPr>
              <w:fldChar w:fldCharType="end"/>
            </w:r>
          </w:hyperlink>
        </w:p>
        <w:p>
          <w:pPr>
            <w:rPr>
              <w:noProof/>
              <w:lang w:eastAsia="de-DE"/>
            </w:rPr>
            <w:sectPr>
              <w:headerReference w:type="even" r:id="rId23"/>
              <w:headerReference w:type="default" r:id="rId24"/>
              <w:footerReference w:type="even" r:id="rId25"/>
              <w:footerReference w:type="default" r:id="rId26"/>
              <w:headerReference w:type="first" r:id="rId27"/>
              <w:footerReference w:type="first" r:id="rId28"/>
              <w:pgSz w:w="11907" w:h="16839"/>
              <w:pgMar w:top="1418" w:right="1418" w:bottom="1418" w:left="1418" w:header="709" w:footer="709" w:gutter="0"/>
              <w:pgNumType w:start="3"/>
              <w:cols w:space="720"/>
            </w:sectPr>
          </w:pPr>
          <w:r>
            <w:rPr>
              <w:b/>
              <w:bCs/>
              <w:noProof/>
            </w:rPr>
            <w:fldChar w:fldCharType="end"/>
          </w:r>
        </w:p>
      </w:sdtContent>
    </w:sdt>
    <w:p>
      <w:pPr>
        <w:pStyle w:val="ManualHeading1"/>
      </w:pPr>
      <w:bookmarkStart w:id="8" w:name="_Toc385506031"/>
      <w:bookmarkStart w:id="9" w:name="_Toc430865946"/>
      <w:bookmarkStart w:id="10" w:name="_Toc430867524"/>
      <w:bookmarkStart w:id="11" w:name="_Toc494994370"/>
      <w:bookmarkStart w:id="12" w:name="_Toc351469332"/>
      <w:bookmarkStart w:id="13" w:name="_Toc361649879"/>
      <w:r>
        <w:lastRenderedPageBreak/>
        <w:t>1.</w:t>
      </w:r>
      <w:r>
        <w:tab/>
        <w:t>Introduction</w:t>
      </w:r>
      <w:bookmarkEnd w:id="8"/>
      <w:bookmarkEnd w:id="9"/>
      <w:bookmarkEnd w:id="10"/>
      <w:bookmarkEnd w:id="11"/>
    </w:p>
    <w:p>
      <w:pPr>
        <w:pStyle w:val="ListDash"/>
        <w:rPr>
          <w:noProof/>
        </w:rPr>
      </w:pPr>
      <w:bookmarkStart w:id="14" w:name="_Toc430865947"/>
      <w:bookmarkStart w:id="15" w:name="_Toc430867525"/>
      <w:r>
        <w:rPr>
          <w:noProof/>
        </w:rPr>
        <w:t>The purpose of Draft Amending Budget (DAB) No 6 for the year 2017 is to update both the expenditure and the revenue sides of the budget to take account of the latest developments:</w:t>
      </w:r>
    </w:p>
    <w:p>
      <w:pPr>
        <w:pStyle w:val="Tiret0"/>
        <w:rPr>
          <w:noProof/>
        </w:rPr>
      </w:pPr>
      <w:r>
        <w:rPr>
          <w:noProof/>
        </w:rPr>
        <w:t xml:space="preserve">on the expenditure side, </w:t>
      </w:r>
    </w:p>
    <w:p>
      <w:pPr>
        <w:pStyle w:val="Tiret0"/>
        <w:tabs>
          <w:tab w:val="clear" w:pos="850"/>
          <w:tab w:val="num" w:pos="1570"/>
        </w:tabs>
        <w:ind w:left="1570"/>
        <w:rPr>
          <w:noProof/>
        </w:rPr>
      </w:pPr>
      <w:r>
        <w:rPr>
          <w:noProof/>
        </w:rPr>
        <w:t xml:space="preserve">after taking into account the redeployments proposed in the so-called "global transfer" (DEC 20/2017), to decrease the level of payment appropriations of budget lines mainly for headings 1b </w:t>
      </w:r>
      <w:r>
        <w:rPr>
          <w:i/>
          <w:noProof/>
        </w:rPr>
        <w:t>'Economic, social and territorial cohesion'</w:t>
      </w:r>
      <w:r>
        <w:rPr>
          <w:noProof/>
        </w:rPr>
        <w:t xml:space="preserve">, 2 </w:t>
      </w:r>
      <w:r>
        <w:rPr>
          <w:i/>
          <w:noProof/>
        </w:rPr>
        <w:t>'Sustainable growth – natural resources'</w:t>
      </w:r>
      <w:r>
        <w:rPr>
          <w:noProof/>
        </w:rPr>
        <w:t xml:space="preserve">, 3 </w:t>
      </w:r>
      <w:r>
        <w:rPr>
          <w:i/>
          <w:noProof/>
        </w:rPr>
        <w:t xml:space="preserve">'Security and Citizenship' </w:t>
      </w:r>
      <w:r>
        <w:rPr>
          <w:noProof/>
        </w:rPr>
        <w:t xml:space="preserve">as well as for 4 </w:t>
      </w:r>
      <w:r>
        <w:rPr>
          <w:i/>
          <w:noProof/>
        </w:rPr>
        <w:t>'Global Europe'</w:t>
      </w:r>
      <w:r>
        <w:rPr>
          <w:noProof/>
        </w:rPr>
        <w:t xml:space="preserve">; </w:t>
      </w:r>
    </w:p>
    <w:p>
      <w:pPr>
        <w:pStyle w:val="Tiret0"/>
        <w:tabs>
          <w:tab w:val="clear" w:pos="850"/>
          <w:tab w:val="num" w:pos="1570"/>
        </w:tabs>
        <w:ind w:left="1570"/>
        <w:rPr>
          <w:noProof/>
        </w:rPr>
      </w:pPr>
      <w:r>
        <w:rPr>
          <w:noProof/>
        </w:rPr>
        <w:t xml:space="preserve">to release commitment appropriations of budget lines for heading 2 </w:t>
      </w:r>
      <w:r>
        <w:rPr>
          <w:i/>
          <w:noProof/>
        </w:rPr>
        <w:t>'Sustainable growth – natural resources'</w:t>
      </w:r>
      <w:r>
        <w:rPr>
          <w:noProof/>
        </w:rPr>
        <w:t>;</w:t>
      </w:r>
    </w:p>
    <w:p>
      <w:pPr>
        <w:pStyle w:val="Tiret0"/>
        <w:tabs>
          <w:tab w:val="clear" w:pos="850"/>
          <w:tab w:val="num" w:pos="1570"/>
        </w:tabs>
        <w:ind w:left="1570"/>
        <w:rPr>
          <w:noProof/>
        </w:rPr>
      </w:pPr>
      <w:r>
        <w:rPr>
          <w:noProof/>
        </w:rPr>
        <w:t>to release commitment and payment appropriations relating to the payment of advances for the European Union Solidarity Fund (EUSF) which will no longer be needed in 2017;</w:t>
      </w:r>
    </w:p>
    <w:p>
      <w:pPr>
        <w:pStyle w:val="Tiret0"/>
        <w:rPr>
          <w:noProof/>
        </w:rPr>
      </w:pPr>
      <w:r>
        <w:rPr>
          <w:noProof/>
        </w:rPr>
        <w:t>on the revenue side,</w:t>
      </w:r>
    </w:p>
    <w:p>
      <w:pPr>
        <w:pStyle w:val="Tiret0"/>
        <w:tabs>
          <w:tab w:val="clear" w:pos="850"/>
          <w:tab w:val="num" w:pos="1570"/>
        </w:tabs>
        <w:ind w:left="1570"/>
        <w:rPr>
          <w:noProof/>
        </w:rPr>
      </w:pPr>
      <w:r>
        <w:rPr>
          <w:noProof/>
        </w:rPr>
        <w:t>to revise the forecast of Traditional Own Resources (i.e. customs duties and sugar sector levies), value-added tax (VAT) and gross national income (GNI) bases, and to budget the relevant UK corrections and their financing, which all affect the distribution of own resources contributions from Member States to the EU budget;</w:t>
      </w:r>
    </w:p>
    <w:p>
      <w:pPr>
        <w:pStyle w:val="Tiret0"/>
        <w:tabs>
          <w:tab w:val="clear" w:pos="850"/>
          <w:tab w:val="num" w:pos="1570"/>
        </w:tabs>
        <w:ind w:left="1570"/>
        <w:rPr>
          <w:noProof/>
        </w:rPr>
      </w:pPr>
      <w:r>
        <w:rPr>
          <w:noProof/>
        </w:rPr>
        <w:t>to enter into the EU budget the fines decided by the Commission, for which all legal remedies were exhausted and which therefore became definitive in the course of 2017, reducing accordingly the own resources contributions from Member States to the EU budget.</w:t>
      </w:r>
    </w:p>
    <w:p>
      <w:pPr>
        <w:keepNext/>
        <w:tabs>
          <w:tab w:val="left" w:pos="850"/>
        </w:tabs>
        <w:spacing w:before="240" w:after="120"/>
        <w:ind w:left="851" w:hanging="851"/>
        <w:jc w:val="both"/>
        <w:outlineLvl w:val="0"/>
        <w:rPr>
          <w:b/>
          <w:smallCaps/>
          <w:noProof/>
          <w:lang w:eastAsia="de-DE"/>
        </w:rPr>
      </w:pPr>
      <w:bookmarkStart w:id="16" w:name="_Toc494994371"/>
      <w:bookmarkStart w:id="17" w:name="_Toc462410050"/>
      <w:r>
        <w:rPr>
          <w:b/>
          <w:smallCaps/>
          <w:noProof/>
          <w:lang w:eastAsia="de-DE"/>
        </w:rPr>
        <w:t>2.</w:t>
      </w:r>
      <w:r>
        <w:rPr>
          <w:b/>
          <w:smallCaps/>
          <w:noProof/>
          <w:lang w:eastAsia="de-DE"/>
        </w:rPr>
        <w:tab/>
        <w:t>Decrease of payment and commitment appropriations</w:t>
      </w:r>
      <w:bookmarkEnd w:id="16"/>
    </w:p>
    <w:bookmarkEnd w:id="17"/>
    <w:p>
      <w:pPr>
        <w:spacing w:before="120" w:after="120"/>
        <w:jc w:val="both"/>
        <w:rPr>
          <w:noProof/>
          <w:lang w:eastAsia="de-DE"/>
        </w:rPr>
      </w:pPr>
      <w:r>
        <w:rPr>
          <w:noProof/>
          <w:lang w:eastAsia="de-DE"/>
        </w:rPr>
        <w:t xml:space="preserve">The Commission proposes to adjust the level of payment appropriations for certain budget lines in order to align them more closely to the latest estimates of needs and working on the assumption that the rebalancing of payment appropriations between budget lines requested separately by the Commission in the so-called "global transfer" (DEC 20/2017) will be accepted by the European Parliament and the Council. </w:t>
      </w:r>
    </w:p>
    <w:p>
      <w:pPr>
        <w:spacing w:before="120" w:after="120"/>
        <w:jc w:val="both"/>
        <w:rPr>
          <w:noProof/>
          <w:lang w:eastAsia="de-DE"/>
        </w:rPr>
      </w:pPr>
      <w:r>
        <w:rPr>
          <w:noProof/>
          <w:lang w:eastAsia="de-DE"/>
        </w:rPr>
        <w:t>The overall reduction (EUR 7 719,7 million) in the level of payment appropriations requested in this DAB mainly concerns heading 1b and to a lesser extent headings 2, 3, 4 and the European Union Solidarity Fund ("EUSF").</w:t>
      </w:r>
    </w:p>
    <w:p>
      <w:pPr>
        <w:keepNext/>
        <w:tabs>
          <w:tab w:val="left" w:pos="850"/>
        </w:tabs>
        <w:spacing w:before="360" w:after="120"/>
        <w:ind w:left="850" w:hanging="850"/>
        <w:jc w:val="both"/>
        <w:outlineLvl w:val="1"/>
        <w:rPr>
          <w:rFonts w:eastAsia="Calibri"/>
          <w:b/>
          <w:noProof/>
          <w:lang w:eastAsia="de-DE"/>
        </w:rPr>
      </w:pPr>
      <w:bookmarkStart w:id="18" w:name="_Toc462410051"/>
      <w:bookmarkStart w:id="19" w:name="_Toc494994372"/>
      <w:bookmarkStart w:id="20" w:name="_Toc460335328"/>
      <w:bookmarkStart w:id="21" w:name="_Toc430865948"/>
      <w:bookmarkStart w:id="22" w:name="_Toc430867526"/>
      <w:r>
        <w:rPr>
          <w:rFonts w:eastAsia="Calibri"/>
          <w:b/>
          <w:noProof/>
          <w:lang w:eastAsia="de-DE"/>
        </w:rPr>
        <w:t>2.1</w:t>
      </w:r>
      <w:r>
        <w:rPr>
          <w:rFonts w:eastAsia="Calibri"/>
          <w:b/>
          <w:noProof/>
          <w:lang w:eastAsia="de-DE"/>
        </w:rPr>
        <w:tab/>
        <w:t>Heading 1b – Economic, social and territorial cohesion</w:t>
      </w:r>
      <w:bookmarkEnd w:id="18"/>
      <w:bookmarkEnd w:id="19"/>
    </w:p>
    <w:p>
      <w:pPr>
        <w:spacing w:before="120" w:after="120"/>
        <w:jc w:val="both"/>
        <w:rPr>
          <w:noProof/>
          <w:lang w:eastAsia="de-DE"/>
        </w:rPr>
      </w:pPr>
      <w:r>
        <w:rPr>
          <w:noProof/>
          <w:lang w:eastAsia="de-DE"/>
        </w:rPr>
        <w:t>The Commission proposes a decrease of EUR 5,9 billion</w:t>
      </w:r>
      <w:r>
        <w:rPr>
          <w:noProof/>
          <w:vertAlign w:val="superscript"/>
          <w:lang w:eastAsia="de-DE"/>
        </w:rPr>
        <w:footnoteReference w:id="9"/>
      </w:r>
      <w:r>
        <w:rPr>
          <w:noProof/>
          <w:lang w:eastAsia="de-DE"/>
        </w:rPr>
        <w:t xml:space="preserve"> in payment appropriations for the European Structural and Investment funds (ESIF) under heading 1b. This reduction results from updated forecasts indicating payment needs lower than those originally planned in the 2017 budget for the 2014-2020 programming period.</w:t>
      </w:r>
    </w:p>
    <w:p>
      <w:pPr>
        <w:rPr>
          <w:noProof/>
        </w:rPr>
      </w:pPr>
      <w:r>
        <w:rPr>
          <w:noProof/>
        </w:rPr>
        <w:br w:type="page"/>
      </w:r>
    </w:p>
    <w:p>
      <w:pPr>
        <w:spacing w:before="120" w:after="120"/>
        <w:jc w:val="both"/>
        <w:rPr>
          <w:noProof/>
        </w:rPr>
      </w:pPr>
      <w:r>
        <w:rPr>
          <w:noProof/>
        </w:rPr>
        <w:t>All operational programmes for this period were adopted before the end of 2015. However, the overall level of interim payments in 2017 for these programmes will be lower than initially budgeted, as confirmed by the latest Member States forecasts (July 2017) which have decreased by around EUR 6 billion (-16 %) relative to the forecasts of January 2017. The Commission's analysis of forecasts provided by Member States also includes adjustments in view of recurrent historical over-estimation.</w:t>
      </w:r>
    </w:p>
    <w:p>
      <w:pPr>
        <w:jc w:val="both"/>
        <w:rPr>
          <w:noProof/>
        </w:rPr>
      </w:pPr>
      <w:r>
        <w:rPr>
          <w:noProof/>
        </w:rPr>
        <w:t>These adjustments were made with a prudent approach and taking account of the persistent error rate of the Member States' forecast observed in recent years. Furthermore, additional elements have been considered such as the lack of regulatory incentives to accelerate the claim submission due to the more relaxed automatic decommitment rules ( low 'N+3' pressure) and the recurrence of a "normal" backlog of payment applications arriving too late to be paid within the year.</w:t>
      </w:r>
    </w:p>
    <w:p>
      <w:pPr>
        <w:pStyle w:val="ListDash"/>
        <w:rPr>
          <w:noProof/>
        </w:rPr>
      </w:pPr>
      <w:r>
        <w:rPr>
          <w:noProof/>
        </w:rPr>
        <w:t>Implementation delays continue to be observed in relation to the 2014-2020 operational programmes. They are mainly attributed to the lengthy designation process of national authorities (designation for 62 operational programmes, or 11 % of all programmes, still needs to be notified to the Commission), which has translated into slower-than-expected implementation in terms of interim payment claims received despite the reported progress in project selection on the ground.</w:t>
      </w:r>
    </w:p>
    <w:p>
      <w:pPr>
        <w:pStyle w:val="ListDash"/>
        <w:spacing w:after="240"/>
        <w:rPr>
          <w:noProof/>
        </w:rPr>
      </w:pPr>
      <w:r>
        <w:rPr>
          <w:noProof/>
        </w:rPr>
        <w:t>The reduction in payment appropriations is proposed for the following budget articles and items.</w:t>
      </w:r>
    </w:p>
    <w:tbl>
      <w:tblPr>
        <w:tblW w:w="9513" w:type="dxa"/>
        <w:tblInd w:w="93" w:type="dxa"/>
        <w:tblLayout w:type="fixed"/>
        <w:tblLook w:val="04A0" w:firstRow="1" w:lastRow="0" w:firstColumn="1" w:lastColumn="0" w:noHBand="0" w:noVBand="1"/>
      </w:tblPr>
      <w:tblGrid>
        <w:gridCol w:w="1291"/>
        <w:gridCol w:w="6521"/>
        <w:gridCol w:w="1701"/>
      </w:tblGrid>
      <w:tr>
        <w:trPr>
          <w:trHeight w:val="525"/>
          <w:tblHeader/>
        </w:trPr>
        <w:tc>
          <w:tcPr>
            <w:tcW w:w="1291" w:type="dxa"/>
            <w:tcBorders>
              <w:top w:val="single" w:sz="8" w:space="0" w:color="auto"/>
              <w:left w:val="single" w:sz="8" w:space="0" w:color="auto"/>
              <w:bottom w:val="single" w:sz="8" w:space="0" w:color="auto"/>
              <w:right w:val="single" w:sz="8" w:space="0" w:color="auto"/>
            </w:tcBorders>
            <w:shd w:val="clear" w:color="000000" w:fill="D9D9D9"/>
            <w:vAlign w:val="center"/>
            <w:hideMark/>
          </w:tcPr>
          <w:p>
            <w:pPr>
              <w:jc w:val="center"/>
              <w:rPr>
                <w:b/>
                <w:bCs/>
                <w:noProof/>
                <w:color w:val="000000"/>
                <w:sz w:val="20"/>
                <w:szCs w:val="20"/>
              </w:rPr>
            </w:pPr>
            <w:r>
              <w:rPr>
                <w:b/>
                <w:bCs/>
                <w:noProof/>
                <w:color w:val="000000"/>
                <w:sz w:val="20"/>
                <w:szCs w:val="20"/>
              </w:rPr>
              <w:t>Budget line</w:t>
            </w:r>
          </w:p>
        </w:tc>
        <w:tc>
          <w:tcPr>
            <w:tcW w:w="6521" w:type="dxa"/>
            <w:tcBorders>
              <w:top w:val="single" w:sz="8" w:space="0" w:color="auto"/>
              <w:left w:val="nil"/>
              <w:bottom w:val="single" w:sz="8" w:space="0" w:color="auto"/>
              <w:right w:val="single" w:sz="8" w:space="0" w:color="auto"/>
            </w:tcBorders>
            <w:shd w:val="clear" w:color="000000" w:fill="D9D9D9"/>
            <w:vAlign w:val="center"/>
            <w:hideMark/>
          </w:tcPr>
          <w:p>
            <w:pPr>
              <w:jc w:val="center"/>
              <w:rPr>
                <w:b/>
                <w:bCs/>
                <w:noProof/>
                <w:color w:val="000000"/>
                <w:sz w:val="20"/>
                <w:szCs w:val="20"/>
              </w:rPr>
            </w:pPr>
            <w:r>
              <w:rPr>
                <w:b/>
                <w:bCs/>
                <w:noProof/>
                <w:color w:val="000000"/>
                <w:sz w:val="20"/>
                <w:szCs w:val="20"/>
              </w:rPr>
              <w:t>Name</w:t>
            </w:r>
          </w:p>
        </w:tc>
        <w:tc>
          <w:tcPr>
            <w:tcW w:w="1701" w:type="dxa"/>
            <w:tcBorders>
              <w:top w:val="single" w:sz="8" w:space="0" w:color="auto"/>
              <w:left w:val="nil"/>
              <w:bottom w:val="single" w:sz="8" w:space="0" w:color="auto"/>
              <w:right w:val="single" w:sz="8" w:space="0" w:color="auto"/>
            </w:tcBorders>
            <w:shd w:val="clear" w:color="000000" w:fill="D9D9D9"/>
            <w:vAlign w:val="center"/>
            <w:hideMark/>
          </w:tcPr>
          <w:p>
            <w:pPr>
              <w:jc w:val="center"/>
              <w:rPr>
                <w:b/>
                <w:bCs/>
                <w:noProof/>
                <w:color w:val="000000"/>
                <w:sz w:val="20"/>
                <w:szCs w:val="20"/>
              </w:rPr>
            </w:pPr>
            <w:r>
              <w:rPr>
                <w:b/>
                <w:bCs/>
                <w:noProof/>
                <w:color w:val="000000"/>
                <w:sz w:val="20"/>
                <w:szCs w:val="20"/>
              </w:rPr>
              <w:t>Payment appropriations</w:t>
            </w:r>
          </w:p>
        </w:tc>
      </w:tr>
      <w:tr>
        <w:trPr>
          <w:trHeight w:val="315"/>
        </w:trPr>
        <w:tc>
          <w:tcPr>
            <w:tcW w:w="1291" w:type="dxa"/>
            <w:tcBorders>
              <w:top w:val="nil"/>
              <w:left w:val="single" w:sz="8" w:space="0" w:color="auto"/>
              <w:bottom w:val="single" w:sz="8" w:space="0" w:color="auto"/>
              <w:right w:val="single" w:sz="8" w:space="0" w:color="auto"/>
            </w:tcBorders>
            <w:shd w:val="clear" w:color="auto" w:fill="auto"/>
            <w:vAlign w:val="center"/>
            <w:hideMark/>
          </w:tcPr>
          <w:p>
            <w:pPr>
              <w:jc w:val="both"/>
              <w:rPr>
                <w:noProof/>
                <w:color w:val="000000"/>
                <w:sz w:val="20"/>
                <w:szCs w:val="20"/>
              </w:rPr>
            </w:pPr>
            <w:r>
              <w:rPr>
                <w:noProof/>
                <w:color w:val="000000"/>
                <w:sz w:val="20"/>
                <w:szCs w:val="20"/>
              </w:rPr>
              <w:t>04 02 60</w:t>
            </w:r>
          </w:p>
        </w:tc>
        <w:tc>
          <w:tcPr>
            <w:tcW w:w="6521" w:type="dxa"/>
            <w:tcBorders>
              <w:top w:val="nil"/>
              <w:left w:val="nil"/>
              <w:bottom w:val="single" w:sz="8" w:space="0" w:color="auto"/>
              <w:right w:val="single" w:sz="8" w:space="0" w:color="auto"/>
            </w:tcBorders>
            <w:shd w:val="clear" w:color="auto" w:fill="auto"/>
            <w:vAlign w:val="center"/>
            <w:hideMark/>
          </w:tcPr>
          <w:p>
            <w:pPr>
              <w:jc w:val="both"/>
              <w:rPr>
                <w:noProof/>
                <w:color w:val="000000"/>
                <w:sz w:val="16"/>
                <w:szCs w:val="16"/>
              </w:rPr>
            </w:pPr>
            <w:r>
              <w:rPr>
                <w:noProof/>
                <w:color w:val="000000"/>
                <w:sz w:val="16"/>
                <w:szCs w:val="16"/>
              </w:rPr>
              <w:t>European Social Fund — Less developed regions — Investment for growth and jobs goal</w:t>
            </w:r>
          </w:p>
        </w:tc>
        <w:tc>
          <w:tcPr>
            <w:tcW w:w="1701" w:type="dxa"/>
            <w:tcBorders>
              <w:top w:val="nil"/>
              <w:left w:val="nil"/>
              <w:bottom w:val="single" w:sz="8" w:space="0" w:color="auto"/>
              <w:right w:val="single" w:sz="8" w:space="0" w:color="auto"/>
            </w:tcBorders>
            <w:shd w:val="clear" w:color="auto" w:fill="auto"/>
            <w:vAlign w:val="center"/>
            <w:hideMark/>
          </w:tcPr>
          <w:p>
            <w:pPr>
              <w:jc w:val="right"/>
              <w:rPr>
                <w:noProof/>
                <w:color w:val="000000"/>
                <w:sz w:val="20"/>
                <w:szCs w:val="20"/>
              </w:rPr>
            </w:pPr>
            <w:r>
              <w:rPr>
                <w:noProof/>
                <w:color w:val="000000"/>
                <w:sz w:val="20"/>
                <w:szCs w:val="20"/>
              </w:rPr>
              <w:t>-667 462 307</w:t>
            </w:r>
          </w:p>
        </w:tc>
      </w:tr>
      <w:tr>
        <w:trPr>
          <w:trHeight w:val="315"/>
        </w:trPr>
        <w:tc>
          <w:tcPr>
            <w:tcW w:w="1291" w:type="dxa"/>
            <w:tcBorders>
              <w:top w:val="nil"/>
              <w:left w:val="single" w:sz="8" w:space="0" w:color="auto"/>
              <w:bottom w:val="single" w:sz="8" w:space="0" w:color="auto"/>
              <w:right w:val="single" w:sz="8" w:space="0" w:color="auto"/>
            </w:tcBorders>
            <w:shd w:val="clear" w:color="auto" w:fill="auto"/>
            <w:vAlign w:val="center"/>
            <w:hideMark/>
          </w:tcPr>
          <w:p>
            <w:pPr>
              <w:jc w:val="both"/>
              <w:rPr>
                <w:noProof/>
                <w:color w:val="000000"/>
                <w:sz w:val="20"/>
                <w:szCs w:val="20"/>
              </w:rPr>
            </w:pPr>
            <w:r>
              <w:rPr>
                <w:noProof/>
                <w:color w:val="000000"/>
                <w:sz w:val="20"/>
                <w:szCs w:val="20"/>
              </w:rPr>
              <w:t>04 02 61</w:t>
            </w:r>
          </w:p>
        </w:tc>
        <w:tc>
          <w:tcPr>
            <w:tcW w:w="6521" w:type="dxa"/>
            <w:tcBorders>
              <w:top w:val="nil"/>
              <w:left w:val="nil"/>
              <w:bottom w:val="single" w:sz="8" w:space="0" w:color="auto"/>
              <w:right w:val="single" w:sz="8" w:space="0" w:color="auto"/>
            </w:tcBorders>
            <w:shd w:val="clear" w:color="auto" w:fill="auto"/>
            <w:vAlign w:val="center"/>
            <w:hideMark/>
          </w:tcPr>
          <w:p>
            <w:pPr>
              <w:jc w:val="both"/>
              <w:rPr>
                <w:noProof/>
                <w:color w:val="000000"/>
                <w:sz w:val="16"/>
                <w:szCs w:val="16"/>
              </w:rPr>
            </w:pPr>
            <w:r>
              <w:rPr>
                <w:noProof/>
                <w:color w:val="000000"/>
                <w:sz w:val="16"/>
                <w:szCs w:val="16"/>
              </w:rPr>
              <w:t>European Social Fund — Transition regions — Investment for growth and jobs goal</w:t>
            </w:r>
          </w:p>
        </w:tc>
        <w:tc>
          <w:tcPr>
            <w:tcW w:w="1701" w:type="dxa"/>
            <w:tcBorders>
              <w:top w:val="nil"/>
              <w:left w:val="nil"/>
              <w:bottom w:val="single" w:sz="8" w:space="0" w:color="auto"/>
              <w:right w:val="single" w:sz="8" w:space="0" w:color="auto"/>
            </w:tcBorders>
            <w:shd w:val="clear" w:color="auto" w:fill="auto"/>
            <w:vAlign w:val="center"/>
            <w:hideMark/>
          </w:tcPr>
          <w:p>
            <w:pPr>
              <w:jc w:val="right"/>
              <w:rPr>
                <w:noProof/>
                <w:color w:val="000000"/>
                <w:sz w:val="20"/>
                <w:szCs w:val="20"/>
              </w:rPr>
            </w:pPr>
            <w:r>
              <w:rPr>
                <w:noProof/>
                <w:color w:val="000000"/>
                <w:sz w:val="20"/>
                <w:szCs w:val="20"/>
              </w:rPr>
              <w:t>-148 720 085</w:t>
            </w:r>
          </w:p>
        </w:tc>
      </w:tr>
      <w:tr>
        <w:trPr>
          <w:trHeight w:val="315"/>
        </w:trPr>
        <w:tc>
          <w:tcPr>
            <w:tcW w:w="1291" w:type="dxa"/>
            <w:tcBorders>
              <w:top w:val="nil"/>
              <w:left w:val="single" w:sz="8" w:space="0" w:color="auto"/>
              <w:bottom w:val="single" w:sz="8" w:space="0" w:color="auto"/>
              <w:right w:val="single" w:sz="8" w:space="0" w:color="auto"/>
            </w:tcBorders>
            <w:shd w:val="clear" w:color="auto" w:fill="auto"/>
            <w:vAlign w:val="center"/>
            <w:hideMark/>
          </w:tcPr>
          <w:p>
            <w:pPr>
              <w:jc w:val="both"/>
              <w:rPr>
                <w:noProof/>
                <w:color w:val="000000"/>
                <w:sz w:val="20"/>
                <w:szCs w:val="20"/>
              </w:rPr>
            </w:pPr>
            <w:r>
              <w:rPr>
                <w:noProof/>
                <w:color w:val="000000"/>
                <w:sz w:val="20"/>
                <w:szCs w:val="20"/>
              </w:rPr>
              <w:t>04 02 62</w:t>
            </w:r>
          </w:p>
        </w:tc>
        <w:tc>
          <w:tcPr>
            <w:tcW w:w="6521" w:type="dxa"/>
            <w:tcBorders>
              <w:top w:val="nil"/>
              <w:left w:val="nil"/>
              <w:bottom w:val="single" w:sz="8" w:space="0" w:color="auto"/>
              <w:right w:val="single" w:sz="8" w:space="0" w:color="auto"/>
            </w:tcBorders>
            <w:shd w:val="clear" w:color="auto" w:fill="auto"/>
            <w:vAlign w:val="center"/>
            <w:hideMark/>
          </w:tcPr>
          <w:p>
            <w:pPr>
              <w:jc w:val="both"/>
              <w:rPr>
                <w:noProof/>
                <w:color w:val="000000"/>
                <w:sz w:val="16"/>
                <w:szCs w:val="16"/>
              </w:rPr>
            </w:pPr>
            <w:r>
              <w:rPr>
                <w:noProof/>
                <w:color w:val="000000"/>
                <w:sz w:val="16"/>
                <w:szCs w:val="16"/>
              </w:rPr>
              <w:t>European Social Fund — More developed regions — Investment for growth and jobs goal</w:t>
            </w:r>
          </w:p>
        </w:tc>
        <w:tc>
          <w:tcPr>
            <w:tcW w:w="1701" w:type="dxa"/>
            <w:tcBorders>
              <w:top w:val="nil"/>
              <w:left w:val="nil"/>
              <w:bottom w:val="single" w:sz="8" w:space="0" w:color="auto"/>
              <w:right w:val="single" w:sz="8" w:space="0" w:color="auto"/>
            </w:tcBorders>
            <w:shd w:val="clear" w:color="auto" w:fill="auto"/>
            <w:vAlign w:val="center"/>
            <w:hideMark/>
          </w:tcPr>
          <w:p>
            <w:pPr>
              <w:jc w:val="right"/>
              <w:rPr>
                <w:noProof/>
                <w:color w:val="000000"/>
                <w:sz w:val="20"/>
                <w:szCs w:val="20"/>
              </w:rPr>
            </w:pPr>
            <w:r>
              <w:rPr>
                <w:noProof/>
                <w:color w:val="000000"/>
                <w:sz w:val="20"/>
                <w:szCs w:val="20"/>
              </w:rPr>
              <w:t>-333 817 608</w:t>
            </w:r>
          </w:p>
        </w:tc>
      </w:tr>
      <w:tr>
        <w:trPr>
          <w:trHeight w:val="465"/>
        </w:trPr>
        <w:tc>
          <w:tcPr>
            <w:tcW w:w="1291" w:type="dxa"/>
            <w:tcBorders>
              <w:top w:val="nil"/>
              <w:left w:val="single" w:sz="8" w:space="0" w:color="auto"/>
              <w:bottom w:val="single" w:sz="8" w:space="0" w:color="auto"/>
              <w:right w:val="single" w:sz="8" w:space="0" w:color="auto"/>
            </w:tcBorders>
            <w:shd w:val="clear" w:color="auto" w:fill="auto"/>
            <w:vAlign w:val="center"/>
            <w:hideMark/>
          </w:tcPr>
          <w:p>
            <w:pPr>
              <w:jc w:val="both"/>
              <w:rPr>
                <w:noProof/>
                <w:color w:val="000000"/>
                <w:sz w:val="20"/>
                <w:szCs w:val="20"/>
              </w:rPr>
            </w:pPr>
            <w:r>
              <w:rPr>
                <w:noProof/>
                <w:color w:val="000000"/>
                <w:sz w:val="20"/>
                <w:szCs w:val="20"/>
              </w:rPr>
              <w:t>13 03 60</w:t>
            </w:r>
          </w:p>
        </w:tc>
        <w:tc>
          <w:tcPr>
            <w:tcW w:w="6521" w:type="dxa"/>
            <w:tcBorders>
              <w:top w:val="nil"/>
              <w:left w:val="nil"/>
              <w:bottom w:val="single" w:sz="8" w:space="0" w:color="auto"/>
              <w:right w:val="single" w:sz="8" w:space="0" w:color="auto"/>
            </w:tcBorders>
            <w:shd w:val="clear" w:color="auto" w:fill="auto"/>
            <w:vAlign w:val="center"/>
            <w:hideMark/>
          </w:tcPr>
          <w:p>
            <w:pPr>
              <w:jc w:val="both"/>
              <w:rPr>
                <w:noProof/>
                <w:color w:val="000000"/>
                <w:sz w:val="16"/>
                <w:szCs w:val="16"/>
              </w:rPr>
            </w:pPr>
            <w:r>
              <w:rPr>
                <w:noProof/>
                <w:color w:val="000000"/>
                <w:sz w:val="16"/>
                <w:szCs w:val="16"/>
              </w:rPr>
              <w:t>European Regional Development Fund (ERDF) — Less developed regions — Investment for growth and jobs goal</w:t>
            </w:r>
          </w:p>
        </w:tc>
        <w:tc>
          <w:tcPr>
            <w:tcW w:w="1701" w:type="dxa"/>
            <w:tcBorders>
              <w:top w:val="nil"/>
              <w:left w:val="nil"/>
              <w:bottom w:val="single" w:sz="8" w:space="0" w:color="auto"/>
              <w:right w:val="single" w:sz="8" w:space="0" w:color="auto"/>
            </w:tcBorders>
            <w:shd w:val="clear" w:color="auto" w:fill="auto"/>
            <w:vAlign w:val="center"/>
            <w:hideMark/>
          </w:tcPr>
          <w:p>
            <w:pPr>
              <w:jc w:val="right"/>
              <w:rPr>
                <w:noProof/>
                <w:color w:val="000000"/>
                <w:sz w:val="20"/>
                <w:szCs w:val="20"/>
              </w:rPr>
            </w:pPr>
            <w:r>
              <w:rPr>
                <w:noProof/>
                <w:color w:val="000000"/>
                <w:sz w:val="20"/>
                <w:szCs w:val="20"/>
              </w:rPr>
              <w:t>-3 441 410 203</w:t>
            </w:r>
          </w:p>
        </w:tc>
      </w:tr>
      <w:tr>
        <w:trPr>
          <w:trHeight w:val="315"/>
        </w:trPr>
        <w:tc>
          <w:tcPr>
            <w:tcW w:w="1291" w:type="dxa"/>
            <w:tcBorders>
              <w:top w:val="nil"/>
              <w:left w:val="single" w:sz="8" w:space="0" w:color="auto"/>
              <w:bottom w:val="single" w:sz="8" w:space="0" w:color="auto"/>
              <w:right w:val="single" w:sz="8" w:space="0" w:color="auto"/>
            </w:tcBorders>
            <w:shd w:val="clear" w:color="auto" w:fill="auto"/>
            <w:vAlign w:val="center"/>
            <w:hideMark/>
          </w:tcPr>
          <w:p>
            <w:pPr>
              <w:jc w:val="both"/>
              <w:rPr>
                <w:noProof/>
                <w:color w:val="000000"/>
                <w:sz w:val="20"/>
                <w:szCs w:val="20"/>
              </w:rPr>
            </w:pPr>
            <w:r>
              <w:rPr>
                <w:noProof/>
                <w:color w:val="000000"/>
                <w:sz w:val="20"/>
                <w:szCs w:val="20"/>
              </w:rPr>
              <w:t>13 03 61</w:t>
            </w:r>
          </w:p>
        </w:tc>
        <w:tc>
          <w:tcPr>
            <w:tcW w:w="6521" w:type="dxa"/>
            <w:tcBorders>
              <w:top w:val="nil"/>
              <w:left w:val="nil"/>
              <w:bottom w:val="single" w:sz="8" w:space="0" w:color="auto"/>
              <w:right w:val="single" w:sz="8" w:space="0" w:color="auto"/>
            </w:tcBorders>
            <w:shd w:val="clear" w:color="auto" w:fill="auto"/>
            <w:vAlign w:val="center"/>
            <w:hideMark/>
          </w:tcPr>
          <w:p>
            <w:pPr>
              <w:jc w:val="both"/>
              <w:rPr>
                <w:noProof/>
                <w:color w:val="000000"/>
                <w:sz w:val="16"/>
                <w:szCs w:val="16"/>
              </w:rPr>
            </w:pPr>
            <w:r>
              <w:rPr>
                <w:noProof/>
                <w:color w:val="000000"/>
                <w:sz w:val="16"/>
                <w:szCs w:val="16"/>
              </w:rPr>
              <w:t>European Regional Development Fund (ERDF) — Transition regions — Investment for growth and jobs goal</w:t>
            </w:r>
          </w:p>
        </w:tc>
        <w:tc>
          <w:tcPr>
            <w:tcW w:w="1701" w:type="dxa"/>
            <w:tcBorders>
              <w:top w:val="nil"/>
              <w:left w:val="nil"/>
              <w:bottom w:val="single" w:sz="8" w:space="0" w:color="auto"/>
              <w:right w:val="single" w:sz="8" w:space="0" w:color="auto"/>
            </w:tcBorders>
            <w:shd w:val="clear" w:color="auto" w:fill="auto"/>
            <w:vAlign w:val="center"/>
            <w:hideMark/>
          </w:tcPr>
          <w:p>
            <w:pPr>
              <w:jc w:val="right"/>
              <w:rPr>
                <w:noProof/>
                <w:color w:val="000000"/>
                <w:sz w:val="20"/>
                <w:szCs w:val="20"/>
              </w:rPr>
            </w:pPr>
            <w:r>
              <w:rPr>
                <w:noProof/>
                <w:color w:val="000000"/>
                <w:sz w:val="20"/>
                <w:szCs w:val="20"/>
              </w:rPr>
              <w:t>-491 788 711</w:t>
            </w:r>
          </w:p>
        </w:tc>
      </w:tr>
      <w:tr>
        <w:trPr>
          <w:trHeight w:val="465"/>
        </w:trPr>
        <w:tc>
          <w:tcPr>
            <w:tcW w:w="1291" w:type="dxa"/>
            <w:tcBorders>
              <w:top w:val="nil"/>
              <w:left w:val="single" w:sz="8" w:space="0" w:color="auto"/>
              <w:bottom w:val="single" w:sz="8" w:space="0" w:color="auto"/>
              <w:right w:val="single" w:sz="8" w:space="0" w:color="auto"/>
            </w:tcBorders>
            <w:shd w:val="clear" w:color="auto" w:fill="auto"/>
            <w:vAlign w:val="center"/>
            <w:hideMark/>
          </w:tcPr>
          <w:p>
            <w:pPr>
              <w:jc w:val="both"/>
              <w:rPr>
                <w:noProof/>
                <w:color w:val="000000"/>
                <w:sz w:val="20"/>
                <w:szCs w:val="20"/>
              </w:rPr>
            </w:pPr>
            <w:r>
              <w:rPr>
                <w:noProof/>
                <w:color w:val="000000"/>
                <w:sz w:val="20"/>
                <w:szCs w:val="20"/>
              </w:rPr>
              <w:t>13 03 62</w:t>
            </w:r>
          </w:p>
        </w:tc>
        <w:tc>
          <w:tcPr>
            <w:tcW w:w="6521" w:type="dxa"/>
            <w:tcBorders>
              <w:top w:val="nil"/>
              <w:left w:val="nil"/>
              <w:bottom w:val="single" w:sz="8" w:space="0" w:color="auto"/>
              <w:right w:val="single" w:sz="8" w:space="0" w:color="auto"/>
            </w:tcBorders>
            <w:shd w:val="clear" w:color="auto" w:fill="auto"/>
            <w:vAlign w:val="center"/>
            <w:hideMark/>
          </w:tcPr>
          <w:p>
            <w:pPr>
              <w:jc w:val="both"/>
              <w:rPr>
                <w:noProof/>
                <w:color w:val="000000"/>
                <w:sz w:val="16"/>
                <w:szCs w:val="16"/>
              </w:rPr>
            </w:pPr>
            <w:r>
              <w:rPr>
                <w:noProof/>
                <w:color w:val="000000"/>
                <w:sz w:val="16"/>
                <w:szCs w:val="16"/>
              </w:rPr>
              <w:t>European Regional Development Fund (ERDF) — More developed regions — Investment for growth and jobs goal</w:t>
            </w:r>
          </w:p>
        </w:tc>
        <w:tc>
          <w:tcPr>
            <w:tcW w:w="1701" w:type="dxa"/>
            <w:tcBorders>
              <w:top w:val="nil"/>
              <w:left w:val="nil"/>
              <w:bottom w:val="single" w:sz="8" w:space="0" w:color="auto"/>
              <w:right w:val="single" w:sz="8" w:space="0" w:color="auto"/>
            </w:tcBorders>
            <w:shd w:val="clear" w:color="auto" w:fill="auto"/>
            <w:vAlign w:val="center"/>
            <w:hideMark/>
          </w:tcPr>
          <w:p>
            <w:pPr>
              <w:jc w:val="right"/>
              <w:rPr>
                <w:noProof/>
                <w:color w:val="000000"/>
                <w:sz w:val="20"/>
                <w:szCs w:val="20"/>
              </w:rPr>
            </w:pPr>
            <w:r>
              <w:rPr>
                <w:noProof/>
                <w:color w:val="000000"/>
                <w:sz w:val="20"/>
                <w:szCs w:val="20"/>
              </w:rPr>
              <w:t>-510 253 467</w:t>
            </w:r>
          </w:p>
        </w:tc>
      </w:tr>
      <w:tr>
        <w:trPr>
          <w:trHeight w:val="315"/>
        </w:trPr>
        <w:tc>
          <w:tcPr>
            <w:tcW w:w="1291" w:type="dxa"/>
            <w:tcBorders>
              <w:top w:val="nil"/>
              <w:left w:val="single" w:sz="8" w:space="0" w:color="auto"/>
              <w:bottom w:val="single" w:sz="8" w:space="0" w:color="auto"/>
              <w:right w:val="single" w:sz="8" w:space="0" w:color="auto"/>
            </w:tcBorders>
            <w:shd w:val="clear" w:color="auto" w:fill="auto"/>
            <w:vAlign w:val="center"/>
            <w:hideMark/>
          </w:tcPr>
          <w:p>
            <w:pPr>
              <w:jc w:val="both"/>
              <w:rPr>
                <w:noProof/>
                <w:color w:val="000000"/>
                <w:sz w:val="20"/>
                <w:szCs w:val="20"/>
              </w:rPr>
            </w:pPr>
            <w:r>
              <w:rPr>
                <w:noProof/>
                <w:color w:val="000000"/>
                <w:sz w:val="20"/>
                <w:szCs w:val="20"/>
              </w:rPr>
              <w:t>13 03 64 01</w:t>
            </w:r>
          </w:p>
        </w:tc>
        <w:tc>
          <w:tcPr>
            <w:tcW w:w="6521" w:type="dxa"/>
            <w:tcBorders>
              <w:top w:val="nil"/>
              <w:left w:val="nil"/>
              <w:bottom w:val="single" w:sz="8" w:space="0" w:color="auto"/>
              <w:right w:val="single" w:sz="8" w:space="0" w:color="auto"/>
            </w:tcBorders>
            <w:shd w:val="clear" w:color="auto" w:fill="auto"/>
            <w:vAlign w:val="center"/>
            <w:hideMark/>
          </w:tcPr>
          <w:p>
            <w:pPr>
              <w:jc w:val="both"/>
              <w:rPr>
                <w:noProof/>
                <w:color w:val="000000"/>
                <w:sz w:val="16"/>
                <w:szCs w:val="16"/>
              </w:rPr>
            </w:pPr>
            <w:r>
              <w:rPr>
                <w:noProof/>
                <w:color w:val="000000"/>
                <w:sz w:val="16"/>
                <w:szCs w:val="16"/>
              </w:rPr>
              <w:t>European Regional Development Fund (ERDF) — European territorial cooperation</w:t>
            </w:r>
          </w:p>
        </w:tc>
        <w:tc>
          <w:tcPr>
            <w:tcW w:w="1701" w:type="dxa"/>
            <w:tcBorders>
              <w:top w:val="nil"/>
              <w:left w:val="nil"/>
              <w:bottom w:val="single" w:sz="8" w:space="0" w:color="auto"/>
              <w:right w:val="single" w:sz="8" w:space="0" w:color="auto"/>
            </w:tcBorders>
            <w:shd w:val="clear" w:color="auto" w:fill="auto"/>
            <w:vAlign w:val="center"/>
            <w:hideMark/>
          </w:tcPr>
          <w:p>
            <w:pPr>
              <w:jc w:val="right"/>
              <w:rPr>
                <w:noProof/>
                <w:color w:val="000000"/>
                <w:sz w:val="20"/>
                <w:szCs w:val="20"/>
              </w:rPr>
            </w:pPr>
            <w:r>
              <w:rPr>
                <w:noProof/>
                <w:color w:val="000000"/>
                <w:sz w:val="20"/>
                <w:szCs w:val="20"/>
              </w:rPr>
              <w:t>-257 368 301</w:t>
            </w:r>
          </w:p>
        </w:tc>
      </w:tr>
      <w:tr>
        <w:trPr>
          <w:trHeight w:val="315"/>
        </w:trPr>
        <w:tc>
          <w:tcPr>
            <w:tcW w:w="1291" w:type="dxa"/>
            <w:tcBorders>
              <w:top w:val="nil"/>
              <w:left w:val="single" w:sz="8" w:space="0" w:color="auto"/>
              <w:bottom w:val="single" w:sz="8" w:space="0" w:color="auto"/>
              <w:right w:val="single" w:sz="8" w:space="0" w:color="auto"/>
            </w:tcBorders>
            <w:shd w:val="clear" w:color="auto" w:fill="auto"/>
            <w:vAlign w:val="center"/>
            <w:hideMark/>
          </w:tcPr>
          <w:p>
            <w:pPr>
              <w:jc w:val="both"/>
              <w:rPr>
                <w:noProof/>
                <w:color w:val="000000"/>
                <w:sz w:val="20"/>
                <w:szCs w:val="20"/>
              </w:rPr>
            </w:pPr>
            <w:r>
              <w:rPr>
                <w:noProof/>
                <w:color w:val="000000"/>
                <w:sz w:val="20"/>
                <w:szCs w:val="20"/>
              </w:rPr>
              <w:t>13 05 03 01</w:t>
            </w:r>
          </w:p>
        </w:tc>
        <w:tc>
          <w:tcPr>
            <w:tcW w:w="6521" w:type="dxa"/>
            <w:tcBorders>
              <w:top w:val="nil"/>
              <w:left w:val="nil"/>
              <w:bottom w:val="single" w:sz="8" w:space="0" w:color="auto"/>
              <w:right w:val="single" w:sz="8" w:space="0" w:color="auto"/>
            </w:tcBorders>
            <w:shd w:val="clear" w:color="auto" w:fill="auto"/>
            <w:vAlign w:val="center"/>
            <w:hideMark/>
          </w:tcPr>
          <w:p>
            <w:pPr>
              <w:jc w:val="both"/>
              <w:rPr>
                <w:noProof/>
                <w:color w:val="000000"/>
                <w:sz w:val="16"/>
                <w:szCs w:val="16"/>
              </w:rPr>
            </w:pPr>
            <w:r>
              <w:rPr>
                <w:noProof/>
                <w:color w:val="000000"/>
                <w:sz w:val="16"/>
                <w:szCs w:val="16"/>
              </w:rPr>
              <w:t>Completion of cross-border cooperation (CBC) — Contribution from Subheading 1b</w:t>
            </w:r>
          </w:p>
        </w:tc>
        <w:tc>
          <w:tcPr>
            <w:tcW w:w="1701" w:type="dxa"/>
            <w:tcBorders>
              <w:top w:val="nil"/>
              <w:left w:val="nil"/>
              <w:bottom w:val="single" w:sz="8" w:space="0" w:color="auto"/>
              <w:right w:val="single" w:sz="8" w:space="0" w:color="auto"/>
            </w:tcBorders>
            <w:shd w:val="clear" w:color="auto" w:fill="auto"/>
            <w:vAlign w:val="center"/>
            <w:hideMark/>
          </w:tcPr>
          <w:p>
            <w:pPr>
              <w:jc w:val="right"/>
              <w:rPr>
                <w:noProof/>
                <w:color w:val="000000"/>
                <w:sz w:val="20"/>
                <w:szCs w:val="20"/>
              </w:rPr>
            </w:pPr>
            <w:r>
              <w:rPr>
                <w:noProof/>
                <w:color w:val="000000"/>
                <w:sz w:val="20"/>
                <w:szCs w:val="20"/>
              </w:rPr>
              <w:t>-15 422 489</w:t>
            </w:r>
          </w:p>
        </w:tc>
      </w:tr>
      <w:tr>
        <w:trPr>
          <w:trHeight w:val="315"/>
        </w:trPr>
        <w:tc>
          <w:tcPr>
            <w:tcW w:w="1291" w:type="dxa"/>
            <w:tcBorders>
              <w:top w:val="nil"/>
              <w:left w:val="single" w:sz="8" w:space="0" w:color="auto"/>
              <w:bottom w:val="single" w:sz="8" w:space="0" w:color="auto"/>
              <w:right w:val="single" w:sz="8" w:space="0" w:color="auto"/>
            </w:tcBorders>
            <w:shd w:val="clear" w:color="auto" w:fill="auto"/>
            <w:vAlign w:val="center"/>
            <w:hideMark/>
          </w:tcPr>
          <w:p>
            <w:pPr>
              <w:jc w:val="both"/>
              <w:rPr>
                <w:noProof/>
                <w:color w:val="000000"/>
                <w:sz w:val="20"/>
                <w:szCs w:val="20"/>
              </w:rPr>
            </w:pPr>
            <w:r>
              <w:rPr>
                <w:noProof/>
                <w:color w:val="000000"/>
                <w:sz w:val="20"/>
                <w:szCs w:val="20"/>
              </w:rPr>
              <w:t>13 05 63 01</w:t>
            </w:r>
          </w:p>
        </w:tc>
        <w:tc>
          <w:tcPr>
            <w:tcW w:w="6521" w:type="dxa"/>
            <w:tcBorders>
              <w:top w:val="nil"/>
              <w:left w:val="nil"/>
              <w:bottom w:val="single" w:sz="8" w:space="0" w:color="auto"/>
              <w:right w:val="single" w:sz="8" w:space="0" w:color="auto"/>
            </w:tcBorders>
            <w:shd w:val="clear" w:color="auto" w:fill="auto"/>
            <w:vAlign w:val="center"/>
            <w:hideMark/>
          </w:tcPr>
          <w:p>
            <w:pPr>
              <w:jc w:val="both"/>
              <w:rPr>
                <w:noProof/>
                <w:color w:val="000000"/>
                <w:sz w:val="16"/>
                <w:szCs w:val="16"/>
              </w:rPr>
            </w:pPr>
            <w:r>
              <w:rPr>
                <w:noProof/>
                <w:color w:val="000000"/>
                <w:sz w:val="16"/>
                <w:szCs w:val="16"/>
              </w:rPr>
              <w:t>Cross-border cooperation (CBC) — Contribution from Heading 1b</w:t>
            </w:r>
          </w:p>
        </w:tc>
        <w:tc>
          <w:tcPr>
            <w:tcW w:w="1701" w:type="dxa"/>
            <w:tcBorders>
              <w:top w:val="nil"/>
              <w:left w:val="nil"/>
              <w:bottom w:val="single" w:sz="8" w:space="0" w:color="auto"/>
              <w:right w:val="single" w:sz="8" w:space="0" w:color="auto"/>
            </w:tcBorders>
            <w:shd w:val="clear" w:color="auto" w:fill="auto"/>
            <w:vAlign w:val="center"/>
            <w:hideMark/>
          </w:tcPr>
          <w:p>
            <w:pPr>
              <w:jc w:val="right"/>
              <w:rPr>
                <w:noProof/>
                <w:color w:val="000000"/>
                <w:sz w:val="20"/>
                <w:szCs w:val="20"/>
              </w:rPr>
            </w:pPr>
            <w:r>
              <w:rPr>
                <w:noProof/>
                <w:color w:val="000000"/>
                <w:sz w:val="20"/>
                <w:szCs w:val="20"/>
              </w:rPr>
              <w:t>-21 988 054</w:t>
            </w:r>
          </w:p>
        </w:tc>
      </w:tr>
      <w:tr>
        <w:trPr>
          <w:trHeight w:val="315"/>
        </w:trPr>
        <w:tc>
          <w:tcPr>
            <w:tcW w:w="1291" w:type="dxa"/>
            <w:tcBorders>
              <w:top w:val="nil"/>
              <w:left w:val="single" w:sz="8" w:space="0" w:color="auto"/>
              <w:bottom w:val="single" w:sz="8" w:space="0" w:color="auto"/>
              <w:right w:val="single" w:sz="8" w:space="0" w:color="auto"/>
            </w:tcBorders>
            <w:shd w:val="clear" w:color="auto" w:fill="auto"/>
            <w:vAlign w:val="center"/>
            <w:hideMark/>
          </w:tcPr>
          <w:p>
            <w:pPr>
              <w:jc w:val="both"/>
              <w:rPr>
                <w:noProof/>
                <w:color w:val="000000"/>
                <w:sz w:val="20"/>
                <w:szCs w:val="20"/>
              </w:rPr>
            </w:pPr>
            <w:r>
              <w:rPr>
                <w:noProof/>
                <w:color w:val="000000"/>
                <w:sz w:val="20"/>
                <w:szCs w:val="20"/>
              </w:rPr>
              <w:t>22 04 52</w:t>
            </w:r>
          </w:p>
        </w:tc>
        <w:tc>
          <w:tcPr>
            <w:tcW w:w="6521" w:type="dxa"/>
            <w:tcBorders>
              <w:top w:val="nil"/>
              <w:left w:val="nil"/>
              <w:bottom w:val="single" w:sz="8" w:space="0" w:color="auto"/>
              <w:right w:val="single" w:sz="8" w:space="0" w:color="auto"/>
            </w:tcBorders>
            <w:shd w:val="clear" w:color="auto" w:fill="auto"/>
            <w:vAlign w:val="center"/>
            <w:hideMark/>
          </w:tcPr>
          <w:p>
            <w:pPr>
              <w:jc w:val="both"/>
              <w:rPr>
                <w:noProof/>
                <w:color w:val="000000"/>
                <w:sz w:val="16"/>
                <w:szCs w:val="16"/>
              </w:rPr>
            </w:pPr>
            <w:r>
              <w:rPr>
                <w:noProof/>
                <w:color w:val="000000"/>
                <w:sz w:val="16"/>
                <w:szCs w:val="16"/>
              </w:rPr>
              <w:t>Cross-border cooperation (CBC) — Contribution from Heading 1b (Regional policy)</w:t>
            </w:r>
          </w:p>
        </w:tc>
        <w:tc>
          <w:tcPr>
            <w:tcW w:w="1701" w:type="dxa"/>
            <w:tcBorders>
              <w:top w:val="nil"/>
              <w:left w:val="nil"/>
              <w:bottom w:val="single" w:sz="8" w:space="0" w:color="auto"/>
              <w:right w:val="single" w:sz="8" w:space="0" w:color="auto"/>
            </w:tcBorders>
            <w:shd w:val="clear" w:color="auto" w:fill="auto"/>
            <w:vAlign w:val="center"/>
            <w:hideMark/>
          </w:tcPr>
          <w:p>
            <w:pPr>
              <w:jc w:val="right"/>
              <w:rPr>
                <w:noProof/>
                <w:color w:val="000000"/>
                <w:sz w:val="20"/>
                <w:szCs w:val="20"/>
              </w:rPr>
            </w:pPr>
            <w:r>
              <w:rPr>
                <w:noProof/>
                <w:color w:val="000000"/>
                <w:sz w:val="20"/>
                <w:szCs w:val="20"/>
              </w:rPr>
              <w:t>-2 512 986</w:t>
            </w:r>
          </w:p>
        </w:tc>
      </w:tr>
      <w:tr>
        <w:trPr>
          <w:trHeight w:val="315"/>
        </w:trPr>
        <w:tc>
          <w:tcPr>
            <w:tcW w:w="7812"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pPr>
              <w:jc w:val="both"/>
              <w:rPr>
                <w:b/>
                <w:bCs/>
                <w:noProof/>
                <w:color w:val="000000"/>
                <w:sz w:val="20"/>
                <w:szCs w:val="20"/>
              </w:rPr>
            </w:pPr>
            <w:r>
              <w:rPr>
                <w:b/>
                <w:bCs/>
                <w:noProof/>
                <w:color w:val="000000"/>
                <w:sz w:val="20"/>
                <w:szCs w:val="20"/>
              </w:rPr>
              <w:t xml:space="preserve">Total </w:t>
            </w:r>
          </w:p>
        </w:tc>
        <w:tc>
          <w:tcPr>
            <w:tcW w:w="1701" w:type="dxa"/>
            <w:tcBorders>
              <w:top w:val="nil"/>
              <w:left w:val="nil"/>
              <w:bottom w:val="single" w:sz="8" w:space="0" w:color="auto"/>
              <w:right w:val="single" w:sz="8" w:space="0" w:color="auto"/>
            </w:tcBorders>
            <w:shd w:val="clear" w:color="auto" w:fill="D9D9D9" w:themeFill="background1" w:themeFillShade="D9"/>
            <w:vAlign w:val="center"/>
            <w:hideMark/>
          </w:tcPr>
          <w:p>
            <w:pPr>
              <w:jc w:val="right"/>
              <w:rPr>
                <w:b/>
                <w:bCs/>
                <w:noProof/>
                <w:color w:val="000000"/>
                <w:sz w:val="20"/>
                <w:szCs w:val="20"/>
              </w:rPr>
            </w:pPr>
            <w:r>
              <w:rPr>
                <w:b/>
                <w:bCs/>
                <w:noProof/>
                <w:color w:val="000000"/>
                <w:sz w:val="20"/>
                <w:szCs w:val="20"/>
              </w:rPr>
              <w:t>-5 890 744 211</w:t>
            </w:r>
          </w:p>
        </w:tc>
      </w:tr>
    </w:tbl>
    <w:p>
      <w:pPr>
        <w:pStyle w:val="ListDash"/>
        <w:rPr>
          <w:noProof/>
        </w:rPr>
      </w:pPr>
      <w:bookmarkStart w:id="23" w:name="_Toc462410052"/>
      <w:bookmarkStart w:id="24" w:name="_Toc461100990"/>
      <w:bookmarkEnd w:id="20"/>
      <w:r>
        <w:rPr>
          <w:noProof/>
        </w:rPr>
        <w:t>The Commission has recurrently highlighted this issue and expressed its readiness to provide assistance to Member States to ensure that implementation accelerates. In July, letters co-signed by four Commissioners</w:t>
      </w:r>
      <w:r>
        <w:rPr>
          <w:rStyle w:val="FootnoteReference"/>
          <w:noProof/>
        </w:rPr>
        <w:footnoteReference w:id="10"/>
      </w:r>
      <w:r>
        <w:rPr>
          <w:noProof/>
        </w:rPr>
        <w:t xml:space="preserve"> were sent to Member States, alerting them to the worryingly low level of implementation and urging them to remove the bottlenecks without further delay. </w:t>
      </w:r>
    </w:p>
    <w:p>
      <w:pPr>
        <w:keepNext/>
        <w:tabs>
          <w:tab w:val="left" w:pos="850"/>
        </w:tabs>
        <w:spacing w:before="360" w:after="120"/>
        <w:ind w:left="850" w:hanging="850"/>
        <w:jc w:val="both"/>
        <w:outlineLvl w:val="1"/>
        <w:rPr>
          <w:rFonts w:eastAsia="Calibri"/>
          <w:b/>
          <w:noProof/>
          <w:lang w:eastAsia="de-DE"/>
        </w:rPr>
      </w:pPr>
      <w:bookmarkStart w:id="25" w:name="_Toc494994373"/>
      <w:r>
        <w:rPr>
          <w:rFonts w:eastAsia="Calibri"/>
          <w:b/>
          <w:noProof/>
          <w:lang w:eastAsia="de-DE"/>
        </w:rPr>
        <w:t>2.2</w:t>
      </w:r>
      <w:r>
        <w:rPr>
          <w:rFonts w:eastAsia="Calibri"/>
          <w:b/>
          <w:noProof/>
          <w:lang w:eastAsia="de-DE"/>
        </w:rPr>
        <w:tab/>
        <w:t>Heading 2 – Sustainable Growth: Natural resources</w:t>
      </w:r>
      <w:bookmarkEnd w:id="23"/>
      <w:bookmarkEnd w:id="25"/>
    </w:p>
    <w:p>
      <w:pPr>
        <w:tabs>
          <w:tab w:val="left" w:pos="851"/>
        </w:tabs>
        <w:spacing w:before="240"/>
        <w:rPr>
          <w:bCs/>
          <w:i/>
          <w:noProof/>
        </w:rPr>
      </w:pPr>
      <w:bookmarkStart w:id="26" w:name="_Toc399926625"/>
      <w:bookmarkStart w:id="27" w:name="_Toc461100991"/>
      <w:bookmarkEnd w:id="24"/>
      <w:r>
        <w:rPr>
          <w:bCs/>
          <w:i/>
          <w:noProof/>
        </w:rPr>
        <w:t xml:space="preserve">2.2.1 </w:t>
      </w:r>
      <w:r>
        <w:rPr>
          <w:bCs/>
          <w:i/>
          <w:noProof/>
        </w:rPr>
        <w:tab/>
        <w:t>European Agricultural Fund for Rural Development (EAFRD)</w:t>
      </w:r>
    </w:p>
    <w:p>
      <w:pPr>
        <w:autoSpaceDE w:val="0"/>
        <w:autoSpaceDN w:val="0"/>
        <w:adjustRightInd w:val="0"/>
        <w:spacing w:before="120" w:after="120"/>
        <w:jc w:val="both"/>
        <w:rPr>
          <w:noProof/>
        </w:rPr>
      </w:pPr>
      <w:r>
        <w:rPr>
          <w:noProof/>
        </w:rPr>
        <w:t>The payment appropriations available on budget item 05 04 05 01 were initially intended for the closure payments of the EAFRD 2007-2013 programmes. However, most of these programmes were closed and paid at the end of 2016 as additional payment appropriations were made available for this purpose in 2016 from the end-of-the year transfer and from the EAFRD 2014-2020 budget line. As a result, the needs for closure payments in 2017 are lower and an amount of EUR 780 million may be released.</w:t>
      </w:r>
    </w:p>
    <w:p>
      <w:pPr>
        <w:autoSpaceDE w:val="0"/>
        <w:autoSpaceDN w:val="0"/>
        <w:adjustRightInd w:val="0"/>
        <w:spacing w:before="120" w:after="240"/>
        <w:jc w:val="both"/>
        <w:rPr>
          <w:noProof/>
        </w:rPr>
      </w:pPr>
      <w:r>
        <w:rPr>
          <w:noProof/>
        </w:rPr>
        <w:t>Further to the cancellation of certain actions, a EUR 1,5 million reduction of the commitment appropriations on budget item 05 04 60 02 is also proposed.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961"/>
        <w:gridCol w:w="1701"/>
        <w:gridCol w:w="1701"/>
      </w:tblGrid>
      <w:tr>
        <w:trPr>
          <w:tblHeader/>
        </w:trPr>
        <w:tc>
          <w:tcPr>
            <w:tcW w:w="1276" w:type="dxa"/>
            <w:shd w:val="clear" w:color="auto" w:fill="D9D9D9"/>
            <w:vAlign w:val="center"/>
          </w:tcPr>
          <w:p>
            <w:pPr>
              <w:widowControl w:val="0"/>
              <w:spacing w:before="15" w:after="15"/>
              <w:jc w:val="center"/>
              <w:rPr>
                <w:b/>
                <w:noProof/>
                <w:sz w:val="20"/>
                <w:szCs w:val="20"/>
              </w:rPr>
            </w:pPr>
            <w:r>
              <w:rPr>
                <w:b/>
                <w:noProof/>
                <w:sz w:val="20"/>
                <w:szCs w:val="20"/>
              </w:rPr>
              <w:t>Budget line</w:t>
            </w:r>
          </w:p>
        </w:tc>
        <w:tc>
          <w:tcPr>
            <w:tcW w:w="4961" w:type="dxa"/>
            <w:shd w:val="clear" w:color="auto" w:fill="D9D9D9"/>
            <w:vAlign w:val="center"/>
          </w:tcPr>
          <w:p>
            <w:pPr>
              <w:widowControl w:val="0"/>
              <w:spacing w:before="15" w:after="15"/>
              <w:jc w:val="center"/>
              <w:rPr>
                <w:b/>
                <w:noProof/>
                <w:sz w:val="20"/>
                <w:szCs w:val="20"/>
              </w:rPr>
            </w:pPr>
            <w:r>
              <w:rPr>
                <w:b/>
                <w:noProof/>
                <w:sz w:val="20"/>
                <w:szCs w:val="20"/>
              </w:rPr>
              <w:t>Name</w:t>
            </w:r>
          </w:p>
        </w:tc>
        <w:tc>
          <w:tcPr>
            <w:tcW w:w="1701" w:type="dxa"/>
            <w:shd w:val="clear" w:color="auto" w:fill="D9D9D9"/>
            <w:vAlign w:val="center"/>
          </w:tcPr>
          <w:p>
            <w:pPr>
              <w:widowControl w:val="0"/>
              <w:spacing w:before="15" w:after="15"/>
              <w:jc w:val="center"/>
              <w:rPr>
                <w:b/>
                <w:noProof/>
                <w:sz w:val="20"/>
                <w:szCs w:val="20"/>
              </w:rPr>
            </w:pPr>
            <w:r>
              <w:rPr>
                <w:b/>
                <w:noProof/>
                <w:sz w:val="20"/>
                <w:szCs w:val="20"/>
              </w:rPr>
              <w:t>Commitment appropriations</w:t>
            </w:r>
          </w:p>
        </w:tc>
        <w:tc>
          <w:tcPr>
            <w:tcW w:w="1701" w:type="dxa"/>
            <w:shd w:val="clear" w:color="auto" w:fill="D9D9D9"/>
            <w:vAlign w:val="center"/>
          </w:tcPr>
          <w:p>
            <w:pPr>
              <w:widowControl w:val="0"/>
              <w:spacing w:before="15" w:after="15"/>
              <w:jc w:val="center"/>
              <w:rPr>
                <w:b/>
                <w:noProof/>
                <w:sz w:val="20"/>
                <w:szCs w:val="20"/>
              </w:rPr>
            </w:pPr>
            <w:r>
              <w:rPr>
                <w:b/>
                <w:noProof/>
                <w:sz w:val="20"/>
                <w:szCs w:val="20"/>
              </w:rPr>
              <w:t>Payment appropriations</w:t>
            </w:r>
          </w:p>
        </w:tc>
      </w:tr>
      <w:tr>
        <w:tc>
          <w:tcPr>
            <w:tcW w:w="1276" w:type="dxa"/>
            <w:vAlign w:val="center"/>
          </w:tcPr>
          <w:p>
            <w:pPr>
              <w:widowControl w:val="0"/>
              <w:spacing w:before="15" w:after="15"/>
              <w:ind w:right="-113"/>
              <w:jc w:val="both"/>
              <w:rPr>
                <w:noProof/>
                <w:sz w:val="20"/>
                <w:szCs w:val="20"/>
              </w:rPr>
            </w:pPr>
            <w:r>
              <w:rPr>
                <w:noProof/>
                <w:sz w:val="20"/>
                <w:szCs w:val="20"/>
              </w:rPr>
              <w:t>05 04 05 01</w:t>
            </w:r>
          </w:p>
        </w:tc>
        <w:tc>
          <w:tcPr>
            <w:tcW w:w="4961" w:type="dxa"/>
            <w:vAlign w:val="center"/>
          </w:tcPr>
          <w:p>
            <w:pPr>
              <w:widowControl w:val="0"/>
              <w:tabs>
                <w:tab w:val="left" w:pos="1350"/>
              </w:tabs>
              <w:spacing w:before="15" w:after="15"/>
              <w:jc w:val="both"/>
              <w:rPr>
                <w:noProof/>
                <w:sz w:val="16"/>
                <w:szCs w:val="16"/>
                <w:highlight w:val="yellow"/>
              </w:rPr>
            </w:pPr>
            <w:r>
              <w:rPr>
                <w:noProof/>
                <w:sz w:val="16"/>
                <w:szCs w:val="16"/>
              </w:rPr>
              <w:t>Rural development programmes</w:t>
            </w:r>
          </w:p>
        </w:tc>
        <w:tc>
          <w:tcPr>
            <w:tcW w:w="1701" w:type="dxa"/>
            <w:vAlign w:val="center"/>
          </w:tcPr>
          <w:p>
            <w:pPr>
              <w:widowControl w:val="0"/>
              <w:spacing w:before="15" w:after="15"/>
              <w:jc w:val="right"/>
              <w:rPr>
                <w:noProof/>
                <w:sz w:val="20"/>
                <w:szCs w:val="20"/>
              </w:rPr>
            </w:pPr>
            <w:r>
              <w:rPr>
                <w:noProof/>
                <w:sz w:val="20"/>
                <w:szCs w:val="20"/>
              </w:rPr>
              <w:t>-</w:t>
            </w:r>
          </w:p>
        </w:tc>
        <w:tc>
          <w:tcPr>
            <w:tcW w:w="1701" w:type="dxa"/>
            <w:vAlign w:val="center"/>
          </w:tcPr>
          <w:p>
            <w:pPr>
              <w:widowControl w:val="0"/>
              <w:spacing w:before="15" w:after="15"/>
              <w:jc w:val="right"/>
              <w:rPr>
                <w:noProof/>
                <w:sz w:val="20"/>
                <w:szCs w:val="20"/>
              </w:rPr>
            </w:pPr>
            <w:r>
              <w:rPr>
                <w:noProof/>
                <w:sz w:val="20"/>
                <w:szCs w:val="20"/>
              </w:rPr>
              <w:t>-780 000 000</w:t>
            </w:r>
          </w:p>
        </w:tc>
      </w:tr>
      <w:tr>
        <w:tc>
          <w:tcPr>
            <w:tcW w:w="1276" w:type="dxa"/>
            <w:vAlign w:val="center"/>
          </w:tcPr>
          <w:p>
            <w:pPr>
              <w:widowControl w:val="0"/>
              <w:spacing w:before="15" w:after="15"/>
              <w:ind w:right="-113"/>
              <w:jc w:val="both"/>
              <w:rPr>
                <w:noProof/>
                <w:sz w:val="20"/>
                <w:szCs w:val="20"/>
              </w:rPr>
            </w:pPr>
            <w:r>
              <w:rPr>
                <w:noProof/>
                <w:sz w:val="20"/>
                <w:szCs w:val="20"/>
              </w:rPr>
              <w:t>05 04 60 02</w:t>
            </w:r>
          </w:p>
        </w:tc>
        <w:tc>
          <w:tcPr>
            <w:tcW w:w="4961" w:type="dxa"/>
            <w:vAlign w:val="center"/>
          </w:tcPr>
          <w:p>
            <w:pPr>
              <w:widowControl w:val="0"/>
              <w:tabs>
                <w:tab w:val="left" w:pos="1350"/>
              </w:tabs>
              <w:spacing w:before="15" w:after="15"/>
              <w:rPr>
                <w:noProof/>
                <w:sz w:val="16"/>
                <w:szCs w:val="16"/>
              </w:rPr>
            </w:pPr>
            <w:r>
              <w:rPr>
                <w:noProof/>
                <w:sz w:val="16"/>
                <w:szCs w:val="16"/>
              </w:rPr>
              <w:t>Operational technical assistance</w:t>
            </w:r>
          </w:p>
        </w:tc>
        <w:tc>
          <w:tcPr>
            <w:tcW w:w="1701" w:type="dxa"/>
            <w:vAlign w:val="center"/>
          </w:tcPr>
          <w:p>
            <w:pPr>
              <w:widowControl w:val="0"/>
              <w:spacing w:before="15" w:after="15"/>
              <w:jc w:val="right"/>
              <w:rPr>
                <w:noProof/>
                <w:sz w:val="20"/>
                <w:szCs w:val="20"/>
              </w:rPr>
            </w:pPr>
            <w:r>
              <w:rPr>
                <w:noProof/>
                <w:sz w:val="20"/>
                <w:szCs w:val="20"/>
              </w:rPr>
              <w:t>-1 500 000</w:t>
            </w:r>
          </w:p>
        </w:tc>
        <w:tc>
          <w:tcPr>
            <w:tcW w:w="1701" w:type="dxa"/>
            <w:vAlign w:val="center"/>
          </w:tcPr>
          <w:p>
            <w:pPr>
              <w:widowControl w:val="0"/>
              <w:spacing w:before="15" w:after="15"/>
              <w:jc w:val="right"/>
              <w:rPr>
                <w:noProof/>
                <w:sz w:val="20"/>
                <w:szCs w:val="20"/>
              </w:rPr>
            </w:pPr>
            <w:r>
              <w:rPr>
                <w:noProof/>
                <w:sz w:val="20"/>
                <w:szCs w:val="20"/>
              </w:rPr>
              <w:t>-</w:t>
            </w:r>
          </w:p>
        </w:tc>
      </w:tr>
      <w:tr>
        <w:tc>
          <w:tcPr>
            <w:tcW w:w="6237" w:type="dxa"/>
            <w:gridSpan w:val="2"/>
            <w:shd w:val="clear" w:color="auto" w:fill="D9D9D9"/>
          </w:tcPr>
          <w:p>
            <w:pPr>
              <w:widowControl w:val="0"/>
              <w:tabs>
                <w:tab w:val="left" w:pos="975"/>
              </w:tabs>
              <w:spacing w:before="15" w:after="15"/>
              <w:jc w:val="both"/>
              <w:rPr>
                <w:b/>
                <w:noProof/>
                <w:sz w:val="20"/>
                <w:szCs w:val="20"/>
              </w:rPr>
            </w:pPr>
            <w:r>
              <w:rPr>
                <w:b/>
                <w:noProof/>
                <w:sz w:val="20"/>
                <w:szCs w:val="20"/>
              </w:rPr>
              <w:t>Total</w:t>
            </w:r>
            <w:r>
              <w:rPr>
                <w:b/>
                <w:noProof/>
                <w:sz w:val="20"/>
                <w:szCs w:val="20"/>
              </w:rPr>
              <w:tab/>
            </w:r>
          </w:p>
        </w:tc>
        <w:tc>
          <w:tcPr>
            <w:tcW w:w="1701" w:type="dxa"/>
            <w:shd w:val="clear" w:color="auto" w:fill="D9D9D9"/>
          </w:tcPr>
          <w:p>
            <w:pPr>
              <w:widowControl w:val="0"/>
              <w:spacing w:before="15" w:after="15"/>
              <w:jc w:val="right"/>
              <w:rPr>
                <w:b/>
                <w:noProof/>
                <w:sz w:val="20"/>
                <w:szCs w:val="20"/>
              </w:rPr>
            </w:pPr>
            <w:r>
              <w:rPr>
                <w:b/>
                <w:noProof/>
                <w:sz w:val="20"/>
                <w:szCs w:val="20"/>
              </w:rPr>
              <w:t>-1 500 000</w:t>
            </w:r>
          </w:p>
        </w:tc>
        <w:tc>
          <w:tcPr>
            <w:tcW w:w="1701" w:type="dxa"/>
            <w:shd w:val="clear" w:color="auto" w:fill="D9D9D9"/>
          </w:tcPr>
          <w:p>
            <w:pPr>
              <w:widowControl w:val="0"/>
              <w:spacing w:before="15" w:after="15"/>
              <w:jc w:val="right"/>
              <w:rPr>
                <w:b/>
                <w:noProof/>
                <w:sz w:val="20"/>
                <w:szCs w:val="20"/>
              </w:rPr>
            </w:pPr>
            <w:r>
              <w:rPr>
                <w:b/>
                <w:noProof/>
                <w:sz w:val="20"/>
                <w:szCs w:val="20"/>
              </w:rPr>
              <w:t>-780 000 000</w:t>
            </w:r>
          </w:p>
        </w:tc>
      </w:tr>
    </w:tbl>
    <w:p>
      <w:pPr>
        <w:tabs>
          <w:tab w:val="left" w:pos="851"/>
        </w:tabs>
        <w:spacing w:before="240"/>
        <w:rPr>
          <w:bCs/>
          <w:i/>
          <w:noProof/>
        </w:rPr>
      </w:pPr>
      <w:bookmarkStart w:id="28" w:name="_Toc399926626"/>
      <w:bookmarkStart w:id="29" w:name="_Toc461100992"/>
      <w:bookmarkEnd w:id="26"/>
      <w:bookmarkEnd w:id="27"/>
      <w:r>
        <w:rPr>
          <w:bCs/>
          <w:i/>
          <w:noProof/>
        </w:rPr>
        <w:t xml:space="preserve">2.2.2 </w:t>
      </w:r>
      <w:r>
        <w:rPr>
          <w:bCs/>
          <w:i/>
          <w:noProof/>
        </w:rPr>
        <w:tab/>
      </w:r>
      <w:bookmarkEnd w:id="28"/>
      <w:bookmarkEnd w:id="29"/>
      <w:r>
        <w:rPr>
          <w:bCs/>
          <w:i/>
          <w:noProof/>
        </w:rPr>
        <w:t>Compulsory contributions to regional fisheries management organisations and other international organisations and Sustainable Fisheries Agreements</w:t>
      </w:r>
    </w:p>
    <w:p>
      <w:pPr>
        <w:autoSpaceDE w:val="0"/>
        <w:autoSpaceDN w:val="0"/>
        <w:adjustRightInd w:val="0"/>
        <w:spacing w:before="120" w:after="240"/>
        <w:jc w:val="both"/>
        <w:rPr>
          <w:noProof/>
        </w:rPr>
      </w:pPr>
      <w:r>
        <w:rPr>
          <w:noProof/>
        </w:rPr>
        <w:t>On the basis of an updated analysis of the state of play of the negotiations for Sustainable Fisheries Partnership Agreements, EUR 11,2 million in commitment appropriations and EUR 10,4 million in payment appropriations may be released from the reserve line (budget article 40 02 41). Furthermore, EUR 0,2 million, in both commitment and payment appropriations, may be released from the compulsory contributions to international bodies active in the field of Maritime Affairs and Fisheries (budget article 11 03 02).</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961"/>
        <w:gridCol w:w="1701"/>
        <w:gridCol w:w="1701"/>
      </w:tblGrid>
      <w:tr>
        <w:tc>
          <w:tcPr>
            <w:tcW w:w="1276" w:type="dxa"/>
            <w:shd w:val="clear" w:color="auto" w:fill="D9D9D9"/>
            <w:vAlign w:val="center"/>
          </w:tcPr>
          <w:p>
            <w:pPr>
              <w:widowControl w:val="0"/>
              <w:spacing w:before="15" w:after="15"/>
              <w:jc w:val="center"/>
              <w:rPr>
                <w:b/>
                <w:noProof/>
                <w:sz w:val="20"/>
                <w:szCs w:val="20"/>
              </w:rPr>
            </w:pPr>
            <w:r>
              <w:rPr>
                <w:b/>
                <w:noProof/>
                <w:sz w:val="20"/>
                <w:szCs w:val="20"/>
              </w:rPr>
              <w:t>Budget line</w:t>
            </w:r>
          </w:p>
        </w:tc>
        <w:tc>
          <w:tcPr>
            <w:tcW w:w="4961" w:type="dxa"/>
            <w:shd w:val="clear" w:color="auto" w:fill="D9D9D9"/>
            <w:vAlign w:val="center"/>
          </w:tcPr>
          <w:p>
            <w:pPr>
              <w:widowControl w:val="0"/>
              <w:spacing w:before="15" w:after="15"/>
              <w:jc w:val="center"/>
              <w:rPr>
                <w:b/>
                <w:noProof/>
                <w:sz w:val="20"/>
                <w:szCs w:val="20"/>
              </w:rPr>
            </w:pPr>
            <w:r>
              <w:rPr>
                <w:b/>
                <w:noProof/>
                <w:sz w:val="20"/>
                <w:szCs w:val="20"/>
              </w:rPr>
              <w:t>Name</w:t>
            </w:r>
          </w:p>
        </w:tc>
        <w:tc>
          <w:tcPr>
            <w:tcW w:w="1701" w:type="dxa"/>
            <w:shd w:val="clear" w:color="auto" w:fill="D9D9D9"/>
            <w:vAlign w:val="center"/>
          </w:tcPr>
          <w:p>
            <w:pPr>
              <w:widowControl w:val="0"/>
              <w:spacing w:before="15" w:after="15"/>
              <w:jc w:val="center"/>
              <w:rPr>
                <w:b/>
                <w:noProof/>
                <w:sz w:val="20"/>
                <w:szCs w:val="20"/>
              </w:rPr>
            </w:pPr>
            <w:r>
              <w:rPr>
                <w:b/>
                <w:noProof/>
                <w:sz w:val="20"/>
                <w:szCs w:val="20"/>
              </w:rPr>
              <w:t>Commitment appropriations</w:t>
            </w:r>
          </w:p>
        </w:tc>
        <w:tc>
          <w:tcPr>
            <w:tcW w:w="1701" w:type="dxa"/>
            <w:shd w:val="clear" w:color="auto" w:fill="D9D9D9"/>
            <w:vAlign w:val="center"/>
          </w:tcPr>
          <w:p>
            <w:pPr>
              <w:widowControl w:val="0"/>
              <w:spacing w:before="15" w:after="15"/>
              <w:jc w:val="center"/>
              <w:rPr>
                <w:b/>
                <w:noProof/>
                <w:sz w:val="20"/>
                <w:szCs w:val="20"/>
              </w:rPr>
            </w:pPr>
            <w:r>
              <w:rPr>
                <w:b/>
                <w:noProof/>
                <w:sz w:val="20"/>
                <w:szCs w:val="20"/>
              </w:rPr>
              <w:t>Payment appropriations</w:t>
            </w:r>
          </w:p>
        </w:tc>
      </w:tr>
      <w:tr>
        <w:tc>
          <w:tcPr>
            <w:tcW w:w="1276" w:type="dxa"/>
          </w:tcPr>
          <w:p>
            <w:pPr>
              <w:widowControl w:val="0"/>
              <w:spacing w:before="15" w:after="15"/>
              <w:ind w:right="-113"/>
              <w:jc w:val="both"/>
              <w:rPr>
                <w:noProof/>
                <w:sz w:val="20"/>
                <w:szCs w:val="20"/>
              </w:rPr>
            </w:pPr>
            <w:r>
              <w:rPr>
                <w:noProof/>
                <w:sz w:val="20"/>
                <w:szCs w:val="20"/>
              </w:rPr>
              <w:t>11 03 02</w:t>
            </w:r>
          </w:p>
        </w:tc>
        <w:tc>
          <w:tcPr>
            <w:tcW w:w="4961" w:type="dxa"/>
          </w:tcPr>
          <w:p>
            <w:pPr>
              <w:widowControl w:val="0"/>
              <w:tabs>
                <w:tab w:val="left" w:pos="1350"/>
              </w:tabs>
              <w:spacing w:before="15" w:after="15"/>
              <w:jc w:val="both"/>
              <w:rPr>
                <w:noProof/>
                <w:sz w:val="16"/>
                <w:szCs w:val="16"/>
              </w:rPr>
            </w:pPr>
            <w:r>
              <w:rPr>
                <w:noProof/>
                <w:sz w:val="16"/>
                <w:szCs w:val="16"/>
              </w:rPr>
              <w:t>Promoting sustainable development for fisheries management and marine governance in line with the CFP objectives (Compulsory contributions to international bodies)</w:t>
            </w:r>
          </w:p>
        </w:tc>
        <w:tc>
          <w:tcPr>
            <w:tcW w:w="1701" w:type="dxa"/>
          </w:tcPr>
          <w:p>
            <w:pPr>
              <w:widowControl w:val="0"/>
              <w:spacing w:before="15" w:after="15"/>
              <w:jc w:val="right"/>
              <w:rPr>
                <w:noProof/>
                <w:sz w:val="20"/>
                <w:szCs w:val="20"/>
              </w:rPr>
            </w:pPr>
            <w:r>
              <w:rPr>
                <w:noProof/>
                <w:sz w:val="20"/>
                <w:szCs w:val="20"/>
              </w:rPr>
              <w:t>-207 268</w:t>
            </w:r>
          </w:p>
        </w:tc>
        <w:tc>
          <w:tcPr>
            <w:tcW w:w="1701" w:type="dxa"/>
          </w:tcPr>
          <w:p>
            <w:pPr>
              <w:widowControl w:val="0"/>
              <w:spacing w:before="15" w:after="15"/>
              <w:jc w:val="right"/>
              <w:rPr>
                <w:noProof/>
                <w:sz w:val="20"/>
                <w:szCs w:val="20"/>
              </w:rPr>
            </w:pPr>
            <w:r>
              <w:rPr>
                <w:noProof/>
                <w:sz w:val="20"/>
                <w:szCs w:val="20"/>
              </w:rPr>
              <w:t>-207 268</w:t>
            </w:r>
          </w:p>
        </w:tc>
      </w:tr>
      <w:tr>
        <w:tc>
          <w:tcPr>
            <w:tcW w:w="1276" w:type="dxa"/>
          </w:tcPr>
          <w:p>
            <w:pPr>
              <w:widowControl w:val="0"/>
              <w:spacing w:before="15" w:after="15"/>
              <w:ind w:right="-113"/>
              <w:jc w:val="both"/>
              <w:rPr>
                <w:noProof/>
                <w:sz w:val="20"/>
                <w:szCs w:val="20"/>
              </w:rPr>
            </w:pPr>
            <w:r>
              <w:rPr>
                <w:noProof/>
                <w:sz w:val="20"/>
                <w:szCs w:val="20"/>
              </w:rPr>
              <w:t>40 02 41</w:t>
            </w:r>
          </w:p>
        </w:tc>
        <w:tc>
          <w:tcPr>
            <w:tcW w:w="4961" w:type="dxa"/>
          </w:tcPr>
          <w:p>
            <w:pPr>
              <w:widowControl w:val="0"/>
              <w:tabs>
                <w:tab w:val="left" w:pos="1350"/>
              </w:tabs>
              <w:spacing w:before="15" w:after="15"/>
              <w:jc w:val="both"/>
              <w:rPr>
                <w:noProof/>
                <w:sz w:val="16"/>
                <w:szCs w:val="16"/>
              </w:rPr>
            </w:pPr>
            <w:r>
              <w:rPr>
                <w:noProof/>
                <w:sz w:val="16"/>
                <w:szCs w:val="16"/>
              </w:rPr>
              <w:t>Differentiated appropriations (</w:t>
            </w:r>
            <w:r>
              <w:rPr>
                <w:i/>
                <w:noProof/>
                <w:sz w:val="16"/>
                <w:szCs w:val="16"/>
              </w:rPr>
              <w:t>Reserve for budget article 11 03 01 – Establishing a governance framework for fishing activities carried out by Union fishing vessels in third country waters</w:t>
            </w:r>
            <w:r>
              <w:rPr>
                <w:noProof/>
                <w:sz w:val="16"/>
                <w:szCs w:val="16"/>
              </w:rPr>
              <w:t>)</w:t>
            </w:r>
          </w:p>
        </w:tc>
        <w:tc>
          <w:tcPr>
            <w:tcW w:w="1701" w:type="dxa"/>
          </w:tcPr>
          <w:p>
            <w:pPr>
              <w:widowControl w:val="0"/>
              <w:spacing w:before="15" w:after="15"/>
              <w:jc w:val="right"/>
              <w:rPr>
                <w:noProof/>
                <w:sz w:val="20"/>
                <w:szCs w:val="20"/>
              </w:rPr>
            </w:pPr>
            <w:r>
              <w:rPr>
                <w:noProof/>
                <w:sz w:val="20"/>
                <w:szCs w:val="20"/>
              </w:rPr>
              <w:t>-11 166 522</w:t>
            </w:r>
          </w:p>
        </w:tc>
        <w:tc>
          <w:tcPr>
            <w:tcW w:w="1701" w:type="dxa"/>
          </w:tcPr>
          <w:p>
            <w:pPr>
              <w:widowControl w:val="0"/>
              <w:spacing w:before="15" w:after="15"/>
              <w:jc w:val="right"/>
              <w:rPr>
                <w:noProof/>
                <w:sz w:val="20"/>
                <w:szCs w:val="20"/>
              </w:rPr>
            </w:pPr>
            <w:r>
              <w:rPr>
                <w:noProof/>
                <w:sz w:val="20"/>
                <w:szCs w:val="20"/>
              </w:rPr>
              <w:t>-10 361 522</w:t>
            </w:r>
          </w:p>
        </w:tc>
      </w:tr>
      <w:tr>
        <w:tc>
          <w:tcPr>
            <w:tcW w:w="6237" w:type="dxa"/>
            <w:gridSpan w:val="2"/>
            <w:shd w:val="clear" w:color="auto" w:fill="D9D9D9"/>
          </w:tcPr>
          <w:p>
            <w:pPr>
              <w:widowControl w:val="0"/>
              <w:tabs>
                <w:tab w:val="left" w:pos="975"/>
              </w:tabs>
              <w:spacing w:before="15" w:after="15"/>
              <w:jc w:val="both"/>
              <w:rPr>
                <w:b/>
                <w:noProof/>
                <w:sz w:val="20"/>
                <w:szCs w:val="20"/>
              </w:rPr>
            </w:pPr>
            <w:r>
              <w:rPr>
                <w:b/>
                <w:noProof/>
                <w:sz w:val="20"/>
                <w:szCs w:val="20"/>
              </w:rPr>
              <w:t>Total</w:t>
            </w:r>
            <w:r>
              <w:rPr>
                <w:b/>
                <w:noProof/>
                <w:sz w:val="20"/>
                <w:szCs w:val="20"/>
              </w:rPr>
              <w:tab/>
            </w:r>
          </w:p>
        </w:tc>
        <w:tc>
          <w:tcPr>
            <w:tcW w:w="1701" w:type="dxa"/>
            <w:shd w:val="clear" w:color="auto" w:fill="D9D9D9"/>
          </w:tcPr>
          <w:p>
            <w:pPr>
              <w:widowControl w:val="0"/>
              <w:spacing w:before="15" w:after="15"/>
              <w:jc w:val="right"/>
              <w:rPr>
                <w:b/>
                <w:noProof/>
                <w:sz w:val="20"/>
                <w:szCs w:val="20"/>
              </w:rPr>
            </w:pPr>
            <w:r>
              <w:rPr>
                <w:b/>
                <w:noProof/>
                <w:sz w:val="20"/>
                <w:szCs w:val="20"/>
              </w:rPr>
              <w:t>-11 373 790</w:t>
            </w:r>
          </w:p>
        </w:tc>
        <w:tc>
          <w:tcPr>
            <w:tcW w:w="1701" w:type="dxa"/>
            <w:shd w:val="clear" w:color="auto" w:fill="D9D9D9"/>
          </w:tcPr>
          <w:p>
            <w:pPr>
              <w:widowControl w:val="0"/>
              <w:spacing w:before="15" w:after="15"/>
              <w:jc w:val="right"/>
              <w:rPr>
                <w:b/>
                <w:noProof/>
                <w:sz w:val="20"/>
                <w:szCs w:val="20"/>
              </w:rPr>
            </w:pPr>
            <w:r>
              <w:rPr>
                <w:b/>
                <w:noProof/>
                <w:sz w:val="20"/>
                <w:szCs w:val="20"/>
              </w:rPr>
              <w:t>-10 568 790</w:t>
            </w:r>
          </w:p>
        </w:tc>
      </w:tr>
    </w:tbl>
    <w:p>
      <w:pPr>
        <w:tabs>
          <w:tab w:val="left" w:pos="851"/>
        </w:tabs>
        <w:spacing w:before="240"/>
        <w:rPr>
          <w:bCs/>
          <w:i/>
          <w:noProof/>
        </w:rPr>
      </w:pPr>
      <w:bookmarkStart w:id="30" w:name="_Toc461100993"/>
      <w:bookmarkStart w:id="31" w:name="_Toc462410053"/>
      <w:bookmarkEnd w:id="30"/>
      <w:r>
        <w:rPr>
          <w:bCs/>
          <w:i/>
          <w:noProof/>
        </w:rPr>
        <w:t xml:space="preserve">2.2.3 </w:t>
      </w:r>
      <w:r>
        <w:rPr>
          <w:bCs/>
          <w:i/>
          <w:noProof/>
        </w:rPr>
        <w:tab/>
        <w:t>European Agricultural Guarantee Fund (EAGF)</w:t>
      </w:r>
    </w:p>
    <w:p>
      <w:pPr>
        <w:autoSpaceDE w:val="0"/>
        <w:autoSpaceDN w:val="0"/>
        <w:adjustRightInd w:val="0"/>
        <w:spacing w:before="120" w:after="240"/>
        <w:jc w:val="both"/>
        <w:rPr>
          <w:noProof/>
        </w:rPr>
      </w:pPr>
      <w:r>
        <w:rPr>
          <w:noProof/>
        </w:rPr>
        <w:t>Further to the cancellation of certain actions, it is proposed to decrease the level of commitment and payment appropriations of the budget item 05 01 04 01 and budget article 05 08 09.</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961"/>
        <w:gridCol w:w="1701"/>
        <w:gridCol w:w="1701"/>
      </w:tblGrid>
      <w:tr>
        <w:tc>
          <w:tcPr>
            <w:tcW w:w="1276" w:type="dxa"/>
            <w:shd w:val="clear" w:color="auto" w:fill="D9D9D9"/>
            <w:vAlign w:val="center"/>
          </w:tcPr>
          <w:p>
            <w:pPr>
              <w:widowControl w:val="0"/>
              <w:spacing w:before="15" w:after="15"/>
              <w:jc w:val="center"/>
              <w:rPr>
                <w:b/>
                <w:noProof/>
                <w:sz w:val="20"/>
                <w:szCs w:val="20"/>
              </w:rPr>
            </w:pPr>
            <w:r>
              <w:rPr>
                <w:b/>
                <w:noProof/>
                <w:sz w:val="20"/>
                <w:szCs w:val="20"/>
              </w:rPr>
              <w:t>Budget line</w:t>
            </w:r>
          </w:p>
        </w:tc>
        <w:tc>
          <w:tcPr>
            <w:tcW w:w="4961" w:type="dxa"/>
            <w:shd w:val="clear" w:color="auto" w:fill="D9D9D9"/>
            <w:vAlign w:val="center"/>
          </w:tcPr>
          <w:p>
            <w:pPr>
              <w:widowControl w:val="0"/>
              <w:spacing w:before="15" w:after="15"/>
              <w:jc w:val="center"/>
              <w:rPr>
                <w:b/>
                <w:noProof/>
                <w:sz w:val="20"/>
                <w:szCs w:val="20"/>
              </w:rPr>
            </w:pPr>
            <w:r>
              <w:rPr>
                <w:b/>
                <w:noProof/>
                <w:sz w:val="20"/>
                <w:szCs w:val="20"/>
              </w:rPr>
              <w:t>Name</w:t>
            </w:r>
          </w:p>
        </w:tc>
        <w:tc>
          <w:tcPr>
            <w:tcW w:w="1701" w:type="dxa"/>
            <w:shd w:val="clear" w:color="auto" w:fill="D9D9D9"/>
            <w:vAlign w:val="center"/>
          </w:tcPr>
          <w:p>
            <w:pPr>
              <w:widowControl w:val="0"/>
              <w:spacing w:before="15" w:after="15"/>
              <w:jc w:val="center"/>
              <w:rPr>
                <w:b/>
                <w:noProof/>
                <w:sz w:val="20"/>
                <w:szCs w:val="20"/>
              </w:rPr>
            </w:pPr>
            <w:r>
              <w:rPr>
                <w:b/>
                <w:noProof/>
                <w:sz w:val="20"/>
                <w:szCs w:val="20"/>
              </w:rPr>
              <w:t>Commitment appropriations</w:t>
            </w:r>
          </w:p>
        </w:tc>
        <w:tc>
          <w:tcPr>
            <w:tcW w:w="1701" w:type="dxa"/>
            <w:shd w:val="clear" w:color="auto" w:fill="D9D9D9"/>
            <w:vAlign w:val="center"/>
          </w:tcPr>
          <w:p>
            <w:pPr>
              <w:widowControl w:val="0"/>
              <w:spacing w:before="15" w:after="15"/>
              <w:jc w:val="center"/>
              <w:rPr>
                <w:b/>
                <w:noProof/>
                <w:sz w:val="20"/>
                <w:szCs w:val="20"/>
              </w:rPr>
            </w:pPr>
            <w:r>
              <w:rPr>
                <w:b/>
                <w:noProof/>
                <w:sz w:val="20"/>
                <w:szCs w:val="20"/>
              </w:rPr>
              <w:t>Payment appropriations</w:t>
            </w:r>
          </w:p>
        </w:tc>
      </w:tr>
      <w:tr>
        <w:tc>
          <w:tcPr>
            <w:tcW w:w="1276" w:type="dxa"/>
          </w:tcPr>
          <w:p>
            <w:pPr>
              <w:widowControl w:val="0"/>
              <w:spacing w:before="15" w:after="15"/>
              <w:ind w:right="-113"/>
              <w:jc w:val="both"/>
              <w:rPr>
                <w:noProof/>
                <w:sz w:val="20"/>
                <w:szCs w:val="20"/>
              </w:rPr>
            </w:pPr>
            <w:r>
              <w:rPr>
                <w:noProof/>
                <w:sz w:val="20"/>
                <w:szCs w:val="20"/>
              </w:rPr>
              <w:t>05 01 04 01</w:t>
            </w:r>
          </w:p>
        </w:tc>
        <w:tc>
          <w:tcPr>
            <w:tcW w:w="4961" w:type="dxa"/>
            <w:vAlign w:val="center"/>
          </w:tcPr>
          <w:p>
            <w:pPr>
              <w:widowControl w:val="0"/>
              <w:tabs>
                <w:tab w:val="left" w:pos="1350"/>
              </w:tabs>
              <w:spacing w:before="15" w:after="15"/>
              <w:rPr>
                <w:noProof/>
                <w:sz w:val="16"/>
                <w:szCs w:val="16"/>
              </w:rPr>
            </w:pPr>
            <w:r>
              <w:rPr>
                <w:noProof/>
                <w:sz w:val="16"/>
                <w:szCs w:val="16"/>
              </w:rPr>
              <w:t>Support expenditure for the European Agricultural Guarantee Fund (EAGF) – Non-operational technical assistance</w:t>
            </w:r>
          </w:p>
        </w:tc>
        <w:tc>
          <w:tcPr>
            <w:tcW w:w="1701" w:type="dxa"/>
          </w:tcPr>
          <w:p>
            <w:pPr>
              <w:widowControl w:val="0"/>
              <w:spacing w:before="15" w:after="15"/>
              <w:jc w:val="right"/>
              <w:rPr>
                <w:noProof/>
                <w:sz w:val="20"/>
                <w:szCs w:val="20"/>
              </w:rPr>
            </w:pPr>
            <w:r>
              <w:rPr>
                <w:noProof/>
                <w:sz w:val="20"/>
                <w:szCs w:val="20"/>
              </w:rPr>
              <w:t>-900 000</w:t>
            </w:r>
          </w:p>
        </w:tc>
        <w:tc>
          <w:tcPr>
            <w:tcW w:w="1701" w:type="dxa"/>
          </w:tcPr>
          <w:p>
            <w:pPr>
              <w:widowControl w:val="0"/>
              <w:spacing w:before="15" w:after="15"/>
              <w:jc w:val="right"/>
              <w:rPr>
                <w:noProof/>
                <w:sz w:val="20"/>
                <w:szCs w:val="20"/>
              </w:rPr>
            </w:pPr>
            <w:r>
              <w:rPr>
                <w:noProof/>
                <w:sz w:val="20"/>
                <w:szCs w:val="20"/>
              </w:rPr>
              <w:t>-900 000</w:t>
            </w:r>
          </w:p>
        </w:tc>
      </w:tr>
      <w:tr>
        <w:tc>
          <w:tcPr>
            <w:tcW w:w="1276" w:type="dxa"/>
          </w:tcPr>
          <w:p>
            <w:pPr>
              <w:widowControl w:val="0"/>
              <w:spacing w:before="15" w:after="15"/>
              <w:ind w:right="-113"/>
              <w:jc w:val="both"/>
              <w:rPr>
                <w:noProof/>
                <w:sz w:val="20"/>
                <w:szCs w:val="20"/>
              </w:rPr>
            </w:pPr>
            <w:r>
              <w:rPr>
                <w:noProof/>
                <w:sz w:val="20"/>
                <w:szCs w:val="20"/>
              </w:rPr>
              <w:t>05 08 09</w:t>
            </w:r>
          </w:p>
        </w:tc>
        <w:tc>
          <w:tcPr>
            <w:tcW w:w="4961" w:type="dxa"/>
            <w:vAlign w:val="center"/>
          </w:tcPr>
          <w:p>
            <w:pPr>
              <w:widowControl w:val="0"/>
              <w:tabs>
                <w:tab w:val="left" w:pos="1350"/>
              </w:tabs>
              <w:spacing w:before="15" w:after="15"/>
              <w:rPr>
                <w:noProof/>
                <w:sz w:val="16"/>
                <w:szCs w:val="16"/>
              </w:rPr>
            </w:pPr>
            <w:r>
              <w:rPr>
                <w:noProof/>
                <w:sz w:val="16"/>
                <w:szCs w:val="16"/>
              </w:rPr>
              <w:t>European Agricultural Guarantee Fund (EAGF) – Operational technical assistance</w:t>
            </w:r>
          </w:p>
        </w:tc>
        <w:tc>
          <w:tcPr>
            <w:tcW w:w="1701" w:type="dxa"/>
          </w:tcPr>
          <w:p>
            <w:pPr>
              <w:widowControl w:val="0"/>
              <w:spacing w:before="15" w:after="15"/>
              <w:jc w:val="right"/>
              <w:rPr>
                <w:noProof/>
                <w:sz w:val="20"/>
                <w:szCs w:val="20"/>
              </w:rPr>
            </w:pPr>
            <w:r>
              <w:rPr>
                <w:noProof/>
                <w:sz w:val="20"/>
                <w:szCs w:val="20"/>
              </w:rPr>
              <w:t>-1 000 000</w:t>
            </w:r>
          </w:p>
        </w:tc>
        <w:tc>
          <w:tcPr>
            <w:tcW w:w="1701" w:type="dxa"/>
          </w:tcPr>
          <w:p>
            <w:pPr>
              <w:widowControl w:val="0"/>
              <w:spacing w:before="15" w:after="15"/>
              <w:jc w:val="right"/>
              <w:rPr>
                <w:noProof/>
                <w:sz w:val="20"/>
                <w:szCs w:val="20"/>
              </w:rPr>
            </w:pPr>
            <w:r>
              <w:rPr>
                <w:noProof/>
                <w:sz w:val="20"/>
                <w:szCs w:val="20"/>
              </w:rPr>
              <w:t>-1 000 000</w:t>
            </w:r>
          </w:p>
        </w:tc>
      </w:tr>
      <w:tr>
        <w:tc>
          <w:tcPr>
            <w:tcW w:w="6237" w:type="dxa"/>
            <w:gridSpan w:val="2"/>
            <w:shd w:val="clear" w:color="auto" w:fill="D9D9D9"/>
          </w:tcPr>
          <w:p>
            <w:pPr>
              <w:widowControl w:val="0"/>
              <w:tabs>
                <w:tab w:val="left" w:pos="975"/>
              </w:tabs>
              <w:spacing w:before="15" w:after="15"/>
              <w:jc w:val="both"/>
              <w:rPr>
                <w:b/>
                <w:noProof/>
                <w:sz w:val="20"/>
                <w:szCs w:val="20"/>
              </w:rPr>
            </w:pPr>
            <w:r>
              <w:rPr>
                <w:b/>
                <w:noProof/>
                <w:sz w:val="20"/>
                <w:szCs w:val="20"/>
              </w:rPr>
              <w:t>Total</w:t>
            </w:r>
            <w:r>
              <w:rPr>
                <w:b/>
                <w:noProof/>
                <w:sz w:val="20"/>
                <w:szCs w:val="20"/>
              </w:rPr>
              <w:tab/>
            </w:r>
          </w:p>
        </w:tc>
        <w:tc>
          <w:tcPr>
            <w:tcW w:w="1701" w:type="dxa"/>
            <w:shd w:val="clear" w:color="auto" w:fill="D9D9D9"/>
          </w:tcPr>
          <w:p>
            <w:pPr>
              <w:widowControl w:val="0"/>
              <w:spacing w:before="15" w:after="15"/>
              <w:jc w:val="right"/>
              <w:rPr>
                <w:b/>
                <w:noProof/>
                <w:sz w:val="20"/>
                <w:szCs w:val="20"/>
              </w:rPr>
            </w:pPr>
            <w:r>
              <w:rPr>
                <w:b/>
                <w:noProof/>
                <w:sz w:val="20"/>
                <w:szCs w:val="20"/>
              </w:rPr>
              <w:t>-1 900 000</w:t>
            </w:r>
          </w:p>
        </w:tc>
        <w:tc>
          <w:tcPr>
            <w:tcW w:w="1701" w:type="dxa"/>
            <w:shd w:val="clear" w:color="auto" w:fill="D9D9D9"/>
          </w:tcPr>
          <w:p>
            <w:pPr>
              <w:widowControl w:val="0"/>
              <w:spacing w:before="15" w:after="15"/>
              <w:jc w:val="right"/>
              <w:rPr>
                <w:b/>
                <w:noProof/>
                <w:sz w:val="20"/>
                <w:szCs w:val="20"/>
              </w:rPr>
            </w:pPr>
            <w:r>
              <w:rPr>
                <w:b/>
                <w:noProof/>
                <w:sz w:val="20"/>
                <w:szCs w:val="20"/>
              </w:rPr>
              <w:t>-1 900 000</w:t>
            </w:r>
          </w:p>
        </w:tc>
      </w:tr>
    </w:tbl>
    <w:p>
      <w:pPr>
        <w:tabs>
          <w:tab w:val="left" w:pos="851"/>
        </w:tabs>
        <w:spacing w:before="240"/>
        <w:rPr>
          <w:bCs/>
          <w:i/>
          <w:noProof/>
        </w:rPr>
      </w:pPr>
      <w:r>
        <w:rPr>
          <w:bCs/>
          <w:i/>
          <w:noProof/>
        </w:rPr>
        <w:t xml:space="preserve">2.2.4 </w:t>
      </w:r>
      <w:r>
        <w:rPr>
          <w:bCs/>
          <w:i/>
          <w:noProof/>
        </w:rPr>
        <w:tab/>
        <w:t>Decentralised agencies (ECHA-biocides)</w:t>
      </w:r>
    </w:p>
    <w:p>
      <w:pPr>
        <w:autoSpaceDE w:val="0"/>
        <w:autoSpaceDN w:val="0"/>
        <w:adjustRightInd w:val="0"/>
        <w:spacing w:before="120" w:after="240"/>
        <w:jc w:val="both"/>
        <w:rPr>
          <w:noProof/>
        </w:rPr>
      </w:pPr>
      <w:r>
        <w:rPr>
          <w:noProof/>
        </w:rPr>
        <w:t>The fee income from industry of the Biocides activities of the European Chemicals Agency (ECHA) in Helsinki is expected to be higher than initially estimated by EUR 0,6 million. As a result, the contribution from the EU budget may be reduced accordingly, in both commitment and payment appropriations.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961"/>
        <w:gridCol w:w="1701"/>
        <w:gridCol w:w="1701"/>
      </w:tblGrid>
      <w:tr>
        <w:tc>
          <w:tcPr>
            <w:tcW w:w="1276" w:type="dxa"/>
            <w:shd w:val="clear" w:color="auto" w:fill="D9D9D9"/>
            <w:vAlign w:val="center"/>
          </w:tcPr>
          <w:p>
            <w:pPr>
              <w:widowControl w:val="0"/>
              <w:spacing w:before="15" w:after="15"/>
              <w:jc w:val="center"/>
              <w:rPr>
                <w:b/>
                <w:noProof/>
                <w:sz w:val="20"/>
                <w:szCs w:val="20"/>
              </w:rPr>
            </w:pPr>
            <w:r>
              <w:rPr>
                <w:b/>
                <w:noProof/>
                <w:sz w:val="20"/>
                <w:szCs w:val="20"/>
              </w:rPr>
              <w:t>Budget line</w:t>
            </w:r>
          </w:p>
        </w:tc>
        <w:tc>
          <w:tcPr>
            <w:tcW w:w="4961" w:type="dxa"/>
            <w:shd w:val="clear" w:color="auto" w:fill="D9D9D9"/>
            <w:vAlign w:val="center"/>
          </w:tcPr>
          <w:p>
            <w:pPr>
              <w:widowControl w:val="0"/>
              <w:spacing w:before="15" w:after="15"/>
              <w:jc w:val="center"/>
              <w:rPr>
                <w:b/>
                <w:noProof/>
                <w:sz w:val="20"/>
                <w:szCs w:val="20"/>
              </w:rPr>
            </w:pPr>
            <w:r>
              <w:rPr>
                <w:b/>
                <w:noProof/>
                <w:sz w:val="20"/>
                <w:szCs w:val="20"/>
              </w:rPr>
              <w:t>Name</w:t>
            </w:r>
          </w:p>
        </w:tc>
        <w:tc>
          <w:tcPr>
            <w:tcW w:w="1701" w:type="dxa"/>
            <w:shd w:val="clear" w:color="auto" w:fill="D9D9D9"/>
            <w:vAlign w:val="center"/>
          </w:tcPr>
          <w:p>
            <w:pPr>
              <w:widowControl w:val="0"/>
              <w:spacing w:before="15" w:after="15"/>
              <w:jc w:val="center"/>
              <w:rPr>
                <w:b/>
                <w:noProof/>
                <w:sz w:val="20"/>
                <w:szCs w:val="20"/>
              </w:rPr>
            </w:pPr>
            <w:r>
              <w:rPr>
                <w:b/>
                <w:noProof/>
                <w:sz w:val="20"/>
                <w:szCs w:val="20"/>
              </w:rPr>
              <w:t>Commitment appropriations</w:t>
            </w:r>
          </w:p>
        </w:tc>
        <w:tc>
          <w:tcPr>
            <w:tcW w:w="1701" w:type="dxa"/>
            <w:shd w:val="clear" w:color="auto" w:fill="D9D9D9"/>
            <w:vAlign w:val="center"/>
          </w:tcPr>
          <w:p>
            <w:pPr>
              <w:widowControl w:val="0"/>
              <w:spacing w:before="15" w:after="15"/>
              <w:jc w:val="center"/>
              <w:rPr>
                <w:b/>
                <w:noProof/>
                <w:sz w:val="20"/>
                <w:szCs w:val="20"/>
              </w:rPr>
            </w:pPr>
            <w:r>
              <w:rPr>
                <w:b/>
                <w:noProof/>
                <w:sz w:val="20"/>
                <w:szCs w:val="20"/>
              </w:rPr>
              <w:t>Payment appropriations</w:t>
            </w:r>
          </w:p>
        </w:tc>
      </w:tr>
      <w:tr>
        <w:tc>
          <w:tcPr>
            <w:tcW w:w="1276" w:type="dxa"/>
          </w:tcPr>
          <w:p>
            <w:pPr>
              <w:widowControl w:val="0"/>
              <w:spacing w:before="15" w:after="15"/>
              <w:ind w:right="-113"/>
              <w:jc w:val="both"/>
              <w:rPr>
                <w:noProof/>
                <w:sz w:val="20"/>
                <w:szCs w:val="20"/>
              </w:rPr>
            </w:pPr>
            <w:r>
              <w:rPr>
                <w:noProof/>
                <w:sz w:val="20"/>
                <w:szCs w:val="20"/>
              </w:rPr>
              <w:t>17 04 07</w:t>
            </w:r>
          </w:p>
        </w:tc>
        <w:tc>
          <w:tcPr>
            <w:tcW w:w="4961" w:type="dxa"/>
          </w:tcPr>
          <w:p>
            <w:pPr>
              <w:widowControl w:val="0"/>
              <w:tabs>
                <w:tab w:val="left" w:pos="1350"/>
              </w:tabs>
              <w:spacing w:before="15" w:after="15"/>
              <w:jc w:val="both"/>
              <w:rPr>
                <w:noProof/>
                <w:sz w:val="16"/>
                <w:szCs w:val="16"/>
              </w:rPr>
            </w:pPr>
            <w:r>
              <w:rPr>
                <w:noProof/>
                <w:sz w:val="16"/>
                <w:szCs w:val="16"/>
              </w:rPr>
              <w:t>European Chemicals Agency — Activities in the field of biocides legislation</w:t>
            </w:r>
          </w:p>
        </w:tc>
        <w:tc>
          <w:tcPr>
            <w:tcW w:w="1701" w:type="dxa"/>
          </w:tcPr>
          <w:p>
            <w:pPr>
              <w:widowControl w:val="0"/>
              <w:spacing w:before="15" w:after="15"/>
              <w:jc w:val="right"/>
              <w:rPr>
                <w:noProof/>
                <w:sz w:val="20"/>
                <w:szCs w:val="20"/>
                <w:highlight w:val="yellow"/>
              </w:rPr>
            </w:pPr>
            <w:r>
              <w:rPr>
                <w:noProof/>
                <w:sz w:val="20"/>
                <w:szCs w:val="20"/>
              </w:rPr>
              <w:t>-560 000</w:t>
            </w:r>
          </w:p>
        </w:tc>
        <w:tc>
          <w:tcPr>
            <w:tcW w:w="1701" w:type="dxa"/>
          </w:tcPr>
          <w:p>
            <w:pPr>
              <w:widowControl w:val="0"/>
              <w:spacing w:before="15" w:after="15"/>
              <w:jc w:val="right"/>
              <w:rPr>
                <w:noProof/>
                <w:sz w:val="20"/>
                <w:szCs w:val="20"/>
                <w:highlight w:val="yellow"/>
              </w:rPr>
            </w:pPr>
            <w:r>
              <w:rPr>
                <w:noProof/>
                <w:sz w:val="20"/>
                <w:szCs w:val="20"/>
              </w:rPr>
              <w:t>-560 000</w:t>
            </w:r>
          </w:p>
        </w:tc>
      </w:tr>
      <w:tr>
        <w:tc>
          <w:tcPr>
            <w:tcW w:w="6237" w:type="dxa"/>
            <w:gridSpan w:val="2"/>
            <w:shd w:val="clear" w:color="auto" w:fill="D9D9D9"/>
          </w:tcPr>
          <w:p>
            <w:pPr>
              <w:widowControl w:val="0"/>
              <w:tabs>
                <w:tab w:val="left" w:pos="975"/>
              </w:tabs>
              <w:spacing w:before="15" w:after="15"/>
              <w:jc w:val="both"/>
              <w:rPr>
                <w:b/>
                <w:noProof/>
                <w:sz w:val="20"/>
                <w:szCs w:val="20"/>
              </w:rPr>
            </w:pPr>
            <w:r>
              <w:rPr>
                <w:b/>
                <w:noProof/>
                <w:sz w:val="20"/>
                <w:szCs w:val="20"/>
              </w:rPr>
              <w:t>Total</w:t>
            </w:r>
            <w:r>
              <w:rPr>
                <w:b/>
                <w:noProof/>
                <w:sz w:val="20"/>
                <w:szCs w:val="20"/>
              </w:rPr>
              <w:tab/>
            </w:r>
          </w:p>
        </w:tc>
        <w:tc>
          <w:tcPr>
            <w:tcW w:w="1701" w:type="dxa"/>
            <w:shd w:val="clear" w:color="auto" w:fill="D9D9D9"/>
          </w:tcPr>
          <w:p>
            <w:pPr>
              <w:widowControl w:val="0"/>
              <w:spacing w:before="15" w:after="15"/>
              <w:jc w:val="right"/>
              <w:rPr>
                <w:b/>
                <w:noProof/>
                <w:sz w:val="20"/>
                <w:szCs w:val="20"/>
              </w:rPr>
            </w:pPr>
            <w:r>
              <w:rPr>
                <w:b/>
                <w:noProof/>
                <w:sz w:val="20"/>
                <w:szCs w:val="20"/>
              </w:rPr>
              <w:t>-560 000</w:t>
            </w:r>
          </w:p>
        </w:tc>
        <w:tc>
          <w:tcPr>
            <w:tcW w:w="1701" w:type="dxa"/>
            <w:shd w:val="clear" w:color="auto" w:fill="D9D9D9"/>
          </w:tcPr>
          <w:p>
            <w:pPr>
              <w:widowControl w:val="0"/>
              <w:spacing w:before="15" w:after="15"/>
              <w:jc w:val="right"/>
              <w:rPr>
                <w:b/>
                <w:noProof/>
                <w:sz w:val="20"/>
                <w:szCs w:val="20"/>
              </w:rPr>
            </w:pPr>
            <w:r>
              <w:rPr>
                <w:b/>
                <w:noProof/>
                <w:sz w:val="20"/>
                <w:szCs w:val="20"/>
              </w:rPr>
              <w:t>-560 000</w:t>
            </w:r>
          </w:p>
        </w:tc>
      </w:tr>
    </w:tbl>
    <w:p>
      <w:pPr>
        <w:rPr>
          <w:rFonts w:eastAsia="Calibri"/>
          <w:noProof/>
          <w:lang w:eastAsia="de-DE"/>
        </w:rPr>
      </w:pPr>
      <w:r>
        <w:rPr>
          <w:rFonts w:eastAsia="Calibri"/>
          <w:noProof/>
          <w:lang w:eastAsia="de-DE"/>
        </w:rPr>
        <w:br w:type="page"/>
      </w:r>
    </w:p>
    <w:p>
      <w:pPr>
        <w:keepNext/>
        <w:tabs>
          <w:tab w:val="left" w:pos="850"/>
        </w:tabs>
        <w:spacing w:before="360" w:after="120"/>
        <w:ind w:left="850" w:hanging="850"/>
        <w:jc w:val="both"/>
        <w:outlineLvl w:val="1"/>
        <w:rPr>
          <w:rFonts w:eastAsia="Calibri"/>
          <w:b/>
          <w:noProof/>
          <w:lang w:eastAsia="de-DE"/>
        </w:rPr>
      </w:pPr>
      <w:bookmarkStart w:id="32" w:name="_Toc494994374"/>
      <w:r>
        <w:rPr>
          <w:rFonts w:eastAsia="Calibri"/>
          <w:b/>
          <w:noProof/>
          <w:lang w:eastAsia="de-DE"/>
        </w:rPr>
        <w:t>2.3</w:t>
      </w:r>
      <w:r>
        <w:rPr>
          <w:rFonts w:eastAsia="Calibri"/>
          <w:b/>
          <w:noProof/>
          <w:lang w:eastAsia="de-DE"/>
        </w:rPr>
        <w:tab/>
        <w:t>Heading 3 – Security and Citizenship</w:t>
      </w:r>
      <w:bookmarkEnd w:id="31"/>
      <w:bookmarkEnd w:id="32"/>
    </w:p>
    <w:p>
      <w:pPr>
        <w:autoSpaceDE w:val="0"/>
        <w:autoSpaceDN w:val="0"/>
        <w:adjustRightInd w:val="0"/>
        <w:spacing w:before="120" w:after="120"/>
        <w:jc w:val="both"/>
        <w:rPr>
          <w:noProof/>
        </w:rPr>
      </w:pPr>
      <w:r>
        <w:rPr>
          <w:noProof/>
        </w:rPr>
        <w:t>As already signalled in DAB 5/2017</w:t>
      </w:r>
      <w:r>
        <w:rPr>
          <w:rStyle w:val="FootnoteReference"/>
          <w:noProof/>
        </w:rPr>
        <w:footnoteReference w:id="11"/>
      </w:r>
      <w:r>
        <w:rPr>
          <w:noProof/>
        </w:rPr>
        <w:t xml:space="preserve"> and in the transfer DEC 18/2017, some delays have occurred in the start-up of the national programmes for the Asylum and Integration Fund (AMIF) and the Internal Security Fund (ISF), due to the late adoption of the legal bases and the designation of national authorities. However, progress is being made with the implementation of the programmes on the ground: the lower than expected declaration of payments by the Member States does not necessarily reflect the expenditure incurred by the beneficiaries.</w:t>
      </w:r>
    </w:p>
    <w:p>
      <w:pPr>
        <w:autoSpaceDE w:val="0"/>
        <w:autoSpaceDN w:val="0"/>
        <w:adjustRightInd w:val="0"/>
        <w:spacing w:before="120" w:after="120"/>
        <w:jc w:val="both"/>
        <w:rPr>
          <w:noProof/>
        </w:rPr>
      </w:pPr>
      <w:r>
        <w:rPr>
          <w:noProof/>
        </w:rPr>
        <w:t xml:space="preserve">In addition, both for AMIF and ISF the Commission was able to make important closure payments related to the 2007-2013 predecessor programmes at the end of 2016. This reduced the outstanding balances to be paid in 2017, and the related payment approprations can be reduced accordingly. </w:t>
      </w:r>
    </w:p>
    <w:p>
      <w:pPr>
        <w:tabs>
          <w:tab w:val="left" w:pos="851"/>
        </w:tabs>
        <w:spacing w:before="240"/>
        <w:rPr>
          <w:bCs/>
          <w:i/>
          <w:noProof/>
        </w:rPr>
      </w:pPr>
      <w:r>
        <w:rPr>
          <w:bCs/>
          <w:i/>
          <w:noProof/>
        </w:rPr>
        <w:t xml:space="preserve">2.3.1 </w:t>
      </w:r>
      <w:r>
        <w:rPr>
          <w:bCs/>
          <w:i/>
          <w:noProof/>
        </w:rPr>
        <w:tab/>
        <w:t xml:space="preserve">Asylum, Migration and Integration Fund (AMIF) </w:t>
      </w:r>
    </w:p>
    <w:p>
      <w:pPr>
        <w:spacing w:before="120" w:after="240"/>
        <w:jc w:val="both"/>
        <w:rPr>
          <w:noProof/>
        </w:rPr>
      </w:pPr>
      <w:r>
        <w:rPr>
          <w:noProof/>
        </w:rPr>
        <w:t>Further to the reasons above, the proposed reduction in payments takes into account the slower than originally planned implementation of the two relocation schemes under AMIF leading to a lower declaration of expenditures in the annual accounts of the Member States.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6521"/>
        <w:gridCol w:w="1559"/>
      </w:tblGrid>
      <w:tr>
        <w:trPr>
          <w:tblHeader/>
        </w:trPr>
        <w:tc>
          <w:tcPr>
            <w:tcW w:w="1276" w:type="dxa"/>
            <w:shd w:val="clear" w:color="auto" w:fill="D9D9D9"/>
            <w:vAlign w:val="center"/>
          </w:tcPr>
          <w:p>
            <w:pPr>
              <w:widowControl w:val="0"/>
              <w:spacing w:before="15" w:after="15"/>
              <w:jc w:val="center"/>
              <w:rPr>
                <w:b/>
                <w:noProof/>
                <w:sz w:val="20"/>
                <w:szCs w:val="20"/>
              </w:rPr>
            </w:pPr>
            <w:r>
              <w:rPr>
                <w:b/>
                <w:noProof/>
                <w:sz w:val="20"/>
                <w:szCs w:val="20"/>
              </w:rPr>
              <w:t>Budget line</w:t>
            </w:r>
          </w:p>
        </w:tc>
        <w:tc>
          <w:tcPr>
            <w:tcW w:w="6521" w:type="dxa"/>
            <w:shd w:val="clear" w:color="auto" w:fill="D9D9D9"/>
            <w:vAlign w:val="center"/>
          </w:tcPr>
          <w:p>
            <w:pPr>
              <w:widowControl w:val="0"/>
              <w:spacing w:before="15" w:after="15"/>
              <w:jc w:val="center"/>
              <w:rPr>
                <w:b/>
                <w:noProof/>
                <w:sz w:val="20"/>
                <w:szCs w:val="20"/>
              </w:rPr>
            </w:pPr>
            <w:r>
              <w:rPr>
                <w:b/>
                <w:noProof/>
                <w:sz w:val="20"/>
                <w:szCs w:val="20"/>
              </w:rPr>
              <w:t>Name</w:t>
            </w:r>
          </w:p>
        </w:tc>
        <w:tc>
          <w:tcPr>
            <w:tcW w:w="1559" w:type="dxa"/>
            <w:shd w:val="clear" w:color="auto" w:fill="D9D9D9"/>
          </w:tcPr>
          <w:p>
            <w:pPr>
              <w:widowControl w:val="0"/>
              <w:spacing w:before="15" w:after="15"/>
              <w:jc w:val="center"/>
              <w:rPr>
                <w:b/>
                <w:noProof/>
                <w:sz w:val="20"/>
                <w:szCs w:val="20"/>
              </w:rPr>
            </w:pPr>
            <w:r>
              <w:rPr>
                <w:b/>
                <w:noProof/>
                <w:sz w:val="20"/>
                <w:szCs w:val="20"/>
              </w:rPr>
              <w:t>Payment appropriations</w:t>
            </w:r>
          </w:p>
        </w:tc>
      </w:tr>
      <w:tr>
        <w:tc>
          <w:tcPr>
            <w:tcW w:w="1276" w:type="dxa"/>
            <w:vAlign w:val="center"/>
          </w:tcPr>
          <w:p>
            <w:pPr>
              <w:widowControl w:val="0"/>
              <w:spacing w:before="15" w:after="15"/>
              <w:ind w:right="-113"/>
              <w:jc w:val="both"/>
              <w:rPr>
                <w:noProof/>
                <w:sz w:val="20"/>
                <w:szCs w:val="20"/>
              </w:rPr>
            </w:pPr>
            <w:r>
              <w:rPr>
                <w:noProof/>
                <w:sz w:val="20"/>
                <w:szCs w:val="20"/>
              </w:rPr>
              <w:t>18 03 01 01</w:t>
            </w:r>
          </w:p>
        </w:tc>
        <w:tc>
          <w:tcPr>
            <w:tcW w:w="6521" w:type="dxa"/>
            <w:vAlign w:val="center"/>
          </w:tcPr>
          <w:p>
            <w:pPr>
              <w:widowControl w:val="0"/>
              <w:tabs>
                <w:tab w:val="left" w:pos="1350"/>
              </w:tabs>
              <w:spacing w:before="15" w:after="15"/>
              <w:jc w:val="both"/>
              <w:rPr>
                <w:noProof/>
                <w:sz w:val="16"/>
                <w:szCs w:val="16"/>
              </w:rPr>
            </w:pPr>
            <w:r>
              <w:rPr>
                <w:noProof/>
                <w:sz w:val="16"/>
                <w:szCs w:val="16"/>
              </w:rPr>
              <w:t>Strengthening and developing the common European asylum system and enhancing solidarity and responsibility-sharing between the Member States</w:t>
            </w:r>
          </w:p>
        </w:tc>
        <w:tc>
          <w:tcPr>
            <w:tcW w:w="1559" w:type="dxa"/>
            <w:vAlign w:val="center"/>
          </w:tcPr>
          <w:p>
            <w:pPr>
              <w:widowControl w:val="0"/>
              <w:spacing w:before="15" w:after="15"/>
              <w:jc w:val="right"/>
              <w:rPr>
                <w:noProof/>
                <w:sz w:val="20"/>
                <w:szCs w:val="20"/>
              </w:rPr>
            </w:pPr>
            <w:r>
              <w:rPr>
                <w:noProof/>
                <w:sz w:val="20"/>
                <w:szCs w:val="20"/>
              </w:rPr>
              <w:t>-118 000 000</w:t>
            </w:r>
          </w:p>
        </w:tc>
      </w:tr>
      <w:tr>
        <w:tc>
          <w:tcPr>
            <w:tcW w:w="1276" w:type="dxa"/>
            <w:vAlign w:val="center"/>
          </w:tcPr>
          <w:p>
            <w:pPr>
              <w:widowControl w:val="0"/>
              <w:spacing w:before="15" w:after="15"/>
              <w:ind w:right="-113"/>
              <w:jc w:val="both"/>
              <w:rPr>
                <w:noProof/>
                <w:sz w:val="20"/>
                <w:szCs w:val="20"/>
              </w:rPr>
            </w:pPr>
            <w:r>
              <w:rPr>
                <w:noProof/>
                <w:sz w:val="20"/>
                <w:szCs w:val="20"/>
              </w:rPr>
              <w:t>18 03 01 02</w:t>
            </w:r>
          </w:p>
        </w:tc>
        <w:tc>
          <w:tcPr>
            <w:tcW w:w="6521" w:type="dxa"/>
            <w:vAlign w:val="center"/>
          </w:tcPr>
          <w:p>
            <w:pPr>
              <w:widowControl w:val="0"/>
              <w:tabs>
                <w:tab w:val="left" w:pos="1350"/>
              </w:tabs>
              <w:spacing w:before="15" w:after="15"/>
              <w:jc w:val="both"/>
              <w:rPr>
                <w:noProof/>
                <w:sz w:val="16"/>
                <w:szCs w:val="16"/>
              </w:rPr>
            </w:pPr>
            <w:r>
              <w:rPr>
                <w:noProof/>
                <w:sz w:val="16"/>
                <w:szCs w:val="16"/>
              </w:rPr>
              <w:t>Supporting legal migration to the Union and promoting the effective integration of third-country nationals and enhancing fair and effective return strategies</w:t>
            </w:r>
          </w:p>
        </w:tc>
        <w:tc>
          <w:tcPr>
            <w:tcW w:w="1559" w:type="dxa"/>
            <w:vAlign w:val="center"/>
          </w:tcPr>
          <w:p>
            <w:pPr>
              <w:widowControl w:val="0"/>
              <w:spacing w:before="15" w:after="15"/>
              <w:jc w:val="right"/>
              <w:rPr>
                <w:noProof/>
                <w:sz w:val="20"/>
                <w:szCs w:val="20"/>
              </w:rPr>
            </w:pPr>
            <w:r>
              <w:rPr>
                <w:noProof/>
                <w:sz w:val="20"/>
                <w:szCs w:val="20"/>
              </w:rPr>
              <w:t>-8 000 000</w:t>
            </w:r>
          </w:p>
        </w:tc>
      </w:tr>
      <w:tr>
        <w:tc>
          <w:tcPr>
            <w:tcW w:w="1276" w:type="dxa"/>
            <w:vAlign w:val="center"/>
          </w:tcPr>
          <w:p>
            <w:pPr>
              <w:widowControl w:val="0"/>
              <w:spacing w:before="15" w:after="15"/>
              <w:ind w:right="-113"/>
              <w:jc w:val="both"/>
              <w:rPr>
                <w:noProof/>
                <w:sz w:val="20"/>
                <w:szCs w:val="20"/>
              </w:rPr>
            </w:pPr>
            <w:r>
              <w:rPr>
                <w:noProof/>
                <w:sz w:val="20"/>
                <w:szCs w:val="20"/>
              </w:rPr>
              <w:t>18 03 51</w:t>
            </w:r>
          </w:p>
        </w:tc>
        <w:tc>
          <w:tcPr>
            <w:tcW w:w="6521" w:type="dxa"/>
            <w:vAlign w:val="center"/>
          </w:tcPr>
          <w:p>
            <w:pPr>
              <w:widowControl w:val="0"/>
              <w:tabs>
                <w:tab w:val="left" w:pos="1350"/>
              </w:tabs>
              <w:spacing w:before="15" w:after="15"/>
              <w:jc w:val="both"/>
              <w:rPr>
                <w:noProof/>
                <w:sz w:val="16"/>
                <w:szCs w:val="16"/>
              </w:rPr>
            </w:pPr>
            <w:r>
              <w:rPr>
                <w:bCs/>
                <w:iCs/>
                <w:noProof/>
                <w:sz w:val="16"/>
                <w:szCs w:val="16"/>
              </w:rPr>
              <w:t>Completion of operations and programmes in the field of return, refugees and migration flows</w:t>
            </w:r>
          </w:p>
        </w:tc>
        <w:tc>
          <w:tcPr>
            <w:tcW w:w="1559" w:type="dxa"/>
            <w:vAlign w:val="center"/>
          </w:tcPr>
          <w:p>
            <w:pPr>
              <w:widowControl w:val="0"/>
              <w:spacing w:before="15" w:after="15"/>
              <w:jc w:val="right"/>
              <w:rPr>
                <w:noProof/>
                <w:sz w:val="20"/>
                <w:szCs w:val="20"/>
              </w:rPr>
            </w:pPr>
            <w:r>
              <w:rPr>
                <w:noProof/>
                <w:sz w:val="20"/>
                <w:szCs w:val="20"/>
              </w:rPr>
              <w:t>-31 500 000</w:t>
            </w:r>
          </w:p>
        </w:tc>
      </w:tr>
      <w:tr>
        <w:tc>
          <w:tcPr>
            <w:tcW w:w="7797" w:type="dxa"/>
            <w:gridSpan w:val="2"/>
            <w:shd w:val="clear" w:color="auto" w:fill="D9D9D9"/>
          </w:tcPr>
          <w:p>
            <w:pPr>
              <w:widowControl w:val="0"/>
              <w:tabs>
                <w:tab w:val="left" w:pos="975"/>
              </w:tabs>
              <w:spacing w:before="15" w:after="15"/>
              <w:jc w:val="both"/>
              <w:rPr>
                <w:b/>
                <w:noProof/>
                <w:sz w:val="20"/>
                <w:szCs w:val="20"/>
              </w:rPr>
            </w:pPr>
            <w:r>
              <w:rPr>
                <w:b/>
                <w:noProof/>
                <w:sz w:val="20"/>
                <w:szCs w:val="20"/>
              </w:rPr>
              <w:t>Total</w:t>
            </w:r>
            <w:r>
              <w:rPr>
                <w:b/>
                <w:noProof/>
                <w:sz w:val="20"/>
                <w:szCs w:val="20"/>
              </w:rPr>
              <w:tab/>
            </w:r>
          </w:p>
        </w:tc>
        <w:tc>
          <w:tcPr>
            <w:tcW w:w="1559" w:type="dxa"/>
            <w:shd w:val="clear" w:color="auto" w:fill="D9D9D9"/>
          </w:tcPr>
          <w:p>
            <w:pPr>
              <w:widowControl w:val="0"/>
              <w:spacing w:before="15" w:after="15"/>
              <w:jc w:val="right"/>
              <w:rPr>
                <w:b/>
                <w:noProof/>
                <w:sz w:val="20"/>
                <w:szCs w:val="20"/>
              </w:rPr>
            </w:pPr>
            <w:r>
              <w:rPr>
                <w:b/>
                <w:noProof/>
                <w:sz w:val="20"/>
                <w:szCs w:val="20"/>
              </w:rPr>
              <w:t>-157 500 000</w:t>
            </w:r>
          </w:p>
        </w:tc>
      </w:tr>
    </w:tbl>
    <w:p>
      <w:pPr>
        <w:tabs>
          <w:tab w:val="left" w:pos="851"/>
        </w:tabs>
        <w:spacing w:before="240"/>
        <w:rPr>
          <w:bCs/>
          <w:i/>
          <w:noProof/>
        </w:rPr>
      </w:pPr>
      <w:bookmarkStart w:id="33" w:name="_Toc462410054"/>
      <w:r>
        <w:rPr>
          <w:bCs/>
          <w:i/>
          <w:noProof/>
        </w:rPr>
        <w:t xml:space="preserve">2.3.2 </w:t>
      </w:r>
      <w:r>
        <w:rPr>
          <w:bCs/>
          <w:i/>
          <w:noProof/>
        </w:rPr>
        <w:tab/>
        <w:t>Internal Security Fund (ISF)</w:t>
      </w:r>
    </w:p>
    <w:p>
      <w:pPr>
        <w:autoSpaceDE w:val="0"/>
        <w:autoSpaceDN w:val="0"/>
        <w:adjustRightInd w:val="0"/>
        <w:spacing w:before="120" w:after="240"/>
        <w:jc w:val="both"/>
        <w:rPr>
          <w:noProof/>
        </w:rPr>
      </w:pPr>
      <w:r>
        <w:rPr>
          <w:noProof/>
        </w:rPr>
        <w:t>The reduction in the payments for the ISF stems from the delay in the implementation of the national programmes (as explained above) and also from the delayed adoption of the new Entry-Exit System. The Regulation establishing the Entry-Exit System is expected to enter into force in November 2017, following the political agreement reached in July. Consequently, the Commission intends to carry forward the commitment appropriations (amounting to EUR 40 million) which are currently in reserve, in accordance with Article 13 2(b) of the Financial Regulation. The related payment appropriations are proposed to be released.</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6521"/>
        <w:gridCol w:w="1701"/>
      </w:tblGrid>
      <w:tr>
        <w:tc>
          <w:tcPr>
            <w:tcW w:w="1276" w:type="dxa"/>
            <w:shd w:val="clear" w:color="auto" w:fill="D9D9D9"/>
            <w:vAlign w:val="center"/>
          </w:tcPr>
          <w:p>
            <w:pPr>
              <w:widowControl w:val="0"/>
              <w:spacing w:before="15" w:after="15"/>
              <w:jc w:val="center"/>
              <w:rPr>
                <w:b/>
                <w:noProof/>
                <w:sz w:val="20"/>
                <w:szCs w:val="20"/>
              </w:rPr>
            </w:pPr>
            <w:r>
              <w:rPr>
                <w:b/>
                <w:noProof/>
                <w:sz w:val="20"/>
                <w:szCs w:val="20"/>
              </w:rPr>
              <w:t>Budget line</w:t>
            </w:r>
          </w:p>
        </w:tc>
        <w:tc>
          <w:tcPr>
            <w:tcW w:w="6521" w:type="dxa"/>
            <w:shd w:val="clear" w:color="auto" w:fill="D9D9D9"/>
            <w:vAlign w:val="center"/>
          </w:tcPr>
          <w:p>
            <w:pPr>
              <w:widowControl w:val="0"/>
              <w:spacing w:before="15" w:after="15"/>
              <w:jc w:val="center"/>
              <w:rPr>
                <w:b/>
                <w:noProof/>
                <w:sz w:val="20"/>
                <w:szCs w:val="20"/>
              </w:rPr>
            </w:pPr>
            <w:r>
              <w:rPr>
                <w:b/>
                <w:noProof/>
                <w:sz w:val="20"/>
                <w:szCs w:val="20"/>
              </w:rPr>
              <w:t>Name</w:t>
            </w:r>
          </w:p>
        </w:tc>
        <w:tc>
          <w:tcPr>
            <w:tcW w:w="1701" w:type="dxa"/>
            <w:shd w:val="clear" w:color="auto" w:fill="D9D9D9"/>
            <w:vAlign w:val="center"/>
          </w:tcPr>
          <w:p>
            <w:pPr>
              <w:widowControl w:val="0"/>
              <w:spacing w:before="15" w:after="15"/>
              <w:jc w:val="center"/>
              <w:rPr>
                <w:b/>
                <w:noProof/>
                <w:sz w:val="20"/>
                <w:szCs w:val="20"/>
              </w:rPr>
            </w:pPr>
            <w:r>
              <w:rPr>
                <w:b/>
                <w:noProof/>
                <w:sz w:val="20"/>
                <w:szCs w:val="20"/>
              </w:rPr>
              <w:t>Payment appropriations</w:t>
            </w:r>
          </w:p>
        </w:tc>
      </w:tr>
      <w:tr>
        <w:tc>
          <w:tcPr>
            <w:tcW w:w="1276" w:type="dxa"/>
            <w:vAlign w:val="center"/>
          </w:tcPr>
          <w:p>
            <w:pPr>
              <w:widowControl w:val="0"/>
              <w:spacing w:before="15" w:after="15"/>
              <w:ind w:right="-113"/>
              <w:jc w:val="both"/>
              <w:rPr>
                <w:noProof/>
                <w:sz w:val="20"/>
                <w:szCs w:val="20"/>
              </w:rPr>
            </w:pPr>
            <w:r>
              <w:rPr>
                <w:noProof/>
                <w:sz w:val="20"/>
                <w:szCs w:val="20"/>
              </w:rPr>
              <w:t>18 02 01 01</w:t>
            </w:r>
          </w:p>
        </w:tc>
        <w:tc>
          <w:tcPr>
            <w:tcW w:w="6521" w:type="dxa"/>
            <w:vAlign w:val="center"/>
          </w:tcPr>
          <w:p>
            <w:pPr>
              <w:rPr>
                <w:noProof/>
              </w:rPr>
            </w:pPr>
            <w:r>
              <w:rPr>
                <w:noProof/>
                <w:sz w:val="16"/>
                <w:szCs w:val="16"/>
              </w:rPr>
              <w:t>Support of border management and a common visa policy to facilitate legitimate travel</w:t>
            </w:r>
          </w:p>
        </w:tc>
        <w:tc>
          <w:tcPr>
            <w:tcW w:w="1701" w:type="dxa"/>
            <w:vAlign w:val="center"/>
          </w:tcPr>
          <w:p>
            <w:pPr>
              <w:widowControl w:val="0"/>
              <w:spacing w:before="15" w:after="15"/>
              <w:jc w:val="right"/>
              <w:rPr>
                <w:noProof/>
                <w:sz w:val="20"/>
                <w:szCs w:val="20"/>
              </w:rPr>
            </w:pPr>
            <w:r>
              <w:rPr>
                <w:noProof/>
                <w:sz w:val="20"/>
                <w:szCs w:val="20"/>
              </w:rPr>
              <w:t>-84 000 000</w:t>
            </w:r>
          </w:p>
        </w:tc>
      </w:tr>
      <w:tr>
        <w:tc>
          <w:tcPr>
            <w:tcW w:w="1276" w:type="dxa"/>
            <w:vAlign w:val="center"/>
          </w:tcPr>
          <w:p>
            <w:pPr>
              <w:widowControl w:val="0"/>
              <w:spacing w:before="15" w:after="15"/>
              <w:ind w:right="-113"/>
              <w:jc w:val="both"/>
              <w:rPr>
                <w:noProof/>
                <w:sz w:val="20"/>
                <w:szCs w:val="20"/>
              </w:rPr>
            </w:pPr>
            <w:r>
              <w:rPr>
                <w:noProof/>
                <w:sz w:val="20"/>
                <w:szCs w:val="20"/>
              </w:rPr>
              <w:t>18 02 01 02</w:t>
            </w:r>
          </w:p>
        </w:tc>
        <w:tc>
          <w:tcPr>
            <w:tcW w:w="6521" w:type="dxa"/>
            <w:vAlign w:val="center"/>
          </w:tcPr>
          <w:p>
            <w:pPr>
              <w:rPr>
                <w:noProof/>
              </w:rPr>
            </w:pPr>
            <w:r>
              <w:rPr>
                <w:noProof/>
                <w:sz w:val="16"/>
                <w:szCs w:val="16"/>
              </w:rPr>
              <w:t>Prevention and fight against cross-border organised crime and better management of security- related risks and crisis</w:t>
            </w:r>
          </w:p>
        </w:tc>
        <w:tc>
          <w:tcPr>
            <w:tcW w:w="1701" w:type="dxa"/>
            <w:vAlign w:val="center"/>
          </w:tcPr>
          <w:p>
            <w:pPr>
              <w:widowControl w:val="0"/>
              <w:spacing w:before="15" w:after="15"/>
              <w:jc w:val="right"/>
              <w:rPr>
                <w:noProof/>
                <w:sz w:val="20"/>
                <w:szCs w:val="20"/>
              </w:rPr>
            </w:pPr>
            <w:r>
              <w:rPr>
                <w:noProof/>
                <w:sz w:val="20"/>
                <w:szCs w:val="20"/>
              </w:rPr>
              <w:t>-8 700 000</w:t>
            </w:r>
          </w:p>
        </w:tc>
      </w:tr>
      <w:tr>
        <w:tc>
          <w:tcPr>
            <w:tcW w:w="1276" w:type="dxa"/>
            <w:vAlign w:val="center"/>
          </w:tcPr>
          <w:p>
            <w:pPr>
              <w:widowControl w:val="0"/>
              <w:spacing w:before="15" w:after="15"/>
              <w:ind w:right="-113"/>
              <w:jc w:val="both"/>
              <w:rPr>
                <w:noProof/>
                <w:sz w:val="20"/>
                <w:szCs w:val="20"/>
              </w:rPr>
            </w:pPr>
            <w:r>
              <w:rPr>
                <w:noProof/>
                <w:sz w:val="20"/>
                <w:szCs w:val="20"/>
              </w:rPr>
              <w:t>18 02 51</w:t>
            </w:r>
          </w:p>
        </w:tc>
        <w:tc>
          <w:tcPr>
            <w:tcW w:w="6521" w:type="dxa"/>
            <w:vAlign w:val="center"/>
          </w:tcPr>
          <w:p>
            <w:pPr>
              <w:rPr>
                <w:noProof/>
              </w:rPr>
            </w:pPr>
            <w:r>
              <w:rPr>
                <w:bCs/>
                <w:iCs/>
                <w:noProof/>
                <w:sz w:val="16"/>
                <w:szCs w:val="16"/>
              </w:rPr>
              <w:t>Completion of operations and programmes in the field of external borders, security and safeguarding liberties</w:t>
            </w:r>
          </w:p>
        </w:tc>
        <w:tc>
          <w:tcPr>
            <w:tcW w:w="1701" w:type="dxa"/>
            <w:vAlign w:val="center"/>
          </w:tcPr>
          <w:p>
            <w:pPr>
              <w:widowControl w:val="0"/>
              <w:spacing w:before="15" w:after="15"/>
              <w:jc w:val="right"/>
              <w:rPr>
                <w:noProof/>
                <w:sz w:val="20"/>
                <w:szCs w:val="20"/>
              </w:rPr>
            </w:pPr>
            <w:r>
              <w:rPr>
                <w:noProof/>
                <w:sz w:val="20"/>
                <w:szCs w:val="20"/>
              </w:rPr>
              <w:t>-9 450 000</w:t>
            </w:r>
          </w:p>
        </w:tc>
      </w:tr>
      <w:tr>
        <w:tc>
          <w:tcPr>
            <w:tcW w:w="1276" w:type="dxa"/>
            <w:vAlign w:val="center"/>
          </w:tcPr>
          <w:p>
            <w:pPr>
              <w:widowControl w:val="0"/>
              <w:spacing w:before="15" w:after="15"/>
              <w:ind w:right="-113"/>
              <w:jc w:val="both"/>
              <w:rPr>
                <w:noProof/>
                <w:sz w:val="20"/>
                <w:szCs w:val="20"/>
              </w:rPr>
            </w:pPr>
            <w:r>
              <w:rPr>
                <w:noProof/>
                <w:sz w:val="20"/>
                <w:szCs w:val="20"/>
              </w:rPr>
              <w:t>40 02 41</w:t>
            </w:r>
          </w:p>
        </w:tc>
        <w:tc>
          <w:tcPr>
            <w:tcW w:w="6521" w:type="dxa"/>
            <w:vAlign w:val="center"/>
          </w:tcPr>
          <w:p>
            <w:pPr>
              <w:rPr>
                <w:noProof/>
              </w:rPr>
            </w:pPr>
            <w:r>
              <w:rPr>
                <w:bCs/>
                <w:iCs/>
                <w:noProof/>
                <w:sz w:val="16"/>
                <w:szCs w:val="16"/>
              </w:rPr>
              <w:t>Differentiated appropriations (</w:t>
            </w:r>
            <w:r>
              <w:rPr>
                <w:bCs/>
                <w:i/>
                <w:iCs/>
                <w:noProof/>
                <w:sz w:val="16"/>
                <w:szCs w:val="16"/>
              </w:rPr>
              <w:t>Reserve for budget item 18 02 01 03 – Establishing an Entry/Exit System (EES) to register data on the entry, exit and refusal of entry of third country nationals crossing the external borders of the Member States of the European Union</w:t>
            </w:r>
            <w:r>
              <w:rPr>
                <w:bCs/>
                <w:iCs/>
                <w:noProof/>
                <w:sz w:val="16"/>
                <w:szCs w:val="16"/>
              </w:rPr>
              <w:t>)</w:t>
            </w:r>
          </w:p>
        </w:tc>
        <w:tc>
          <w:tcPr>
            <w:tcW w:w="1701" w:type="dxa"/>
            <w:vAlign w:val="center"/>
          </w:tcPr>
          <w:p>
            <w:pPr>
              <w:widowControl w:val="0"/>
              <w:spacing w:before="15" w:after="15"/>
              <w:jc w:val="right"/>
              <w:rPr>
                <w:noProof/>
                <w:sz w:val="20"/>
                <w:szCs w:val="20"/>
                <w:highlight w:val="yellow"/>
              </w:rPr>
            </w:pPr>
            <w:r>
              <w:rPr>
                <w:noProof/>
                <w:sz w:val="20"/>
                <w:szCs w:val="20"/>
              </w:rPr>
              <w:t>-28 000 000</w:t>
            </w:r>
          </w:p>
        </w:tc>
      </w:tr>
      <w:tr>
        <w:tc>
          <w:tcPr>
            <w:tcW w:w="7797" w:type="dxa"/>
            <w:gridSpan w:val="2"/>
            <w:shd w:val="clear" w:color="auto" w:fill="D9D9D9"/>
          </w:tcPr>
          <w:p>
            <w:pPr>
              <w:widowControl w:val="0"/>
              <w:tabs>
                <w:tab w:val="left" w:pos="975"/>
              </w:tabs>
              <w:spacing w:before="15" w:after="15"/>
              <w:jc w:val="both"/>
              <w:rPr>
                <w:b/>
                <w:noProof/>
                <w:sz w:val="20"/>
                <w:szCs w:val="20"/>
              </w:rPr>
            </w:pPr>
            <w:r>
              <w:rPr>
                <w:b/>
                <w:noProof/>
                <w:sz w:val="20"/>
                <w:szCs w:val="20"/>
              </w:rPr>
              <w:t>Total</w:t>
            </w:r>
            <w:r>
              <w:rPr>
                <w:b/>
                <w:noProof/>
                <w:sz w:val="20"/>
                <w:szCs w:val="20"/>
              </w:rPr>
              <w:tab/>
            </w:r>
          </w:p>
        </w:tc>
        <w:tc>
          <w:tcPr>
            <w:tcW w:w="1701" w:type="dxa"/>
            <w:shd w:val="clear" w:color="auto" w:fill="D9D9D9"/>
          </w:tcPr>
          <w:p>
            <w:pPr>
              <w:widowControl w:val="0"/>
              <w:spacing w:before="15" w:after="15"/>
              <w:jc w:val="right"/>
              <w:rPr>
                <w:b/>
                <w:noProof/>
                <w:sz w:val="20"/>
                <w:szCs w:val="20"/>
              </w:rPr>
            </w:pPr>
            <w:r>
              <w:rPr>
                <w:b/>
                <w:noProof/>
                <w:sz w:val="20"/>
                <w:szCs w:val="20"/>
              </w:rPr>
              <w:t>-130 150 000</w:t>
            </w:r>
          </w:p>
        </w:tc>
      </w:tr>
    </w:tbl>
    <w:p>
      <w:pPr>
        <w:rPr>
          <w:rFonts w:eastAsia="Calibri"/>
          <w:noProof/>
          <w:lang w:eastAsia="de-DE"/>
        </w:rPr>
      </w:pPr>
      <w:r>
        <w:rPr>
          <w:rFonts w:eastAsia="Calibri"/>
          <w:noProof/>
          <w:lang w:eastAsia="de-DE"/>
        </w:rPr>
        <w:br w:type="page"/>
      </w:r>
    </w:p>
    <w:p>
      <w:pPr>
        <w:keepNext/>
        <w:tabs>
          <w:tab w:val="left" w:pos="850"/>
        </w:tabs>
        <w:spacing w:before="360" w:after="120"/>
        <w:ind w:left="850" w:hanging="850"/>
        <w:jc w:val="both"/>
        <w:outlineLvl w:val="1"/>
        <w:rPr>
          <w:rFonts w:eastAsia="Calibri"/>
          <w:b/>
          <w:noProof/>
          <w:lang w:eastAsia="de-DE"/>
        </w:rPr>
      </w:pPr>
      <w:bookmarkStart w:id="34" w:name="_Toc494994375"/>
      <w:r>
        <w:rPr>
          <w:rFonts w:eastAsia="Calibri"/>
          <w:b/>
          <w:noProof/>
          <w:lang w:eastAsia="de-DE"/>
        </w:rPr>
        <w:t>2.4</w:t>
      </w:r>
      <w:r>
        <w:rPr>
          <w:rFonts w:eastAsia="Calibri"/>
          <w:b/>
          <w:noProof/>
          <w:lang w:eastAsia="de-DE"/>
        </w:rPr>
        <w:tab/>
      </w:r>
      <w:bookmarkEnd w:id="33"/>
      <w:r>
        <w:rPr>
          <w:rFonts w:eastAsia="Calibri"/>
          <w:b/>
          <w:noProof/>
          <w:lang w:eastAsia="de-DE"/>
        </w:rPr>
        <w:t>Heading 4 – Global Europe</w:t>
      </w:r>
      <w:bookmarkEnd w:id="34"/>
    </w:p>
    <w:bookmarkEnd w:id="21"/>
    <w:bookmarkEnd w:id="22"/>
    <w:p>
      <w:pPr>
        <w:tabs>
          <w:tab w:val="left" w:pos="851"/>
        </w:tabs>
        <w:spacing w:before="240"/>
        <w:rPr>
          <w:bCs/>
          <w:i/>
          <w:noProof/>
        </w:rPr>
      </w:pPr>
      <w:r>
        <w:rPr>
          <w:bCs/>
          <w:i/>
          <w:noProof/>
        </w:rPr>
        <w:t xml:space="preserve">2.4.1 </w:t>
      </w:r>
      <w:r>
        <w:rPr>
          <w:bCs/>
          <w:i/>
          <w:noProof/>
        </w:rPr>
        <w:tab/>
        <w:t>Instrument for Pre-accession assistance (IPA II)</w:t>
      </w:r>
    </w:p>
    <w:p>
      <w:pPr>
        <w:autoSpaceDE w:val="0"/>
        <w:autoSpaceDN w:val="0"/>
        <w:adjustRightInd w:val="0"/>
        <w:spacing w:before="120" w:after="120"/>
        <w:jc w:val="both"/>
        <w:rPr>
          <w:noProof/>
        </w:rPr>
      </w:pPr>
      <w:r>
        <w:rPr>
          <w:noProof/>
        </w:rPr>
        <w:t>It is proposed to reduce a total amount of EUR 268,1 million in payment appropriations identified on several IPA budget lines. Some EUR 113 million results from lower payment needs under the Facility for Refugees in Turkey due to the complex negotiations on some large infrastructure projects and the resulting contractual delays. The remaining surplus in title 22 is due to delays in contracting or in implementation of contracts in the Western Balkans and Turkey.</w:t>
      </w:r>
    </w:p>
    <w:p>
      <w:pPr>
        <w:autoSpaceDE w:val="0"/>
        <w:autoSpaceDN w:val="0"/>
        <w:adjustRightInd w:val="0"/>
        <w:spacing w:before="120" w:after="240"/>
        <w:jc w:val="both"/>
        <w:rPr>
          <w:noProof/>
        </w:rPr>
      </w:pPr>
      <w:r>
        <w:rPr>
          <w:noProof/>
        </w:rPr>
        <w:t>Payment appropriations also exceed the revised needs in cross-border cooperation actions in title 13, mainly due to a sharp decrease in the updated forecast submitted by the countries concerned compared to the forecast underlying the 2017 budget.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6521"/>
        <w:gridCol w:w="1701"/>
      </w:tblGrid>
      <w:tr>
        <w:trPr>
          <w:tblHeader/>
        </w:trPr>
        <w:tc>
          <w:tcPr>
            <w:tcW w:w="1276" w:type="dxa"/>
            <w:shd w:val="clear" w:color="auto" w:fill="D9D9D9"/>
            <w:vAlign w:val="center"/>
          </w:tcPr>
          <w:p>
            <w:pPr>
              <w:widowControl w:val="0"/>
              <w:spacing w:before="15" w:after="15"/>
              <w:jc w:val="center"/>
              <w:rPr>
                <w:b/>
                <w:noProof/>
                <w:sz w:val="20"/>
                <w:szCs w:val="20"/>
              </w:rPr>
            </w:pPr>
            <w:r>
              <w:rPr>
                <w:b/>
                <w:noProof/>
                <w:sz w:val="20"/>
                <w:szCs w:val="20"/>
              </w:rPr>
              <w:t>Budget line</w:t>
            </w:r>
          </w:p>
        </w:tc>
        <w:tc>
          <w:tcPr>
            <w:tcW w:w="6521" w:type="dxa"/>
            <w:shd w:val="clear" w:color="auto" w:fill="D9D9D9"/>
            <w:vAlign w:val="center"/>
          </w:tcPr>
          <w:p>
            <w:pPr>
              <w:widowControl w:val="0"/>
              <w:spacing w:before="15" w:after="15"/>
              <w:jc w:val="center"/>
              <w:rPr>
                <w:b/>
                <w:noProof/>
                <w:sz w:val="20"/>
                <w:szCs w:val="20"/>
              </w:rPr>
            </w:pPr>
            <w:r>
              <w:rPr>
                <w:b/>
                <w:noProof/>
                <w:sz w:val="20"/>
                <w:szCs w:val="20"/>
              </w:rPr>
              <w:t>Name</w:t>
            </w:r>
          </w:p>
        </w:tc>
        <w:tc>
          <w:tcPr>
            <w:tcW w:w="1701" w:type="dxa"/>
            <w:shd w:val="clear" w:color="auto" w:fill="D9D9D9"/>
            <w:vAlign w:val="center"/>
          </w:tcPr>
          <w:p>
            <w:pPr>
              <w:widowControl w:val="0"/>
              <w:spacing w:before="15" w:after="15"/>
              <w:jc w:val="center"/>
              <w:rPr>
                <w:b/>
                <w:noProof/>
                <w:sz w:val="20"/>
                <w:szCs w:val="20"/>
              </w:rPr>
            </w:pPr>
            <w:r>
              <w:rPr>
                <w:b/>
                <w:noProof/>
                <w:sz w:val="20"/>
                <w:szCs w:val="20"/>
              </w:rPr>
              <w:t>Payment appropriations</w:t>
            </w:r>
          </w:p>
        </w:tc>
      </w:tr>
      <w:tr>
        <w:tc>
          <w:tcPr>
            <w:tcW w:w="1276" w:type="dxa"/>
            <w:vAlign w:val="center"/>
          </w:tcPr>
          <w:p>
            <w:pPr>
              <w:widowControl w:val="0"/>
              <w:spacing w:before="15" w:after="15"/>
              <w:ind w:right="-113"/>
              <w:jc w:val="both"/>
              <w:rPr>
                <w:noProof/>
                <w:sz w:val="20"/>
                <w:szCs w:val="20"/>
              </w:rPr>
            </w:pPr>
            <w:r>
              <w:rPr>
                <w:noProof/>
                <w:sz w:val="20"/>
                <w:szCs w:val="20"/>
              </w:rPr>
              <w:t>13 05 02</w:t>
            </w:r>
          </w:p>
        </w:tc>
        <w:tc>
          <w:tcPr>
            <w:tcW w:w="6521" w:type="dxa"/>
            <w:vAlign w:val="center"/>
          </w:tcPr>
          <w:p>
            <w:pPr>
              <w:rPr>
                <w:bCs/>
                <w:iCs/>
                <w:noProof/>
                <w:sz w:val="16"/>
                <w:szCs w:val="16"/>
              </w:rPr>
            </w:pPr>
            <w:r>
              <w:rPr>
                <w:bCs/>
                <w:iCs/>
                <w:noProof/>
                <w:sz w:val="16"/>
                <w:szCs w:val="16"/>
              </w:rPr>
              <w:t>Instrument for Pre-Accession Assistance (IPA) — Completion of regional development component (2007 to 2013)</w:t>
            </w:r>
          </w:p>
        </w:tc>
        <w:tc>
          <w:tcPr>
            <w:tcW w:w="1701" w:type="dxa"/>
            <w:vAlign w:val="center"/>
          </w:tcPr>
          <w:p>
            <w:pPr>
              <w:widowControl w:val="0"/>
              <w:spacing w:before="15" w:after="15"/>
              <w:jc w:val="right"/>
              <w:rPr>
                <w:noProof/>
                <w:sz w:val="20"/>
                <w:szCs w:val="20"/>
              </w:rPr>
            </w:pPr>
            <w:r>
              <w:rPr>
                <w:noProof/>
                <w:sz w:val="20"/>
                <w:szCs w:val="20"/>
              </w:rPr>
              <w:t>-9 473 967</w:t>
            </w:r>
          </w:p>
        </w:tc>
      </w:tr>
      <w:tr>
        <w:tc>
          <w:tcPr>
            <w:tcW w:w="1276" w:type="dxa"/>
            <w:vAlign w:val="center"/>
          </w:tcPr>
          <w:p>
            <w:pPr>
              <w:widowControl w:val="0"/>
              <w:spacing w:before="15" w:after="15"/>
              <w:ind w:right="-113"/>
              <w:jc w:val="both"/>
              <w:rPr>
                <w:noProof/>
                <w:sz w:val="20"/>
                <w:szCs w:val="20"/>
              </w:rPr>
            </w:pPr>
            <w:r>
              <w:rPr>
                <w:noProof/>
                <w:sz w:val="20"/>
                <w:szCs w:val="20"/>
              </w:rPr>
              <w:t>13 05 63 02</w:t>
            </w:r>
          </w:p>
        </w:tc>
        <w:tc>
          <w:tcPr>
            <w:tcW w:w="6521" w:type="dxa"/>
            <w:vAlign w:val="center"/>
          </w:tcPr>
          <w:p>
            <w:pPr>
              <w:rPr>
                <w:bCs/>
                <w:iCs/>
                <w:noProof/>
                <w:sz w:val="16"/>
                <w:szCs w:val="16"/>
              </w:rPr>
            </w:pPr>
            <w:r>
              <w:rPr>
                <w:bCs/>
                <w:iCs/>
                <w:noProof/>
                <w:sz w:val="16"/>
                <w:szCs w:val="16"/>
              </w:rPr>
              <w:t>Cross-border cooperation (CBC) — Contribution from Heading 4</w:t>
            </w:r>
          </w:p>
        </w:tc>
        <w:tc>
          <w:tcPr>
            <w:tcW w:w="1701" w:type="dxa"/>
            <w:vAlign w:val="center"/>
          </w:tcPr>
          <w:p>
            <w:pPr>
              <w:widowControl w:val="0"/>
              <w:spacing w:before="15" w:after="15"/>
              <w:jc w:val="right"/>
              <w:rPr>
                <w:noProof/>
                <w:sz w:val="20"/>
                <w:szCs w:val="20"/>
              </w:rPr>
            </w:pPr>
            <w:r>
              <w:rPr>
                <w:noProof/>
                <w:sz w:val="20"/>
                <w:szCs w:val="20"/>
              </w:rPr>
              <w:t>-21 988 054</w:t>
            </w:r>
          </w:p>
        </w:tc>
      </w:tr>
      <w:tr>
        <w:tc>
          <w:tcPr>
            <w:tcW w:w="1276" w:type="dxa"/>
            <w:vAlign w:val="center"/>
          </w:tcPr>
          <w:p>
            <w:pPr>
              <w:widowControl w:val="0"/>
              <w:spacing w:before="15" w:after="15"/>
              <w:ind w:right="-113"/>
              <w:jc w:val="both"/>
              <w:rPr>
                <w:noProof/>
                <w:sz w:val="20"/>
                <w:szCs w:val="20"/>
              </w:rPr>
            </w:pPr>
            <w:r>
              <w:rPr>
                <w:noProof/>
                <w:sz w:val="20"/>
                <w:szCs w:val="20"/>
              </w:rPr>
              <w:t>22 02 01 01</w:t>
            </w:r>
          </w:p>
        </w:tc>
        <w:tc>
          <w:tcPr>
            <w:tcW w:w="6521" w:type="dxa"/>
            <w:vAlign w:val="center"/>
          </w:tcPr>
          <w:p>
            <w:pPr>
              <w:rPr>
                <w:bCs/>
                <w:iCs/>
                <w:noProof/>
                <w:sz w:val="16"/>
                <w:szCs w:val="16"/>
              </w:rPr>
            </w:pPr>
            <w:r>
              <w:rPr>
                <w:bCs/>
                <w:iCs/>
                <w:noProof/>
                <w:sz w:val="16"/>
                <w:szCs w:val="16"/>
              </w:rPr>
              <w:t>Support for political reforms and related progressive alignment with the Union acquis</w:t>
            </w:r>
          </w:p>
        </w:tc>
        <w:tc>
          <w:tcPr>
            <w:tcW w:w="1701" w:type="dxa"/>
            <w:vAlign w:val="center"/>
          </w:tcPr>
          <w:p>
            <w:pPr>
              <w:widowControl w:val="0"/>
              <w:spacing w:before="15" w:after="15"/>
              <w:jc w:val="right"/>
              <w:rPr>
                <w:noProof/>
                <w:sz w:val="20"/>
                <w:szCs w:val="20"/>
              </w:rPr>
            </w:pPr>
            <w:r>
              <w:rPr>
                <w:noProof/>
                <w:sz w:val="20"/>
                <w:szCs w:val="20"/>
              </w:rPr>
              <w:t>-74 886 680</w:t>
            </w:r>
          </w:p>
        </w:tc>
      </w:tr>
      <w:tr>
        <w:tc>
          <w:tcPr>
            <w:tcW w:w="1276" w:type="dxa"/>
            <w:vAlign w:val="center"/>
          </w:tcPr>
          <w:p>
            <w:pPr>
              <w:widowControl w:val="0"/>
              <w:spacing w:before="15" w:after="15"/>
              <w:ind w:right="-113"/>
              <w:jc w:val="both"/>
              <w:rPr>
                <w:noProof/>
                <w:sz w:val="20"/>
                <w:szCs w:val="20"/>
              </w:rPr>
            </w:pPr>
            <w:r>
              <w:rPr>
                <w:noProof/>
                <w:sz w:val="20"/>
                <w:szCs w:val="20"/>
              </w:rPr>
              <w:t>22 02 01 02</w:t>
            </w:r>
          </w:p>
        </w:tc>
        <w:tc>
          <w:tcPr>
            <w:tcW w:w="6521" w:type="dxa"/>
            <w:vAlign w:val="center"/>
          </w:tcPr>
          <w:p>
            <w:pPr>
              <w:rPr>
                <w:bCs/>
                <w:iCs/>
                <w:noProof/>
                <w:sz w:val="16"/>
                <w:szCs w:val="16"/>
              </w:rPr>
            </w:pPr>
            <w:r>
              <w:rPr>
                <w:bCs/>
                <w:iCs/>
                <w:noProof/>
                <w:sz w:val="16"/>
                <w:szCs w:val="16"/>
              </w:rPr>
              <w:t>Support for economic, social and territorial development and related progressive alignment with the Union acquis</w:t>
            </w:r>
          </w:p>
        </w:tc>
        <w:tc>
          <w:tcPr>
            <w:tcW w:w="1701" w:type="dxa"/>
            <w:vAlign w:val="center"/>
          </w:tcPr>
          <w:p>
            <w:pPr>
              <w:widowControl w:val="0"/>
              <w:spacing w:before="15" w:after="15"/>
              <w:jc w:val="right"/>
              <w:rPr>
                <w:noProof/>
                <w:sz w:val="20"/>
                <w:szCs w:val="20"/>
              </w:rPr>
            </w:pPr>
            <w:r>
              <w:rPr>
                <w:noProof/>
                <w:sz w:val="20"/>
                <w:szCs w:val="20"/>
              </w:rPr>
              <w:t>-27 107 354</w:t>
            </w:r>
          </w:p>
        </w:tc>
      </w:tr>
      <w:tr>
        <w:tc>
          <w:tcPr>
            <w:tcW w:w="1276" w:type="dxa"/>
            <w:vAlign w:val="center"/>
          </w:tcPr>
          <w:p>
            <w:pPr>
              <w:widowControl w:val="0"/>
              <w:spacing w:before="15" w:after="15"/>
              <w:ind w:right="-113"/>
              <w:jc w:val="both"/>
              <w:rPr>
                <w:noProof/>
                <w:sz w:val="20"/>
                <w:szCs w:val="20"/>
              </w:rPr>
            </w:pPr>
            <w:r>
              <w:rPr>
                <w:noProof/>
                <w:sz w:val="20"/>
                <w:szCs w:val="20"/>
              </w:rPr>
              <w:t>22 02 03 01</w:t>
            </w:r>
          </w:p>
        </w:tc>
        <w:tc>
          <w:tcPr>
            <w:tcW w:w="6521" w:type="dxa"/>
            <w:vAlign w:val="center"/>
          </w:tcPr>
          <w:p>
            <w:pPr>
              <w:rPr>
                <w:bCs/>
                <w:iCs/>
                <w:noProof/>
                <w:sz w:val="16"/>
                <w:szCs w:val="16"/>
              </w:rPr>
            </w:pPr>
            <w:r>
              <w:rPr>
                <w:bCs/>
                <w:iCs/>
                <w:noProof/>
                <w:sz w:val="16"/>
                <w:szCs w:val="16"/>
              </w:rPr>
              <w:t>Support for political reforms and related progressive alignment with the Union acquis</w:t>
            </w:r>
          </w:p>
        </w:tc>
        <w:tc>
          <w:tcPr>
            <w:tcW w:w="1701" w:type="dxa"/>
            <w:vAlign w:val="center"/>
          </w:tcPr>
          <w:p>
            <w:pPr>
              <w:widowControl w:val="0"/>
              <w:spacing w:before="15" w:after="15"/>
              <w:jc w:val="right"/>
              <w:rPr>
                <w:noProof/>
                <w:sz w:val="20"/>
                <w:szCs w:val="20"/>
              </w:rPr>
            </w:pPr>
            <w:r>
              <w:rPr>
                <w:noProof/>
                <w:sz w:val="20"/>
                <w:szCs w:val="20"/>
              </w:rPr>
              <w:t>-25 583 372</w:t>
            </w:r>
          </w:p>
        </w:tc>
      </w:tr>
      <w:tr>
        <w:tc>
          <w:tcPr>
            <w:tcW w:w="1276" w:type="dxa"/>
            <w:vAlign w:val="center"/>
          </w:tcPr>
          <w:p>
            <w:pPr>
              <w:widowControl w:val="0"/>
              <w:spacing w:before="15" w:after="15"/>
              <w:ind w:right="-113"/>
              <w:jc w:val="both"/>
              <w:rPr>
                <w:noProof/>
                <w:sz w:val="20"/>
                <w:szCs w:val="20"/>
              </w:rPr>
            </w:pPr>
            <w:r>
              <w:rPr>
                <w:noProof/>
                <w:sz w:val="20"/>
                <w:szCs w:val="20"/>
              </w:rPr>
              <w:t>22 02 04 01</w:t>
            </w:r>
          </w:p>
        </w:tc>
        <w:tc>
          <w:tcPr>
            <w:tcW w:w="6521" w:type="dxa"/>
            <w:vAlign w:val="center"/>
          </w:tcPr>
          <w:p>
            <w:pPr>
              <w:rPr>
                <w:bCs/>
                <w:iCs/>
                <w:noProof/>
                <w:sz w:val="16"/>
                <w:szCs w:val="16"/>
              </w:rPr>
            </w:pPr>
            <w:r>
              <w:rPr>
                <w:bCs/>
                <w:iCs/>
                <w:noProof/>
                <w:sz w:val="16"/>
                <w:szCs w:val="16"/>
              </w:rPr>
              <w:t>Multi-country programmes, regional integration and territorial cooperation</w:t>
            </w:r>
          </w:p>
        </w:tc>
        <w:tc>
          <w:tcPr>
            <w:tcW w:w="1701" w:type="dxa"/>
            <w:vAlign w:val="center"/>
          </w:tcPr>
          <w:p>
            <w:pPr>
              <w:widowControl w:val="0"/>
              <w:spacing w:before="15" w:after="15"/>
              <w:jc w:val="right"/>
              <w:rPr>
                <w:noProof/>
                <w:sz w:val="20"/>
                <w:szCs w:val="20"/>
              </w:rPr>
            </w:pPr>
            <w:r>
              <w:rPr>
                <w:noProof/>
                <w:sz w:val="20"/>
                <w:szCs w:val="20"/>
              </w:rPr>
              <w:t>-94 444 080</w:t>
            </w:r>
          </w:p>
        </w:tc>
      </w:tr>
      <w:tr>
        <w:tc>
          <w:tcPr>
            <w:tcW w:w="1276" w:type="dxa"/>
            <w:vAlign w:val="center"/>
          </w:tcPr>
          <w:p>
            <w:pPr>
              <w:widowControl w:val="0"/>
              <w:spacing w:before="15" w:after="15"/>
              <w:ind w:right="-113"/>
              <w:jc w:val="both"/>
              <w:rPr>
                <w:noProof/>
                <w:sz w:val="20"/>
                <w:szCs w:val="20"/>
              </w:rPr>
            </w:pPr>
            <w:r>
              <w:rPr>
                <w:noProof/>
                <w:sz w:val="20"/>
                <w:szCs w:val="20"/>
              </w:rPr>
              <w:t>22 02 51</w:t>
            </w:r>
          </w:p>
        </w:tc>
        <w:tc>
          <w:tcPr>
            <w:tcW w:w="6521" w:type="dxa"/>
            <w:vAlign w:val="center"/>
          </w:tcPr>
          <w:p>
            <w:pPr>
              <w:rPr>
                <w:bCs/>
                <w:iCs/>
                <w:noProof/>
                <w:sz w:val="16"/>
                <w:szCs w:val="16"/>
              </w:rPr>
            </w:pPr>
            <w:r>
              <w:rPr>
                <w:bCs/>
                <w:iCs/>
                <w:noProof/>
                <w:sz w:val="16"/>
                <w:szCs w:val="16"/>
              </w:rPr>
              <w:t>Completion of former pre-accession assistance (prior to 2014)</w:t>
            </w:r>
          </w:p>
        </w:tc>
        <w:tc>
          <w:tcPr>
            <w:tcW w:w="1701" w:type="dxa"/>
            <w:vAlign w:val="center"/>
          </w:tcPr>
          <w:p>
            <w:pPr>
              <w:widowControl w:val="0"/>
              <w:spacing w:before="15" w:after="15"/>
              <w:jc w:val="right"/>
              <w:rPr>
                <w:noProof/>
                <w:sz w:val="20"/>
                <w:szCs w:val="20"/>
                <w:highlight w:val="yellow"/>
              </w:rPr>
            </w:pPr>
            <w:r>
              <w:rPr>
                <w:noProof/>
                <w:sz w:val="20"/>
                <w:szCs w:val="20"/>
              </w:rPr>
              <w:t>-14 617 033</w:t>
            </w:r>
          </w:p>
        </w:tc>
      </w:tr>
      <w:tr>
        <w:tc>
          <w:tcPr>
            <w:tcW w:w="7797" w:type="dxa"/>
            <w:gridSpan w:val="2"/>
            <w:shd w:val="clear" w:color="auto" w:fill="D9D9D9"/>
          </w:tcPr>
          <w:p>
            <w:pPr>
              <w:widowControl w:val="0"/>
              <w:tabs>
                <w:tab w:val="left" w:pos="975"/>
              </w:tabs>
              <w:spacing w:before="15" w:after="15"/>
              <w:jc w:val="both"/>
              <w:rPr>
                <w:b/>
                <w:noProof/>
                <w:sz w:val="20"/>
                <w:szCs w:val="20"/>
              </w:rPr>
            </w:pPr>
            <w:r>
              <w:rPr>
                <w:b/>
                <w:noProof/>
                <w:sz w:val="20"/>
                <w:szCs w:val="20"/>
              </w:rPr>
              <w:t>Total</w:t>
            </w:r>
            <w:r>
              <w:rPr>
                <w:b/>
                <w:noProof/>
                <w:sz w:val="20"/>
                <w:szCs w:val="20"/>
              </w:rPr>
              <w:tab/>
            </w:r>
          </w:p>
        </w:tc>
        <w:tc>
          <w:tcPr>
            <w:tcW w:w="1701" w:type="dxa"/>
            <w:shd w:val="clear" w:color="auto" w:fill="D9D9D9"/>
          </w:tcPr>
          <w:p>
            <w:pPr>
              <w:widowControl w:val="0"/>
              <w:spacing w:before="15" w:after="15"/>
              <w:jc w:val="right"/>
              <w:rPr>
                <w:b/>
                <w:noProof/>
                <w:sz w:val="20"/>
                <w:szCs w:val="20"/>
              </w:rPr>
            </w:pPr>
            <w:r>
              <w:rPr>
                <w:b/>
                <w:noProof/>
                <w:sz w:val="20"/>
                <w:szCs w:val="20"/>
              </w:rPr>
              <w:t>-268 100 540</w:t>
            </w:r>
          </w:p>
        </w:tc>
      </w:tr>
    </w:tbl>
    <w:p>
      <w:pPr>
        <w:tabs>
          <w:tab w:val="left" w:pos="851"/>
        </w:tabs>
        <w:spacing w:before="240"/>
        <w:rPr>
          <w:bCs/>
          <w:i/>
          <w:noProof/>
        </w:rPr>
      </w:pPr>
      <w:r>
        <w:rPr>
          <w:bCs/>
          <w:i/>
          <w:noProof/>
        </w:rPr>
        <w:t xml:space="preserve">2.4.2 </w:t>
      </w:r>
      <w:r>
        <w:rPr>
          <w:bCs/>
          <w:i/>
          <w:noProof/>
        </w:rPr>
        <w:tab/>
        <w:t>European Neighbourhood Instrument (ENI)</w:t>
      </w:r>
    </w:p>
    <w:p>
      <w:pPr>
        <w:autoSpaceDE w:val="0"/>
        <w:autoSpaceDN w:val="0"/>
        <w:adjustRightInd w:val="0"/>
        <w:spacing w:before="120" w:after="120"/>
        <w:jc w:val="both"/>
        <w:rPr>
          <w:noProof/>
        </w:rPr>
      </w:pPr>
      <w:r>
        <w:rPr>
          <w:noProof/>
        </w:rPr>
        <w:t>It is proposed to reduce a total amount of EUR 434,1 million in payment appropriations identified on several ENI budget lines. Some EUR 300 million is explained by delays in the disbursement of several budget support tranches to Egypt, Morocco, Moldova, Armenia and Azerbaijan because the agreed criteria for their disbursement have not been fulfilled according to schedule.</w:t>
      </w:r>
    </w:p>
    <w:p>
      <w:pPr>
        <w:autoSpaceDE w:val="0"/>
        <w:autoSpaceDN w:val="0"/>
        <w:adjustRightInd w:val="0"/>
        <w:spacing w:before="120" w:after="240"/>
        <w:jc w:val="both"/>
        <w:rPr>
          <w:noProof/>
        </w:rPr>
      </w:pPr>
      <w:r>
        <w:rPr>
          <w:noProof/>
        </w:rPr>
        <w:t>The remaining amount of payment appropriations which can be released relates to postponements due to difficulties encountered in the implementation of projects. For example legal issues as well as the current political context in Gaza have been affecting the smooth implementation of several contracts under line 22 04 01 04. In addition, several payments have been postponed due to delays in the conclusion of the agreements between the government of Egypt and the International Financing Institutions in the framework of blending operations. Finally, under several contracts payments have been postponed due to delays in receiving the payment requests from the contractors or additional supporting documents linked to specific payment requests.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6521"/>
        <w:gridCol w:w="1701"/>
      </w:tblGrid>
      <w:tr>
        <w:trPr>
          <w:tblHeader/>
        </w:trPr>
        <w:tc>
          <w:tcPr>
            <w:tcW w:w="1276" w:type="dxa"/>
            <w:shd w:val="clear" w:color="auto" w:fill="D9D9D9"/>
            <w:vAlign w:val="center"/>
          </w:tcPr>
          <w:p>
            <w:pPr>
              <w:widowControl w:val="0"/>
              <w:spacing w:before="15" w:after="15"/>
              <w:rPr>
                <w:b/>
                <w:noProof/>
                <w:sz w:val="20"/>
                <w:szCs w:val="20"/>
              </w:rPr>
            </w:pPr>
            <w:r>
              <w:rPr>
                <w:b/>
                <w:noProof/>
                <w:sz w:val="20"/>
                <w:szCs w:val="20"/>
              </w:rPr>
              <w:t>Budget line</w:t>
            </w:r>
          </w:p>
        </w:tc>
        <w:tc>
          <w:tcPr>
            <w:tcW w:w="6521" w:type="dxa"/>
            <w:shd w:val="clear" w:color="auto" w:fill="D9D9D9"/>
            <w:vAlign w:val="center"/>
          </w:tcPr>
          <w:p>
            <w:pPr>
              <w:widowControl w:val="0"/>
              <w:spacing w:before="15" w:after="15"/>
              <w:jc w:val="center"/>
              <w:rPr>
                <w:b/>
                <w:noProof/>
                <w:sz w:val="20"/>
                <w:szCs w:val="20"/>
              </w:rPr>
            </w:pPr>
            <w:r>
              <w:rPr>
                <w:b/>
                <w:noProof/>
                <w:sz w:val="20"/>
                <w:szCs w:val="20"/>
              </w:rPr>
              <w:t>Name</w:t>
            </w:r>
          </w:p>
        </w:tc>
        <w:tc>
          <w:tcPr>
            <w:tcW w:w="1701" w:type="dxa"/>
            <w:shd w:val="clear" w:color="auto" w:fill="D9D9D9"/>
            <w:vAlign w:val="center"/>
          </w:tcPr>
          <w:p>
            <w:pPr>
              <w:widowControl w:val="0"/>
              <w:spacing w:before="15" w:after="15"/>
              <w:jc w:val="center"/>
              <w:rPr>
                <w:b/>
                <w:noProof/>
                <w:sz w:val="20"/>
                <w:szCs w:val="20"/>
              </w:rPr>
            </w:pPr>
            <w:r>
              <w:rPr>
                <w:b/>
                <w:noProof/>
                <w:sz w:val="20"/>
                <w:szCs w:val="20"/>
              </w:rPr>
              <w:t>Payment appropriations</w:t>
            </w:r>
          </w:p>
        </w:tc>
      </w:tr>
      <w:tr>
        <w:tc>
          <w:tcPr>
            <w:tcW w:w="1276" w:type="dxa"/>
            <w:vAlign w:val="center"/>
          </w:tcPr>
          <w:p>
            <w:pPr>
              <w:widowControl w:val="0"/>
              <w:spacing w:before="15" w:after="15"/>
              <w:ind w:right="-113"/>
              <w:jc w:val="both"/>
              <w:rPr>
                <w:noProof/>
                <w:sz w:val="20"/>
                <w:szCs w:val="20"/>
              </w:rPr>
            </w:pPr>
            <w:r>
              <w:rPr>
                <w:noProof/>
                <w:sz w:val="20"/>
                <w:szCs w:val="20"/>
              </w:rPr>
              <w:t>22 04 01 01</w:t>
            </w:r>
          </w:p>
        </w:tc>
        <w:tc>
          <w:tcPr>
            <w:tcW w:w="6521" w:type="dxa"/>
            <w:vAlign w:val="center"/>
          </w:tcPr>
          <w:p>
            <w:pPr>
              <w:rPr>
                <w:bCs/>
                <w:iCs/>
                <w:noProof/>
                <w:sz w:val="16"/>
                <w:szCs w:val="16"/>
              </w:rPr>
            </w:pPr>
            <w:r>
              <w:rPr>
                <w:bCs/>
                <w:iCs/>
                <w:noProof/>
                <w:sz w:val="16"/>
                <w:szCs w:val="16"/>
              </w:rPr>
              <w:t>Mediterranean countries — Human rights, good governance and mobility</w:t>
            </w:r>
          </w:p>
        </w:tc>
        <w:tc>
          <w:tcPr>
            <w:tcW w:w="1701" w:type="dxa"/>
            <w:vAlign w:val="center"/>
          </w:tcPr>
          <w:p>
            <w:pPr>
              <w:widowControl w:val="0"/>
              <w:spacing w:before="15" w:after="15"/>
              <w:jc w:val="right"/>
              <w:rPr>
                <w:noProof/>
                <w:sz w:val="20"/>
                <w:szCs w:val="20"/>
              </w:rPr>
            </w:pPr>
            <w:r>
              <w:rPr>
                <w:noProof/>
                <w:sz w:val="20"/>
                <w:szCs w:val="20"/>
              </w:rPr>
              <w:t>-6 200 513</w:t>
            </w:r>
          </w:p>
        </w:tc>
      </w:tr>
      <w:tr>
        <w:tc>
          <w:tcPr>
            <w:tcW w:w="1276" w:type="dxa"/>
            <w:vAlign w:val="center"/>
          </w:tcPr>
          <w:p>
            <w:pPr>
              <w:widowControl w:val="0"/>
              <w:spacing w:before="15" w:after="15"/>
              <w:ind w:right="-113"/>
              <w:jc w:val="both"/>
              <w:rPr>
                <w:noProof/>
                <w:sz w:val="20"/>
                <w:szCs w:val="20"/>
              </w:rPr>
            </w:pPr>
            <w:r>
              <w:rPr>
                <w:noProof/>
                <w:sz w:val="20"/>
                <w:szCs w:val="20"/>
              </w:rPr>
              <w:t>22 04 01 02</w:t>
            </w:r>
          </w:p>
        </w:tc>
        <w:tc>
          <w:tcPr>
            <w:tcW w:w="6521" w:type="dxa"/>
            <w:vAlign w:val="center"/>
          </w:tcPr>
          <w:p>
            <w:pPr>
              <w:rPr>
                <w:bCs/>
                <w:iCs/>
                <w:noProof/>
                <w:sz w:val="16"/>
                <w:szCs w:val="16"/>
              </w:rPr>
            </w:pPr>
            <w:r>
              <w:rPr>
                <w:bCs/>
                <w:iCs/>
                <w:noProof/>
                <w:sz w:val="16"/>
                <w:szCs w:val="16"/>
              </w:rPr>
              <w:t>Mediterranean countries — Poverty reduction and sustainable development</w:t>
            </w:r>
          </w:p>
        </w:tc>
        <w:tc>
          <w:tcPr>
            <w:tcW w:w="1701" w:type="dxa"/>
            <w:vAlign w:val="center"/>
          </w:tcPr>
          <w:p>
            <w:pPr>
              <w:widowControl w:val="0"/>
              <w:spacing w:before="15" w:after="15"/>
              <w:jc w:val="right"/>
              <w:rPr>
                <w:noProof/>
                <w:sz w:val="20"/>
                <w:szCs w:val="20"/>
              </w:rPr>
            </w:pPr>
            <w:r>
              <w:rPr>
                <w:noProof/>
                <w:sz w:val="20"/>
                <w:szCs w:val="20"/>
              </w:rPr>
              <w:t>-85 959 584</w:t>
            </w:r>
          </w:p>
        </w:tc>
      </w:tr>
      <w:tr>
        <w:tc>
          <w:tcPr>
            <w:tcW w:w="1276" w:type="dxa"/>
            <w:vAlign w:val="center"/>
          </w:tcPr>
          <w:p>
            <w:pPr>
              <w:widowControl w:val="0"/>
              <w:spacing w:before="15" w:after="15"/>
              <w:ind w:right="-113"/>
              <w:jc w:val="both"/>
              <w:rPr>
                <w:noProof/>
                <w:sz w:val="20"/>
                <w:szCs w:val="20"/>
              </w:rPr>
            </w:pPr>
            <w:r>
              <w:rPr>
                <w:noProof/>
                <w:sz w:val="20"/>
                <w:szCs w:val="20"/>
              </w:rPr>
              <w:t>22 04 01 04</w:t>
            </w:r>
          </w:p>
        </w:tc>
        <w:tc>
          <w:tcPr>
            <w:tcW w:w="6521" w:type="dxa"/>
            <w:vAlign w:val="center"/>
          </w:tcPr>
          <w:p>
            <w:pPr>
              <w:rPr>
                <w:bCs/>
                <w:iCs/>
                <w:noProof/>
                <w:sz w:val="16"/>
                <w:szCs w:val="16"/>
              </w:rPr>
            </w:pPr>
            <w:r>
              <w:rPr>
                <w:bCs/>
                <w:iCs/>
                <w:noProof/>
                <w:sz w:val="16"/>
                <w:szCs w:val="16"/>
              </w:rPr>
              <w:t>Support to the peace process and financial assistance to Palestine and to the United Nations Relief and Works Agency for Palestine Refugees (UNRWA)</w:t>
            </w:r>
          </w:p>
        </w:tc>
        <w:tc>
          <w:tcPr>
            <w:tcW w:w="1701" w:type="dxa"/>
            <w:vAlign w:val="center"/>
          </w:tcPr>
          <w:p>
            <w:pPr>
              <w:widowControl w:val="0"/>
              <w:spacing w:before="15" w:after="15"/>
              <w:jc w:val="right"/>
              <w:rPr>
                <w:noProof/>
                <w:sz w:val="20"/>
                <w:szCs w:val="20"/>
              </w:rPr>
            </w:pPr>
            <w:r>
              <w:rPr>
                <w:noProof/>
                <w:sz w:val="20"/>
                <w:szCs w:val="20"/>
              </w:rPr>
              <w:t>-56 028 674</w:t>
            </w:r>
          </w:p>
        </w:tc>
      </w:tr>
      <w:tr>
        <w:tc>
          <w:tcPr>
            <w:tcW w:w="1276" w:type="dxa"/>
            <w:vAlign w:val="center"/>
          </w:tcPr>
          <w:p>
            <w:pPr>
              <w:widowControl w:val="0"/>
              <w:spacing w:before="15" w:after="15"/>
              <w:ind w:right="-113"/>
              <w:jc w:val="both"/>
              <w:rPr>
                <w:noProof/>
                <w:sz w:val="20"/>
                <w:szCs w:val="20"/>
              </w:rPr>
            </w:pPr>
            <w:r>
              <w:rPr>
                <w:noProof/>
                <w:sz w:val="20"/>
                <w:szCs w:val="20"/>
              </w:rPr>
              <w:t>22 04 02 01</w:t>
            </w:r>
          </w:p>
        </w:tc>
        <w:tc>
          <w:tcPr>
            <w:tcW w:w="6521" w:type="dxa"/>
            <w:vAlign w:val="center"/>
          </w:tcPr>
          <w:p>
            <w:pPr>
              <w:rPr>
                <w:bCs/>
                <w:iCs/>
                <w:noProof/>
                <w:sz w:val="16"/>
                <w:szCs w:val="16"/>
              </w:rPr>
            </w:pPr>
            <w:r>
              <w:rPr>
                <w:bCs/>
                <w:iCs/>
                <w:noProof/>
                <w:sz w:val="16"/>
                <w:szCs w:val="16"/>
              </w:rPr>
              <w:t>Eastern Partnership — Human rights, good governance and mobility</w:t>
            </w:r>
          </w:p>
        </w:tc>
        <w:tc>
          <w:tcPr>
            <w:tcW w:w="1701" w:type="dxa"/>
            <w:vAlign w:val="center"/>
          </w:tcPr>
          <w:p>
            <w:pPr>
              <w:widowControl w:val="0"/>
              <w:spacing w:before="15" w:after="15"/>
              <w:jc w:val="right"/>
              <w:rPr>
                <w:noProof/>
                <w:sz w:val="20"/>
                <w:szCs w:val="20"/>
              </w:rPr>
            </w:pPr>
            <w:r>
              <w:rPr>
                <w:noProof/>
                <w:sz w:val="20"/>
                <w:szCs w:val="20"/>
              </w:rPr>
              <w:t>-25 995 110</w:t>
            </w:r>
          </w:p>
        </w:tc>
      </w:tr>
      <w:tr>
        <w:tc>
          <w:tcPr>
            <w:tcW w:w="1276" w:type="dxa"/>
            <w:vAlign w:val="center"/>
          </w:tcPr>
          <w:p>
            <w:pPr>
              <w:widowControl w:val="0"/>
              <w:spacing w:before="15" w:after="15"/>
              <w:ind w:right="-113"/>
              <w:jc w:val="both"/>
              <w:rPr>
                <w:noProof/>
                <w:sz w:val="20"/>
                <w:szCs w:val="20"/>
              </w:rPr>
            </w:pPr>
            <w:r>
              <w:rPr>
                <w:noProof/>
                <w:sz w:val="20"/>
                <w:szCs w:val="20"/>
              </w:rPr>
              <w:t>22 04 02 02</w:t>
            </w:r>
          </w:p>
        </w:tc>
        <w:tc>
          <w:tcPr>
            <w:tcW w:w="6521" w:type="dxa"/>
            <w:vAlign w:val="center"/>
          </w:tcPr>
          <w:p>
            <w:pPr>
              <w:rPr>
                <w:bCs/>
                <w:iCs/>
                <w:noProof/>
                <w:sz w:val="16"/>
                <w:szCs w:val="16"/>
              </w:rPr>
            </w:pPr>
            <w:r>
              <w:rPr>
                <w:bCs/>
                <w:iCs/>
                <w:noProof/>
                <w:sz w:val="16"/>
                <w:szCs w:val="16"/>
              </w:rPr>
              <w:t>Eastern Partnership — Poverty reduction and sustainable development</w:t>
            </w:r>
          </w:p>
        </w:tc>
        <w:tc>
          <w:tcPr>
            <w:tcW w:w="1701" w:type="dxa"/>
            <w:vAlign w:val="center"/>
          </w:tcPr>
          <w:p>
            <w:pPr>
              <w:widowControl w:val="0"/>
              <w:spacing w:before="15" w:after="15"/>
              <w:jc w:val="right"/>
              <w:rPr>
                <w:noProof/>
                <w:sz w:val="20"/>
                <w:szCs w:val="20"/>
              </w:rPr>
            </w:pPr>
            <w:r>
              <w:rPr>
                <w:noProof/>
                <w:sz w:val="20"/>
                <w:szCs w:val="20"/>
              </w:rPr>
              <w:t>-103 090 754</w:t>
            </w:r>
          </w:p>
        </w:tc>
      </w:tr>
      <w:tr>
        <w:tc>
          <w:tcPr>
            <w:tcW w:w="1276" w:type="dxa"/>
            <w:vAlign w:val="center"/>
          </w:tcPr>
          <w:p>
            <w:pPr>
              <w:widowControl w:val="0"/>
              <w:spacing w:before="15" w:after="15"/>
              <w:ind w:right="-113"/>
              <w:jc w:val="both"/>
              <w:rPr>
                <w:noProof/>
                <w:sz w:val="20"/>
                <w:szCs w:val="20"/>
              </w:rPr>
            </w:pPr>
            <w:r>
              <w:rPr>
                <w:noProof/>
                <w:sz w:val="20"/>
                <w:szCs w:val="20"/>
              </w:rPr>
              <w:t>22 04 03 03</w:t>
            </w:r>
          </w:p>
        </w:tc>
        <w:tc>
          <w:tcPr>
            <w:tcW w:w="6521" w:type="dxa"/>
            <w:vAlign w:val="center"/>
          </w:tcPr>
          <w:p>
            <w:pPr>
              <w:rPr>
                <w:bCs/>
                <w:iCs/>
                <w:noProof/>
                <w:sz w:val="16"/>
                <w:szCs w:val="16"/>
              </w:rPr>
            </w:pPr>
            <w:r>
              <w:rPr>
                <w:bCs/>
                <w:iCs/>
                <w:noProof/>
                <w:sz w:val="16"/>
                <w:szCs w:val="16"/>
              </w:rPr>
              <w:t>Support to other multi-country cooperation in the neighbourhood — Umbrella programme</w:t>
            </w:r>
          </w:p>
        </w:tc>
        <w:tc>
          <w:tcPr>
            <w:tcW w:w="1701" w:type="dxa"/>
            <w:vAlign w:val="center"/>
          </w:tcPr>
          <w:p>
            <w:pPr>
              <w:widowControl w:val="0"/>
              <w:spacing w:before="15" w:after="15"/>
              <w:jc w:val="right"/>
              <w:rPr>
                <w:noProof/>
                <w:sz w:val="20"/>
                <w:szCs w:val="20"/>
              </w:rPr>
            </w:pPr>
            <w:r>
              <w:rPr>
                <w:noProof/>
                <w:sz w:val="20"/>
                <w:szCs w:val="20"/>
              </w:rPr>
              <w:t>-58 339 566</w:t>
            </w:r>
          </w:p>
        </w:tc>
      </w:tr>
      <w:tr>
        <w:tc>
          <w:tcPr>
            <w:tcW w:w="1276" w:type="dxa"/>
            <w:vAlign w:val="center"/>
          </w:tcPr>
          <w:p>
            <w:pPr>
              <w:widowControl w:val="0"/>
              <w:spacing w:before="15" w:after="15"/>
              <w:ind w:right="-113"/>
              <w:jc w:val="both"/>
              <w:rPr>
                <w:noProof/>
                <w:sz w:val="20"/>
                <w:szCs w:val="20"/>
              </w:rPr>
            </w:pPr>
            <w:r>
              <w:rPr>
                <w:noProof/>
                <w:sz w:val="20"/>
                <w:szCs w:val="20"/>
              </w:rPr>
              <w:t>22 04 03 04</w:t>
            </w:r>
          </w:p>
        </w:tc>
        <w:tc>
          <w:tcPr>
            <w:tcW w:w="6521" w:type="dxa"/>
            <w:vAlign w:val="center"/>
          </w:tcPr>
          <w:p>
            <w:pPr>
              <w:rPr>
                <w:bCs/>
                <w:iCs/>
                <w:noProof/>
                <w:sz w:val="16"/>
                <w:szCs w:val="16"/>
              </w:rPr>
            </w:pPr>
            <w:r>
              <w:rPr>
                <w:bCs/>
                <w:iCs/>
                <w:noProof/>
                <w:sz w:val="16"/>
                <w:szCs w:val="16"/>
              </w:rPr>
              <w:t>Other multi-country cooperation in the neighbourhood — Supporting measures</w:t>
            </w:r>
          </w:p>
        </w:tc>
        <w:tc>
          <w:tcPr>
            <w:tcW w:w="1701" w:type="dxa"/>
            <w:vAlign w:val="center"/>
          </w:tcPr>
          <w:p>
            <w:pPr>
              <w:widowControl w:val="0"/>
              <w:spacing w:before="15" w:after="15"/>
              <w:jc w:val="right"/>
              <w:rPr>
                <w:noProof/>
                <w:sz w:val="20"/>
                <w:szCs w:val="20"/>
              </w:rPr>
            </w:pPr>
            <w:r>
              <w:rPr>
                <w:noProof/>
                <w:sz w:val="20"/>
                <w:szCs w:val="20"/>
              </w:rPr>
              <w:t>-1 239 476</w:t>
            </w:r>
          </w:p>
        </w:tc>
      </w:tr>
      <w:tr>
        <w:tc>
          <w:tcPr>
            <w:tcW w:w="1276" w:type="dxa"/>
            <w:vAlign w:val="center"/>
          </w:tcPr>
          <w:p>
            <w:pPr>
              <w:widowControl w:val="0"/>
              <w:spacing w:before="15" w:after="15"/>
              <w:ind w:right="-113"/>
              <w:jc w:val="both"/>
              <w:rPr>
                <w:noProof/>
                <w:sz w:val="20"/>
                <w:szCs w:val="20"/>
              </w:rPr>
            </w:pPr>
            <w:r>
              <w:rPr>
                <w:noProof/>
                <w:sz w:val="20"/>
                <w:szCs w:val="20"/>
              </w:rPr>
              <w:t>22 04 51</w:t>
            </w:r>
          </w:p>
        </w:tc>
        <w:tc>
          <w:tcPr>
            <w:tcW w:w="6521" w:type="dxa"/>
            <w:vAlign w:val="center"/>
          </w:tcPr>
          <w:p>
            <w:pPr>
              <w:rPr>
                <w:noProof/>
              </w:rPr>
            </w:pPr>
            <w:r>
              <w:rPr>
                <w:bCs/>
                <w:iCs/>
                <w:noProof/>
                <w:sz w:val="16"/>
                <w:szCs w:val="16"/>
              </w:rPr>
              <w:t>Completion of actions in the area of European Neighbourhood Policy and relations with Russia (prior to 2014)</w:t>
            </w:r>
          </w:p>
        </w:tc>
        <w:tc>
          <w:tcPr>
            <w:tcW w:w="1701" w:type="dxa"/>
            <w:vAlign w:val="center"/>
          </w:tcPr>
          <w:p>
            <w:pPr>
              <w:widowControl w:val="0"/>
              <w:spacing w:before="15" w:after="15"/>
              <w:jc w:val="right"/>
              <w:rPr>
                <w:noProof/>
                <w:sz w:val="20"/>
                <w:szCs w:val="20"/>
                <w:highlight w:val="yellow"/>
              </w:rPr>
            </w:pPr>
            <w:r>
              <w:rPr>
                <w:noProof/>
                <w:sz w:val="20"/>
                <w:szCs w:val="20"/>
              </w:rPr>
              <w:t>-97 282 992</w:t>
            </w:r>
          </w:p>
        </w:tc>
      </w:tr>
      <w:tr>
        <w:tc>
          <w:tcPr>
            <w:tcW w:w="7797" w:type="dxa"/>
            <w:gridSpan w:val="2"/>
            <w:shd w:val="clear" w:color="auto" w:fill="D9D9D9"/>
          </w:tcPr>
          <w:p>
            <w:pPr>
              <w:widowControl w:val="0"/>
              <w:tabs>
                <w:tab w:val="left" w:pos="975"/>
              </w:tabs>
              <w:spacing w:before="15" w:after="15"/>
              <w:jc w:val="both"/>
              <w:rPr>
                <w:b/>
                <w:noProof/>
                <w:sz w:val="20"/>
                <w:szCs w:val="20"/>
              </w:rPr>
            </w:pPr>
            <w:r>
              <w:rPr>
                <w:b/>
                <w:noProof/>
                <w:sz w:val="20"/>
                <w:szCs w:val="20"/>
              </w:rPr>
              <w:t>Total</w:t>
            </w:r>
            <w:r>
              <w:rPr>
                <w:b/>
                <w:noProof/>
                <w:sz w:val="20"/>
                <w:szCs w:val="20"/>
              </w:rPr>
              <w:tab/>
            </w:r>
          </w:p>
        </w:tc>
        <w:tc>
          <w:tcPr>
            <w:tcW w:w="1701" w:type="dxa"/>
            <w:shd w:val="clear" w:color="auto" w:fill="D9D9D9"/>
          </w:tcPr>
          <w:p>
            <w:pPr>
              <w:widowControl w:val="0"/>
              <w:spacing w:before="15" w:after="15"/>
              <w:jc w:val="right"/>
              <w:rPr>
                <w:b/>
                <w:noProof/>
                <w:sz w:val="20"/>
                <w:szCs w:val="20"/>
              </w:rPr>
            </w:pPr>
            <w:r>
              <w:rPr>
                <w:b/>
                <w:noProof/>
                <w:sz w:val="20"/>
                <w:szCs w:val="20"/>
              </w:rPr>
              <w:t>-434 136 669</w:t>
            </w:r>
          </w:p>
        </w:tc>
      </w:tr>
    </w:tbl>
    <w:p>
      <w:pPr>
        <w:keepNext/>
        <w:tabs>
          <w:tab w:val="left" w:pos="850"/>
        </w:tabs>
        <w:spacing w:before="360" w:after="120"/>
        <w:ind w:left="850" w:hanging="850"/>
        <w:jc w:val="both"/>
        <w:outlineLvl w:val="1"/>
        <w:rPr>
          <w:rFonts w:eastAsia="Calibri"/>
          <w:b/>
          <w:noProof/>
          <w:lang w:eastAsia="de-DE"/>
        </w:rPr>
      </w:pPr>
      <w:bookmarkStart w:id="35" w:name="_Toc494994376"/>
      <w:r>
        <w:rPr>
          <w:rFonts w:eastAsia="Calibri"/>
          <w:b/>
          <w:noProof/>
          <w:lang w:eastAsia="de-DE"/>
        </w:rPr>
        <w:t>2.5</w:t>
      </w:r>
      <w:r>
        <w:rPr>
          <w:rFonts w:eastAsia="Calibri"/>
          <w:b/>
          <w:noProof/>
          <w:lang w:eastAsia="de-DE"/>
        </w:rPr>
        <w:tab/>
        <w:t>European Union Solidarity Fund (EUSF)</w:t>
      </w:r>
      <w:bookmarkEnd w:id="35"/>
    </w:p>
    <w:p>
      <w:pPr>
        <w:autoSpaceDE w:val="0"/>
        <w:autoSpaceDN w:val="0"/>
        <w:adjustRightInd w:val="0"/>
        <w:spacing w:before="120" w:after="240"/>
        <w:jc w:val="both"/>
        <w:rPr>
          <w:noProof/>
        </w:rPr>
      </w:pPr>
      <w:r>
        <w:rPr>
          <w:noProof/>
        </w:rPr>
        <w:t>There has been no request in 2017 for pre-financing under the EUSF and the full amount of EUR 50 million entered in the 2017 budget for this purpose at the time of its adoption is still available. At this stage the Commission proposes to keep EUR 4 million on budget article 13 06 01 to face any unexpected request. Consequently, EUR 46 million, in both commitment and payment appropriations, may be released.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961"/>
        <w:gridCol w:w="1701"/>
        <w:gridCol w:w="1701"/>
      </w:tblGrid>
      <w:tr>
        <w:tc>
          <w:tcPr>
            <w:tcW w:w="1276" w:type="dxa"/>
            <w:shd w:val="clear" w:color="auto" w:fill="D9D9D9"/>
            <w:vAlign w:val="center"/>
          </w:tcPr>
          <w:p>
            <w:pPr>
              <w:widowControl w:val="0"/>
              <w:spacing w:before="15" w:after="15"/>
              <w:jc w:val="center"/>
              <w:rPr>
                <w:b/>
                <w:noProof/>
                <w:sz w:val="20"/>
                <w:szCs w:val="20"/>
              </w:rPr>
            </w:pPr>
            <w:r>
              <w:rPr>
                <w:b/>
                <w:noProof/>
                <w:sz w:val="20"/>
                <w:szCs w:val="20"/>
              </w:rPr>
              <w:t>Budget line</w:t>
            </w:r>
          </w:p>
        </w:tc>
        <w:tc>
          <w:tcPr>
            <w:tcW w:w="4961" w:type="dxa"/>
            <w:shd w:val="clear" w:color="auto" w:fill="D9D9D9"/>
            <w:vAlign w:val="center"/>
          </w:tcPr>
          <w:p>
            <w:pPr>
              <w:widowControl w:val="0"/>
              <w:spacing w:before="15" w:after="15"/>
              <w:jc w:val="center"/>
              <w:rPr>
                <w:b/>
                <w:noProof/>
                <w:sz w:val="20"/>
                <w:szCs w:val="20"/>
              </w:rPr>
            </w:pPr>
            <w:r>
              <w:rPr>
                <w:b/>
                <w:noProof/>
                <w:sz w:val="20"/>
                <w:szCs w:val="20"/>
              </w:rPr>
              <w:t>Name</w:t>
            </w:r>
          </w:p>
        </w:tc>
        <w:tc>
          <w:tcPr>
            <w:tcW w:w="1701" w:type="dxa"/>
            <w:shd w:val="clear" w:color="auto" w:fill="D9D9D9"/>
            <w:vAlign w:val="center"/>
          </w:tcPr>
          <w:p>
            <w:pPr>
              <w:widowControl w:val="0"/>
              <w:spacing w:before="15" w:after="15"/>
              <w:jc w:val="center"/>
              <w:rPr>
                <w:b/>
                <w:noProof/>
                <w:sz w:val="20"/>
                <w:szCs w:val="20"/>
              </w:rPr>
            </w:pPr>
            <w:r>
              <w:rPr>
                <w:b/>
                <w:noProof/>
                <w:sz w:val="20"/>
                <w:szCs w:val="20"/>
              </w:rPr>
              <w:t>Commitment appropriations</w:t>
            </w:r>
          </w:p>
        </w:tc>
        <w:tc>
          <w:tcPr>
            <w:tcW w:w="1701" w:type="dxa"/>
            <w:shd w:val="clear" w:color="auto" w:fill="D9D9D9"/>
            <w:vAlign w:val="center"/>
          </w:tcPr>
          <w:p>
            <w:pPr>
              <w:widowControl w:val="0"/>
              <w:spacing w:before="15" w:after="15"/>
              <w:jc w:val="center"/>
              <w:rPr>
                <w:b/>
                <w:noProof/>
                <w:sz w:val="20"/>
                <w:szCs w:val="20"/>
              </w:rPr>
            </w:pPr>
            <w:r>
              <w:rPr>
                <w:b/>
                <w:noProof/>
                <w:sz w:val="20"/>
                <w:szCs w:val="20"/>
              </w:rPr>
              <w:t>Payment appropriations</w:t>
            </w:r>
          </w:p>
        </w:tc>
      </w:tr>
      <w:tr>
        <w:tc>
          <w:tcPr>
            <w:tcW w:w="1276" w:type="dxa"/>
            <w:vAlign w:val="center"/>
          </w:tcPr>
          <w:p>
            <w:pPr>
              <w:widowControl w:val="0"/>
              <w:spacing w:before="15" w:after="15"/>
              <w:ind w:right="-113"/>
              <w:jc w:val="both"/>
              <w:rPr>
                <w:noProof/>
                <w:sz w:val="20"/>
                <w:szCs w:val="20"/>
              </w:rPr>
            </w:pPr>
            <w:r>
              <w:rPr>
                <w:noProof/>
                <w:sz w:val="20"/>
                <w:szCs w:val="20"/>
              </w:rPr>
              <w:t>13 06 01</w:t>
            </w:r>
          </w:p>
        </w:tc>
        <w:tc>
          <w:tcPr>
            <w:tcW w:w="4961" w:type="dxa"/>
            <w:vAlign w:val="center"/>
          </w:tcPr>
          <w:p>
            <w:pPr>
              <w:widowControl w:val="0"/>
              <w:tabs>
                <w:tab w:val="left" w:pos="1350"/>
              </w:tabs>
              <w:spacing w:before="15" w:after="15"/>
              <w:jc w:val="both"/>
              <w:rPr>
                <w:noProof/>
                <w:sz w:val="16"/>
                <w:szCs w:val="16"/>
              </w:rPr>
            </w:pPr>
            <w:r>
              <w:rPr>
                <w:bCs/>
                <w:iCs/>
                <w:noProof/>
                <w:sz w:val="16"/>
                <w:szCs w:val="16"/>
              </w:rPr>
              <w:t>Assistance to Member States in the event of a major natural disaster with serious repercussions on living conditions, the natural environment or the economy</w:t>
            </w:r>
          </w:p>
        </w:tc>
        <w:tc>
          <w:tcPr>
            <w:tcW w:w="1701" w:type="dxa"/>
            <w:vAlign w:val="center"/>
          </w:tcPr>
          <w:p>
            <w:pPr>
              <w:widowControl w:val="0"/>
              <w:spacing w:before="15" w:after="15"/>
              <w:jc w:val="right"/>
              <w:rPr>
                <w:noProof/>
                <w:sz w:val="20"/>
                <w:szCs w:val="20"/>
              </w:rPr>
            </w:pPr>
            <w:r>
              <w:rPr>
                <w:noProof/>
                <w:sz w:val="20"/>
                <w:szCs w:val="20"/>
              </w:rPr>
              <w:t>-46 000 000</w:t>
            </w:r>
          </w:p>
        </w:tc>
        <w:tc>
          <w:tcPr>
            <w:tcW w:w="1701" w:type="dxa"/>
            <w:vAlign w:val="center"/>
          </w:tcPr>
          <w:p>
            <w:pPr>
              <w:widowControl w:val="0"/>
              <w:spacing w:before="15" w:after="15"/>
              <w:jc w:val="right"/>
              <w:rPr>
                <w:noProof/>
                <w:sz w:val="20"/>
                <w:szCs w:val="20"/>
              </w:rPr>
            </w:pPr>
            <w:r>
              <w:rPr>
                <w:noProof/>
                <w:sz w:val="20"/>
                <w:szCs w:val="20"/>
              </w:rPr>
              <w:t>-46 000 000</w:t>
            </w:r>
          </w:p>
        </w:tc>
      </w:tr>
      <w:tr>
        <w:tc>
          <w:tcPr>
            <w:tcW w:w="6237" w:type="dxa"/>
            <w:gridSpan w:val="2"/>
            <w:shd w:val="clear" w:color="auto" w:fill="D9D9D9"/>
          </w:tcPr>
          <w:p>
            <w:pPr>
              <w:widowControl w:val="0"/>
              <w:tabs>
                <w:tab w:val="left" w:pos="975"/>
              </w:tabs>
              <w:spacing w:before="15" w:after="15"/>
              <w:jc w:val="both"/>
              <w:rPr>
                <w:b/>
                <w:noProof/>
                <w:sz w:val="20"/>
                <w:szCs w:val="20"/>
              </w:rPr>
            </w:pPr>
            <w:r>
              <w:rPr>
                <w:b/>
                <w:noProof/>
                <w:sz w:val="20"/>
                <w:szCs w:val="20"/>
              </w:rPr>
              <w:t>Total</w:t>
            </w:r>
            <w:r>
              <w:rPr>
                <w:b/>
                <w:noProof/>
                <w:sz w:val="20"/>
                <w:szCs w:val="20"/>
              </w:rPr>
              <w:tab/>
            </w:r>
          </w:p>
        </w:tc>
        <w:tc>
          <w:tcPr>
            <w:tcW w:w="1701" w:type="dxa"/>
            <w:shd w:val="clear" w:color="auto" w:fill="D9D9D9"/>
          </w:tcPr>
          <w:p>
            <w:pPr>
              <w:widowControl w:val="0"/>
              <w:spacing w:before="15" w:after="15"/>
              <w:jc w:val="right"/>
              <w:rPr>
                <w:b/>
                <w:noProof/>
                <w:sz w:val="20"/>
                <w:szCs w:val="20"/>
              </w:rPr>
            </w:pPr>
            <w:r>
              <w:rPr>
                <w:b/>
                <w:noProof/>
                <w:sz w:val="20"/>
                <w:szCs w:val="20"/>
              </w:rPr>
              <w:t>-46 000 000</w:t>
            </w:r>
          </w:p>
        </w:tc>
        <w:tc>
          <w:tcPr>
            <w:tcW w:w="1701" w:type="dxa"/>
            <w:shd w:val="clear" w:color="auto" w:fill="D9D9D9"/>
          </w:tcPr>
          <w:p>
            <w:pPr>
              <w:widowControl w:val="0"/>
              <w:spacing w:before="15" w:after="15"/>
              <w:jc w:val="right"/>
              <w:rPr>
                <w:b/>
                <w:noProof/>
                <w:sz w:val="20"/>
                <w:szCs w:val="20"/>
              </w:rPr>
            </w:pPr>
            <w:r>
              <w:rPr>
                <w:b/>
                <w:noProof/>
                <w:sz w:val="20"/>
                <w:szCs w:val="20"/>
              </w:rPr>
              <w:t>-46 000 000</w:t>
            </w:r>
          </w:p>
        </w:tc>
      </w:tr>
    </w:tbl>
    <w:p>
      <w:pPr>
        <w:keepNext/>
        <w:tabs>
          <w:tab w:val="left" w:pos="850"/>
        </w:tabs>
        <w:spacing w:before="240" w:after="120"/>
        <w:ind w:left="851" w:hanging="851"/>
        <w:jc w:val="both"/>
        <w:outlineLvl w:val="0"/>
        <w:rPr>
          <w:noProof/>
        </w:rPr>
      </w:pPr>
      <w:bookmarkStart w:id="36" w:name="_Toc494994377"/>
      <w:r>
        <w:rPr>
          <w:b/>
          <w:smallCaps/>
          <w:noProof/>
          <w:lang w:eastAsia="de-DE"/>
        </w:rPr>
        <w:t>3.</w:t>
      </w:r>
      <w:r>
        <w:rPr>
          <w:b/>
          <w:smallCaps/>
          <w:noProof/>
          <w:lang w:eastAsia="de-DE"/>
        </w:rPr>
        <w:tab/>
        <w:t>Update of revenue</w:t>
      </w:r>
      <w:bookmarkEnd w:id="36"/>
      <w:r>
        <w:rPr>
          <w:b/>
          <w:smallCaps/>
          <w:noProof/>
          <w:lang w:eastAsia="de-DE"/>
        </w:rPr>
        <w:t xml:space="preserve"> </w:t>
      </w:r>
    </w:p>
    <w:p>
      <w:pPr>
        <w:keepNext/>
        <w:tabs>
          <w:tab w:val="left" w:pos="850"/>
        </w:tabs>
        <w:spacing w:before="360" w:after="120"/>
        <w:ind w:left="850" w:hanging="850"/>
        <w:jc w:val="both"/>
        <w:outlineLvl w:val="1"/>
        <w:rPr>
          <w:rFonts w:eastAsia="Calibri"/>
          <w:b/>
          <w:noProof/>
          <w:lang w:eastAsia="de-DE"/>
        </w:rPr>
      </w:pPr>
      <w:bookmarkStart w:id="37" w:name="_Toc462410058"/>
      <w:bookmarkStart w:id="38" w:name="_Toc494994378"/>
      <w:r>
        <w:rPr>
          <w:rFonts w:eastAsia="Calibri"/>
          <w:b/>
          <w:noProof/>
          <w:lang w:eastAsia="de-DE"/>
        </w:rPr>
        <w:t>3.1</w:t>
      </w:r>
      <w:r>
        <w:rPr>
          <w:rFonts w:eastAsia="Calibri"/>
          <w:b/>
          <w:noProof/>
          <w:lang w:eastAsia="de-DE"/>
        </w:rPr>
        <w:tab/>
        <w:t>Overall impact of DAB 6/2017 on the distribution of total own resources payments between Member States</w:t>
      </w:r>
      <w:bookmarkEnd w:id="37"/>
      <w:bookmarkEnd w:id="38"/>
    </w:p>
    <w:p>
      <w:pPr>
        <w:spacing w:before="120" w:after="120"/>
        <w:jc w:val="both"/>
        <w:rPr>
          <w:noProof/>
        </w:rPr>
      </w:pPr>
      <w:r>
        <w:rPr>
          <w:noProof/>
        </w:rPr>
        <w:t>As the present DAB decreases the payment appropriations of the 2017 budget, it will therefore have an impact on the total amount payable by Member States towards this budget. However there are also three adjustments on the revenue side of the budget which need to be taken into account. The first of these adjustments is an update of the estimates for Traditional Own Resources (TOR), as well as the Value Added Tax (VAT) and Gross National Income (GNI) resources, which are updated to take account of more recent economic forecasts. The second and third adjustments on the revenue side concern the update of the UK correction and the level of competition fines that has become definitive at the end of September 2017. These three adjustments are presented in sections 3.2, 3.3 and 3.4, below.</w:t>
      </w:r>
    </w:p>
    <w:p>
      <w:pPr>
        <w:spacing w:before="120" w:after="120"/>
        <w:jc w:val="both"/>
        <w:rPr>
          <w:noProof/>
          <w:lang w:eastAsia="de-DE"/>
        </w:rPr>
      </w:pPr>
      <w:r>
        <w:rPr>
          <w:noProof/>
        </w:rPr>
        <w:t xml:space="preserve">The overall impact of both the expenditure and the revenue adjustments of this DAB is shown in the summary table below. This table also shows the distribution of total own resources payments between Member States: as budgeted in </w:t>
      </w:r>
      <w:r>
        <w:rPr>
          <w:noProof/>
          <w:lang w:eastAsia="de-DE"/>
        </w:rPr>
        <w:t>the 2017 budget, as amended in Amending Budget (AB) 2/2017</w:t>
      </w:r>
      <w:r>
        <w:rPr>
          <w:noProof/>
          <w:vertAlign w:val="superscript"/>
          <w:lang w:eastAsia="de-DE"/>
        </w:rPr>
        <w:footnoteReference w:id="12"/>
      </w:r>
      <w:r>
        <w:rPr>
          <w:noProof/>
          <w:lang w:eastAsia="de-DE"/>
        </w:rPr>
        <w:t>, and finally in the present DAB.</w:t>
      </w:r>
    </w:p>
    <w:p>
      <w:pPr>
        <w:jc w:val="center"/>
        <w:rPr>
          <w:b/>
          <w:noProof/>
        </w:rPr>
      </w:pPr>
      <w:r>
        <w:rPr>
          <w:b/>
          <w:noProof/>
        </w:rPr>
        <w:t>Distribution of total own resources payments by Member States (in million EUR)</w:t>
      </w:r>
    </w:p>
    <w:p>
      <w:pPr>
        <w:rPr>
          <w:b/>
          <w:noProof/>
        </w:rPr>
      </w:pPr>
    </w:p>
    <w:tbl>
      <w:tblPr>
        <w:tblW w:w="5440" w:type="dxa"/>
        <w:jc w:val="center"/>
        <w:tblLook w:val="04A0" w:firstRow="1" w:lastRow="0" w:firstColumn="1" w:lastColumn="0" w:noHBand="0" w:noVBand="1"/>
      </w:tblPr>
      <w:tblGrid>
        <w:gridCol w:w="960"/>
        <w:gridCol w:w="1460"/>
        <w:gridCol w:w="1520"/>
        <w:gridCol w:w="1500"/>
      </w:tblGrid>
      <w:tr>
        <w:trPr>
          <w:trHeight w:val="230"/>
          <w:tblHeader/>
          <w:jc w:val="center"/>
        </w:trPr>
        <w:tc>
          <w:tcPr>
            <w:tcW w:w="96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pPr>
              <w:jc w:val="center"/>
              <w:rPr>
                <w:b/>
                <w:bCs/>
                <w:noProof/>
                <w:color w:val="000000"/>
                <w:sz w:val="20"/>
                <w:szCs w:val="20"/>
              </w:rPr>
            </w:pPr>
          </w:p>
        </w:tc>
        <w:tc>
          <w:tcPr>
            <w:tcW w:w="1460" w:type="dxa"/>
            <w:vMerge w:val="restart"/>
            <w:tcBorders>
              <w:top w:val="single" w:sz="8" w:space="0" w:color="auto"/>
              <w:left w:val="single" w:sz="4" w:space="0" w:color="auto"/>
              <w:bottom w:val="single" w:sz="4" w:space="0" w:color="000000"/>
              <w:right w:val="single" w:sz="4" w:space="0" w:color="auto"/>
            </w:tcBorders>
            <w:shd w:val="clear" w:color="000000" w:fill="E0E0E0"/>
            <w:vAlign w:val="center"/>
            <w:hideMark/>
          </w:tcPr>
          <w:p>
            <w:pPr>
              <w:jc w:val="center"/>
              <w:rPr>
                <w:b/>
                <w:bCs/>
                <w:noProof/>
                <w:color w:val="000000"/>
                <w:sz w:val="20"/>
                <w:szCs w:val="20"/>
              </w:rPr>
            </w:pPr>
            <w:r>
              <w:rPr>
                <w:b/>
                <w:bCs/>
                <w:noProof/>
                <w:color w:val="000000"/>
                <w:sz w:val="20"/>
                <w:szCs w:val="20"/>
              </w:rPr>
              <w:t>Budget 2017</w:t>
            </w:r>
          </w:p>
        </w:tc>
        <w:tc>
          <w:tcPr>
            <w:tcW w:w="1520" w:type="dxa"/>
            <w:vMerge w:val="restart"/>
            <w:tcBorders>
              <w:top w:val="single" w:sz="8" w:space="0" w:color="auto"/>
              <w:left w:val="single" w:sz="4" w:space="0" w:color="auto"/>
              <w:bottom w:val="single" w:sz="4" w:space="0" w:color="000000"/>
              <w:right w:val="single" w:sz="4" w:space="0" w:color="auto"/>
            </w:tcBorders>
            <w:shd w:val="clear" w:color="000000" w:fill="E0E0E0"/>
            <w:vAlign w:val="center"/>
            <w:hideMark/>
          </w:tcPr>
          <w:p>
            <w:pPr>
              <w:jc w:val="center"/>
              <w:rPr>
                <w:b/>
                <w:bCs/>
                <w:noProof/>
                <w:color w:val="000000"/>
                <w:sz w:val="20"/>
                <w:szCs w:val="20"/>
              </w:rPr>
            </w:pPr>
            <w:r>
              <w:rPr>
                <w:b/>
                <w:bCs/>
                <w:noProof/>
                <w:color w:val="000000"/>
                <w:sz w:val="20"/>
                <w:szCs w:val="20"/>
              </w:rPr>
              <w:t>AB 2/2017</w:t>
            </w:r>
          </w:p>
        </w:tc>
        <w:tc>
          <w:tcPr>
            <w:tcW w:w="1500" w:type="dxa"/>
            <w:vMerge w:val="restart"/>
            <w:tcBorders>
              <w:top w:val="single" w:sz="8" w:space="0" w:color="auto"/>
              <w:left w:val="single" w:sz="4" w:space="0" w:color="auto"/>
              <w:bottom w:val="single" w:sz="4" w:space="0" w:color="000000"/>
              <w:right w:val="single" w:sz="4" w:space="0" w:color="auto"/>
            </w:tcBorders>
            <w:shd w:val="clear" w:color="000000" w:fill="E0E0E0"/>
            <w:vAlign w:val="center"/>
            <w:hideMark/>
          </w:tcPr>
          <w:p>
            <w:pPr>
              <w:jc w:val="center"/>
              <w:rPr>
                <w:b/>
                <w:bCs/>
                <w:noProof/>
                <w:color w:val="000000"/>
                <w:sz w:val="20"/>
                <w:szCs w:val="20"/>
              </w:rPr>
            </w:pPr>
            <w:r>
              <w:rPr>
                <w:b/>
                <w:bCs/>
                <w:noProof/>
                <w:color w:val="000000"/>
                <w:sz w:val="20"/>
                <w:szCs w:val="20"/>
              </w:rPr>
              <w:t>DAB 6/2017</w:t>
            </w:r>
          </w:p>
        </w:tc>
      </w:tr>
      <w:tr>
        <w:trPr>
          <w:trHeight w:val="230"/>
          <w:tblHeader/>
          <w:jc w:val="center"/>
        </w:trPr>
        <w:tc>
          <w:tcPr>
            <w:tcW w:w="960" w:type="dxa"/>
            <w:vMerge/>
            <w:tcBorders>
              <w:top w:val="single" w:sz="8" w:space="0" w:color="auto"/>
              <w:left w:val="single" w:sz="8" w:space="0" w:color="auto"/>
              <w:bottom w:val="single" w:sz="4" w:space="0" w:color="000000"/>
              <w:right w:val="single" w:sz="4" w:space="0" w:color="auto"/>
            </w:tcBorders>
            <w:vAlign w:val="center"/>
            <w:hideMark/>
          </w:tcPr>
          <w:p>
            <w:pPr>
              <w:rPr>
                <w:b/>
                <w:bCs/>
                <w:noProof/>
                <w:color w:val="000000"/>
                <w:sz w:val="20"/>
                <w:szCs w:val="20"/>
              </w:rPr>
            </w:pPr>
          </w:p>
        </w:tc>
        <w:tc>
          <w:tcPr>
            <w:tcW w:w="1460" w:type="dxa"/>
            <w:vMerge/>
            <w:tcBorders>
              <w:top w:val="single" w:sz="8" w:space="0" w:color="auto"/>
              <w:left w:val="single" w:sz="4" w:space="0" w:color="auto"/>
              <w:bottom w:val="single" w:sz="4" w:space="0" w:color="000000"/>
              <w:right w:val="single" w:sz="4" w:space="0" w:color="auto"/>
            </w:tcBorders>
            <w:vAlign w:val="center"/>
            <w:hideMark/>
          </w:tcPr>
          <w:p>
            <w:pPr>
              <w:rPr>
                <w:b/>
                <w:bCs/>
                <w:noProof/>
                <w:color w:val="000000"/>
                <w:sz w:val="20"/>
                <w:szCs w:val="20"/>
              </w:rPr>
            </w:pPr>
          </w:p>
        </w:tc>
        <w:tc>
          <w:tcPr>
            <w:tcW w:w="1520" w:type="dxa"/>
            <w:vMerge/>
            <w:tcBorders>
              <w:top w:val="single" w:sz="8" w:space="0" w:color="auto"/>
              <w:left w:val="single" w:sz="4" w:space="0" w:color="auto"/>
              <w:bottom w:val="single" w:sz="4" w:space="0" w:color="000000"/>
              <w:right w:val="single" w:sz="4" w:space="0" w:color="auto"/>
            </w:tcBorders>
            <w:vAlign w:val="center"/>
            <w:hideMark/>
          </w:tcPr>
          <w:p>
            <w:pPr>
              <w:rPr>
                <w:b/>
                <w:bCs/>
                <w:noProof/>
                <w:color w:val="000000"/>
                <w:sz w:val="20"/>
                <w:szCs w:val="20"/>
              </w:rPr>
            </w:pPr>
          </w:p>
        </w:tc>
        <w:tc>
          <w:tcPr>
            <w:tcW w:w="1500" w:type="dxa"/>
            <w:vMerge/>
            <w:tcBorders>
              <w:top w:val="single" w:sz="8" w:space="0" w:color="auto"/>
              <w:left w:val="single" w:sz="4" w:space="0" w:color="auto"/>
              <w:bottom w:val="single" w:sz="4" w:space="0" w:color="000000"/>
              <w:right w:val="single" w:sz="4" w:space="0" w:color="auto"/>
            </w:tcBorders>
            <w:vAlign w:val="center"/>
            <w:hideMark/>
          </w:tcPr>
          <w:p>
            <w:pPr>
              <w:rPr>
                <w:b/>
                <w:bCs/>
                <w:noProof/>
                <w:color w:val="000000"/>
                <w:sz w:val="20"/>
                <w:szCs w:val="20"/>
              </w:rPr>
            </w:pPr>
          </w:p>
        </w:tc>
      </w:tr>
      <w:tr>
        <w:trPr>
          <w:trHeight w:val="20"/>
          <w:tblHeader/>
          <w:jc w:val="center"/>
        </w:trPr>
        <w:tc>
          <w:tcPr>
            <w:tcW w:w="960" w:type="dxa"/>
            <w:vMerge/>
            <w:tcBorders>
              <w:top w:val="single" w:sz="8" w:space="0" w:color="auto"/>
              <w:left w:val="single" w:sz="8" w:space="0" w:color="auto"/>
              <w:bottom w:val="single" w:sz="4" w:space="0" w:color="000000"/>
              <w:right w:val="single" w:sz="4" w:space="0" w:color="auto"/>
            </w:tcBorders>
            <w:vAlign w:val="center"/>
            <w:hideMark/>
          </w:tcPr>
          <w:p>
            <w:pPr>
              <w:rPr>
                <w:b/>
                <w:bCs/>
                <w:noProof/>
                <w:color w:val="000000"/>
                <w:sz w:val="20"/>
                <w:szCs w:val="20"/>
              </w:rPr>
            </w:pPr>
          </w:p>
        </w:tc>
        <w:tc>
          <w:tcPr>
            <w:tcW w:w="1460" w:type="dxa"/>
            <w:tcBorders>
              <w:top w:val="nil"/>
              <w:left w:val="nil"/>
              <w:bottom w:val="single" w:sz="4" w:space="0" w:color="auto"/>
              <w:right w:val="single" w:sz="4" w:space="0" w:color="auto"/>
            </w:tcBorders>
            <w:shd w:val="clear" w:color="000000" w:fill="E0E0E0"/>
            <w:vAlign w:val="center"/>
            <w:hideMark/>
          </w:tcPr>
          <w:p>
            <w:pPr>
              <w:jc w:val="center"/>
              <w:rPr>
                <w:noProof/>
                <w:color w:val="000000"/>
                <w:sz w:val="20"/>
                <w:szCs w:val="20"/>
              </w:rPr>
            </w:pPr>
            <w:r>
              <w:rPr>
                <w:noProof/>
                <w:color w:val="000000"/>
                <w:sz w:val="20"/>
                <w:szCs w:val="20"/>
              </w:rPr>
              <w:t>(1)</w:t>
            </w:r>
          </w:p>
        </w:tc>
        <w:tc>
          <w:tcPr>
            <w:tcW w:w="1520" w:type="dxa"/>
            <w:tcBorders>
              <w:top w:val="nil"/>
              <w:left w:val="nil"/>
              <w:bottom w:val="single" w:sz="4" w:space="0" w:color="auto"/>
              <w:right w:val="single" w:sz="4" w:space="0" w:color="auto"/>
            </w:tcBorders>
            <w:shd w:val="clear" w:color="000000" w:fill="E0E0E0"/>
            <w:vAlign w:val="center"/>
            <w:hideMark/>
          </w:tcPr>
          <w:p>
            <w:pPr>
              <w:jc w:val="center"/>
              <w:rPr>
                <w:noProof/>
                <w:color w:val="000000"/>
                <w:sz w:val="20"/>
                <w:szCs w:val="20"/>
              </w:rPr>
            </w:pPr>
            <w:r>
              <w:rPr>
                <w:noProof/>
                <w:color w:val="000000"/>
                <w:sz w:val="20"/>
                <w:szCs w:val="20"/>
              </w:rPr>
              <w:t>(2)</w:t>
            </w:r>
          </w:p>
        </w:tc>
        <w:tc>
          <w:tcPr>
            <w:tcW w:w="1500" w:type="dxa"/>
            <w:tcBorders>
              <w:top w:val="nil"/>
              <w:left w:val="nil"/>
              <w:bottom w:val="single" w:sz="4" w:space="0" w:color="auto"/>
              <w:right w:val="single" w:sz="4" w:space="0" w:color="auto"/>
            </w:tcBorders>
            <w:shd w:val="clear" w:color="000000" w:fill="E0E0E0"/>
            <w:vAlign w:val="center"/>
            <w:hideMark/>
          </w:tcPr>
          <w:p>
            <w:pPr>
              <w:jc w:val="center"/>
              <w:rPr>
                <w:noProof/>
                <w:color w:val="000000"/>
                <w:sz w:val="20"/>
                <w:szCs w:val="20"/>
              </w:rPr>
            </w:pPr>
            <w:r>
              <w:rPr>
                <w:noProof/>
                <w:color w:val="000000"/>
                <w:sz w:val="20"/>
                <w:szCs w:val="20"/>
              </w:rPr>
              <w:t>(3)</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bCs/>
                <w:noProof/>
                <w:color w:val="000000"/>
                <w:sz w:val="20"/>
                <w:szCs w:val="20"/>
              </w:rPr>
              <w:t>BE</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szCs w:val="20"/>
              </w:rPr>
              <w:t>5 593,8</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szCs w:val="20"/>
              </w:rPr>
              <w:t>5 412,4</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szCs w:val="20"/>
              </w:rPr>
              <w:t>5 232,8</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bCs/>
                <w:noProof/>
                <w:color w:val="000000"/>
                <w:sz w:val="20"/>
                <w:szCs w:val="20"/>
              </w:rPr>
              <w:t>BG</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szCs w:val="20"/>
              </w:rPr>
              <w:t xml:space="preserve"> 437,1</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szCs w:val="20"/>
              </w:rPr>
              <w:t xml:space="preserve"> 418,4</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szCs w:val="20"/>
              </w:rPr>
              <w:t>425,3</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bCs/>
                <w:noProof/>
                <w:color w:val="000000"/>
                <w:sz w:val="20"/>
                <w:szCs w:val="20"/>
              </w:rPr>
              <w:t>CZ</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szCs w:val="20"/>
              </w:rPr>
              <w:t>1 591,4</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szCs w:val="20"/>
              </w:rPr>
              <w:t>1 523,0</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szCs w:val="20"/>
              </w:rPr>
              <w:t>1 459,0</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bCs/>
                <w:noProof/>
                <w:color w:val="000000"/>
                <w:sz w:val="20"/>
                <w:szCs w:val="20"/>
              </w:rPr>
              <w:t>DK</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szCs w:val="20"/>
              </w:rPr>
              <w:t>2 562,8</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szCs w:val="20"/>
              </w:rPr>
              <w:t>2 441,6</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szCs w:val="20"/>
              </w:rPr>
              <w:t>2 234,4</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bCs/>
                <w:noProof/>
                <w:color w:val="000000"/>
                <w:sz w:val="20"/>
                <w:szCs w:val="20"/>
              </w:rPr>
              <w:t>DE</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szCs w:val="20"/>
              </w:rPr>
              <w:t>27 133,2</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szCs w:val="20"/>
              </w:rPr>
              <w:t>25 759,2</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szCs w:val="20"/>
              </w:rPr>
              <w:t>23 823,1</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bCs/>
                <w:noProof/>
                <w:color w:val="000000"/>
                <w:sz w:val="20"/>
                <w:szCs w:val="20"/>
              </w:rPr>
              <w:t>EE</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szCs w:val="20"/>
              </w:rPr>
              <w:t xml:space="preserve"> 210,4</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szCs w:val="20"/>
              </w:rPr>
              <w:t xml:space="preserve"> 201,3</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szCs w:val="20"/>
              </w:rPr>
              <w:t>187,8</w:t>
            </w:r>
          </w:p>
        </w:tc>
      </w:tr>
      <w:tr>
        <w:trPr>
          <w:trHeight w:val="20"/>
          <w:jc w:val="center"/>
        </w:trPr>
        <w:tc>
          <w:tcPr>
            <w:tcW w:w="960" w:type="dxa"/>
            <w:tcBorders>
              <w:top w:val="single" w:sz="4" w:space="0" w:color="auto"/>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bCs/>
                <w:noProof/>
                <w:color w:val="000000"/>
                <w:sz w:val="20"/>
                <w:szCs w:val="20"/>
              </w:rPr>
              <w:t>IE</w:t>
            </w:r>
          </w:p>
        </w:tc>
        <w:tc>
          <w:tcPr>
            <w:tcW w:w="1460" w:type="dxa"/>
            <w:tcBorders>
              <w:top w:val="single" w:sz="4" w:space="0" w:color="auto"/>
              <w:left w:val="nil"/>
              <w:bottom w:val="nil"/>
              <w:right w:val="single" w:sz="4" w:space="0" w:color="auto"/>
            </w:tcBorders>
            <w:shd w:val="clear" w:color="auto" w:fill="auto"/>
            <w:noWrap/>
            <w:vAlign w:val="center"/>
          </w:tcPr>
          <w:p>
            <w:pPr>
              <w:jc w:val="right"/>
              <w:rPr>
                <w:noProof/>
                <w:sz w:val="20"/>
                <w:szCs w:val="20"/>
                <w:highlight w:val="yellow"/>
              </w:rPr>
            </w:pPr>
            <w:r>
              <w:rPr>
                <w:noProof/>
                <w:sz w:val="20"/>
                <w:szCs w:val="20"/>
              </w:rPr>
              <w:t>1 966,4</w:t>
            </w:r>
          </w:p>
        </w:tc>
        <w:tc>
          <w:tcPr>
            <w:tcW w:w="1520" w:type="dxa"/>
            <w:tcBorders>
              <w:top w:val="single" w:sz="4" w:space="0" w:color="auto"/>
              <w:left w:val="nil"/>
              <w:bottom w:val="nil"/>
              <w:right w:val="single" w:sz="4" w:space="0" w:color="auto"/>
            </w:tcBorders>
            <w:shd w:val="clear" w:color="auto" w:fill="auto"/>
            <w:noWrap/>
            <w:vAlign w:val="center"/>
          </w:tcPr>
          <w:p>
            <w:pPr>
              <w:jc w:val="right"/>
              <w:rPr>
                <w:noProof/>
                <w:sz w:val="20"/>
                <w:szCs w:val="20"/>
                <w:highlight w:val="yellow"/>
              </w:rPr>
            </w:pPr>
            <w:r>
              <w:rPr>
                <w:noProof/>
                <w:sz w:val="20"/>
                <w:szCs w:val="20"/>
              </w:rPr>
              <w:t>1 881,3</w:t>
            </w:r>
          </w:p>
        </w:tc>
        <w:tc>
          <w:tcPr>
            <w:tcW w:w="1500" w:type="dxa"/>
            <w:tcBorders>
              <w:top w:val="single" w:sz="4" w:space="0" w:color="auto"/>
              <w:left w:val="nil"/>
              <w:bottom w:val="nil"/>
              <w:right w:val="single" w:sz="4" w:space="0" w:color="auto"/>
            </w:tcBorders>
            <w:shd w:val="clear" w:color="auto" w:fill="auto"/>
            <w:noWrap/>
          </w:tcPr>
          <w:p>
            <w:pPr>
              <w:jc w:val="right"/>
              <w:rPr>
                <w:noProof/>
                <w:sz w:val="20"/>
                <w:szCs w:val="20"/>
              </w:rPr>
            </w:pPr>
            <w:r>
              <w:rPr>
                <w:noProof/>
                <w:sz w:val="20"/>
                <w:szCs w:val="20"/>
              </w:rPr>
              <w:t>1 870,7</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bCs/>
                <w:noProof/>
                <w:color w:val="000000"/>
                <w:sz w:val="20"/>
                <w:szCs w:val="20"/>
              </w:rPr>
              <w:t>EL</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szCs w:val="20"/>
              </w:rPr>
              <w:t>1 618,8</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szCs w:val="20"/>
              </w:rPr>
              <w:t>1 543,1</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szCs w:val="20"/>
              </w:rPr>
              <w:t>1 431,7</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bCs/>
                <w:noProof/>
                <w:color w:val="000000"/>
                <w:sz w:val="20"/>
                <w:szCs w:val="20"/>
              </w:rPr>
              <w:t>ES</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szCs w:val="20"/>
              </w:rPr>
              <w:t>10 802,0</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szCs w:val="20"/>
              </w:rPr>
              <w:t>10 319,7</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szCs w:val="20"/>
              </w:rPr>
              <w:t>9 768,3</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bCs/>
                <w:noProof/>
                <w:color w:val="000000"/>
                <w:sz w:val="20"/>
                <w:szCs w:val="20"/>
              </w:rPr>
              <w:t>FR</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szCs w:val="20"/>
              </w:rPr>
              <w:t>20 461,9</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szCs w:val="20"/>
              </w:rPr>
              <w:t>19 494,2</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szCs w:val="20"/>
              </w:rPr>
              <w:t>18 167,2</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bCs/>
                <w:noProof/>
                <w:color w:val="000000"/>
                <w:sz w:val="20"/>
                <w:szCs w:val="20"/>
              </w:rPr>
              <w:t>HR</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szCs w:val="20"/>
              </w:rPr>
              <w:t xml:space="preserve"> 427,8</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szCs w:val="20"/>
              </w:rPr>
              <w:t xml:space="preserve"> 408,7</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szCs w:val="20"/>
              </w:rPr>
              <w:t>386,2</w:t>
            </w:r>
          </w:p>
        </w:tc>
      </w:tr>
      <w:tr>
        <w:trPr>
          <w:trHeight w:val="20"/>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pPr>
              <w:jc w:val="center"/>
              <w:rPr>
                <w:b/>
                <w:bCs/>
                <w:noProof/>
                <w:color w:val="000000"/>
                <w:sz w:val="20"/>
                <w:szCs w:val="20"/>
              </w:rPr>
            </w:pPr>
            <w:r>
              <w:rPr>
                <w:b/>
                <w:bCs/>
                <w:noProof/>
                <w:color w:val="000000"/>
                <w:sz w:val="20"/>
                <w:szCs w:val="20"/>
              </w:rPr>
              <w:t>IT</w:t>
            </w:r>
          </w:p>
        </w:tc>
        <w:tc>
          <w:tcPr>
            <w:tcW w:w="1460" w:type="dxa"/>
            <w:tcBorders>
              <w:top w:val="nil"/>
              <w:left w:val="nil"/>
              <w:bottom w:val="single" w:sz="4" w:space="0" w:color="auto"/>
              <w:right w:val="single" w:sz="4" w:space="0" w:color="auto"/>
            </w:tcBorders>
            <w:shd w:val="clear" w:color="auto" w:fill="auto"/>
            <w:noWrap/>
            <w:vAlign w:val="center"/>
          </w:tcPr>
          <w:p>
            <w:pPr>
              <w:jc w:val="right"/>
              <w:rPr>
                <w:noProof/>
                <w:sz w:val="20"/>
                <w:szCs w:val="20"/>
                <w:highlight w:val="yellow"/>
              </w:rPr>
            </w:pPr>
            <w:r>
              <w:rPr>
                <w:noProof/>
                <w:sz w:val="20"/>
                <w:szCs w:val="20"/>
              </w:rPr>
              <w:t>15 373,8</w:t>
            </w:r>
          </w:p>
        </w:tc>
        <w:tc>
          <w:tcPr>
            <w:tcW w:w="1520" w:type="dxa"/>
            <w:tcBorders>
              <w:top w:val="nil"/>
              <w:left w:val="nil"/>
              <w:bottom w:val="single" w:sz="4" w:space="0" w:color="auto"/>
              <w:right w:val="single" w:sz="4" w:space="0" w:color="auto"/>
            </w:tcBorders>
            <w:shd w:val="clear" w:color="auto" w:fill="auto"/>
            <w:noWrap/>
            <w:vAlign w:val="center"/>
          </w:tcPr>
          <w:p>
            <w:pPr>
              <w:jc w:val="right"/>
              <w:rPr>
                <w:noProof/>
                <w:sz w:val="20"/>
                <w:szCs w:val="20"/>
                <w:highlight w:val="yellow"/>
              </w:rPr>
            </w:pPr>
            <w:r>
              <w:rPr>
                <w:noProof/>
                <w:sz w:val="20"/>
                <w:szCs w:val="20"/>
              </w:rPr>
              <w:t>14 662,3</w:t>
            </w:r>
          </w:p>
        </w:tc>
        <w:tc>
          <w:tcPr>
            <w:tcW w:w="1500" w:type="dxa"/>
            <w:tcBorders>
              <w:top w:val="nil"/>
              <w:left w:val="nil"/>
              <w:bottom w:val="single" w:sz="4" w:space="0" w:color="auto"/>
              <w:right w:val="single" w:sz="4" w:space="0" w:color="auto"/>
            </w:tcBorders>
            <w:shd w:val="clear" w:color="auto" w:fill="auto"/>
            <w:noWrap/>
          </w:tcPr>
          <w:p>
            <w:pPr>
              <w:jc w:val="right"/>
              <w:rPr>
                <w:noProof/>
                <w:sz w:val="20"/>
                <w:szCs w:val="20"/>
              </w:rPr>
            </w:pPr>
            <w:r>
              <w:rPr>
                <w:noProof/>
                <w:sz w:val="20"/>
                <w:szCs w:val="20"/>
              </w:rPr>
              <w:t>13 770,2</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bCs/>
                <w:noProof/>
                <w:color w:val="000000"/>
                <w:sz w:val="20"/>
                <w:szCs w:val="20"/>
              </w:rPr>
              <w:t>CY</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szCs w:val="20"/>
              </w:rPr>
              <w:t xml:space="preserve"> 165,6</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szCs w:val="20"/>
              </w:rPr>
              <w:t xml:space="preserve"> 158,2</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szCs w:val="20"/>
              </w:rPr>
              <w:t>151,1</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bCs/>
                <w:noProof/>
                <w:color w:val="000000"/>
                <w:sz w:val="20"/>
                <w:szCs w:val="20"/>
              </w:rPr>
              <w:t>LV</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szCs w:val="20"/>
              </w:rPr>
              <w:t xml:space="preserve"> 250,1</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szCs w:val="20"/>
              </w:rPr>
              <w:t xml:space="preserve"> 238,8</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szCs w:val="20"/>
              </w:rPr>
              <w:t>226,0</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bCs/>
                <w:noProof/>
                <w:color w:val="000000"/>
                <w:sz w:val="20"/>
                <w:szCs w:val="20"/>
              </w:rPr>
              <w:t>LT</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szCs w:val="20"/>
              </w:rPr>
              <w:t xml:space="preserve"> 401,6</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szCs w:val="20"/>
              </w:rPr>
              <w:t xml:space="preserve"> 385,2</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szCs w:val="20"/>
              </w:rPr>
              <w:t>356,0</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bCs/>
                <w:noProof/>
                <w:color w:val="000000"/>
                <w:sz w:val="20"/>
                <w:szCs w:val="20"/>
              </w:rPr>
              <w:t>LU</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szCs w:val="20"/>
              </w:rPr>
              <w:t xml:space="preserve"> 318,6</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szCs w:val="20"/>
              </w:rPr>
              <w:t xml:space="preserve"> 303,5</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szCs w:val="20"/>
              </w:rPr>
              <w:t>294,4</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bCs/>
                <w:noProof/>
                <w:color w:val="000000"/>
                <w:sz w:val="20"/>
                <w:szCs w:val="20"/>
              </w:rPr>
              <w:t>HU</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szCs w:val="20"/>
              </w:rPr>
              <w:t>1 072,0</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szCs w:val="20"/>
              </w:rPr>
              <w:t>1 023,9</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szCs w:val="20"/>
              </w:rPr>
              <w:t>965,5</w:t>
            </w:r>
          </w:p>
        </w:tc>
      </w:tr>
      <w:tr>
        <w:trPr>
          <w:trHeight w:val="20"/>
          <w:jc w:val="center"/>
        </w:trPr>
        <w:tc>
          <w:tcPr>
            <w:tcW w:w="960" w:type="dxa"/>
            <w:tcBorders>
              <w:top w:val="single" w:sz="4" w:space="0" w:color="auto"/>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bCs/>
                <w:noProof/>
                <w:color w:val="000000"/>
                <w:sz w:val="20"/>
                <w:szCs w:val="20"/>
              </w:rPr>
              <w:t>MT</w:t>
            </w:r>
          </w:p>
        </w:tc>
        <w:tc>
          <w:tcPr>
            <w:tcW w:w="1460" w:type="dxa"/>
            <w:tcBorders>
              <w:top w:val="single" w:sz="4" w:space="0" w:color="auto"/>
              <w:left w:val="nil"/>
              <w:bottom w:val="nil"/>
              <w:right w:val="single" w:sz="4" w:space="0" w:color="auto"/>
            </w:tcBorders>
            <w:shd w:val="clear" w:color="auto" w:fill="auto"/>
            <w:noWrap/>
            <w:vAlign w:val="center"/>
          </w:tcPr>
          <w:p>
            <w:pPr>
              <w:jc w:val="right"/>
              <w:rPr>
                <w:noProof/>
                <w:sz w:val="20"/>
                <w:szCs w:val="20"/>
                <w:highlight w:val="yellow"/>
              </w:rPr>
            </w:pPr>
            <w:r>
              <w:rPr>
                <w:noProof/>
                <w:sz w:val="20"/>
                <w:szCs w:val="20"/>
              </w:rPr>
              <w:t xml:space="preserve"> 92,9</w:t>
            </w:r>
          </w:p>
        </w:tc>
        <w:tc>
          <w:tcPr>
            <w:tcW w:w="1520" w:type="dxa"/>
            <w:tcBorders>
              <w:top w:val="single" w:sz="4" w:space="0" w:color="auto"/>
              <w:left w:val="nil"/>
              <w:bottom w:val="nil"/>
              <w:right w:val="single" w:sz="4" w:space="0" w:color="auto"/>
            </w:tcBorders>
            <w:shd w:val="clear" w:color="auto" w:fill="auto"/>
            <w:noWrap/>
            <w:vAlign w:val="center"/>
          </w:tcPr>
          <w:p>
            <w:pPr>
              <w:jc w:val="right"/>
              <w:rPr>
                <w:noProof/>
                <w:sz w:val="20"/>
                <w:szCs w:val="20"/>
                <w:highlight w:val="yellow"/>
              </w:rPr>
            </w:pPr>
            <w:r>
              <w:rPr>
                <w:noProof/>
                <w:sz w:val="20"/>
                <w:szCs w:val="20"/>
              </w:rPr>
              <w:t xml:space="preserve"> 88,9</w:t>
            </w:r>
          </w:p>
        </w:tc>
        <w:tc>
          <w:tcPr>
            <w:tcW w:w="1500" w:type="dxa"/>
            <w:tcBorders>
              <w:top w:val="single" w:sz="4" w:space="0" w:color="auto"/>
              <w:left w:val="nil"/>
              <w:bottom w:val="nil"/>
              <w:right w:val="single" w:sz="4" w:space="0" w:color="auto"/>
            </w:tcBorders>
            <w:shd w:val="clear" w:color="auto" w:fill="auto"/>
            <w:noWrap/>
          </w:tcPr>
          <w:p>
            <w:pPr>
              <w:jc w:val="right"/>
              <w:rPr>
                <w:noProof/>
                <w:sz w:val="20"/>
                <w:szCs w:val="20"/>
              </w:rPr>
            </w:pPr>
            <w:r>
              <w:rPr>
                <w:noProof/>
                <w:sz w:val="20"/>
                <w:szCs w:val="20"/>
              </w:rPr>
              <w:t>84,0</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bCs/>
                <w:noProof/>
                <w:color w:val="000000"/>
                <w:sz w:val="20"/>
                <w:szCs w:val="20"/>
              </w:rPr>
              <w:t>NL</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szCs w:val="20"/>
              </w:rPr>
              <w:t>6 764,9</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szCs w:val="20"/>
              </w:rPr>
              <w:t>6 464,0</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szCs w:val="20"/>
              </w:rPr>
              <w:t>5 941,6</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bCs/>
                <w:noProof/>
                <w:color w:val="000000"/>
                <w:sz w:val="20"/>
                <w:szCs w:val="20"/>
              </w:rPr>
              <w:t>AT</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szCs w:val="20"/>
              </w:rPr>
              <w:t>2 943,7</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szCs w:val="20"/>
              </w:rPr>
              <w:t>2 795,1</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szCs w:val="20"/>
              </w:rPr>
              <w:t>2 634,8</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bCs/>
                <w:noProof/>
                <w:color w:val="000000"/>
                <w:sz w:val="20"/>
                <w:szCs w:val="20"/>
              </w:rPr>
              <w:t>PL</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szCs w:val="20"/>
              </w:rPr>
              <w:t>4 102,9</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szCs w:val="20"/>
              </w:rPr>
              <w:t>3 923,0</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szCs w:val="20"/>
              </w:rPr>
              <w:t>3 613,0</w:t>
            </w:r>
          </w:p>
        </w:tc>
      </w:tr>
      <w:tr>
        <w:trPr>
          <w:trHeight w:val="20"/>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pPr>
              <w:jc w:val="center"/>
              <w:rPr>
                <w:b/>
                <w:bCs/>
                <w:noProof/>
                <w:color w:val="000000"/>
                <w:sz w:val="20"/>
                <w:szCs w:val="20"/>
              </w:rPr>
            </w:pPr>
            <w:r>
              <w:rPr>
                <w:b/>
                <w:bCs/>
                <w:noProof/>
                <w:color w:val="000000"/>
                <w:sz w:val="20"/>
                <w:szCs w:val="20"/>
              </w:rPr>
              <w:t>PT</w:t>
            </w:r>
          </w:p>
        </w:tc>
        <w:tc>
          <w:tcPr>
            <w:tcW w:w="1460" w:type="dxa"/>
            <w:tcBorders>
              <w:top w:val="nil"/>
              <w:left w:val="nil"/>
              <w:bottom w:val="single" w:sz="4" w:space="0" w:color="auto"/>
              <w:right w:val="single" w:sz="4" w:space="0" w:color="auto"/>
            </w:tcBorders>
            <w:shd w:val="clear" w:color="auto" w:fill="auto"/>
            <w:noWrap/>
            <w:vAlign w:val="center"/>
          </w:tcPr>
          <w:p>
            <w:pPr>
              <w:jc w:val="right"/>
              <w:rPr>
                <w:noProof/>
                <w:sz w:val="20"/>
                <w:szCs w:val="20"/>
                <w:highlight w:val="yellow"/>
              </w:rPr>
            </w:pPr>
            <w:r>
              <w:rPr>
                <w:noProof/>
                <w:sz w:val="20"/>
                <w:szCs w:val="20"/>
              </w:rPr>
              <w:t>1 671,7</w:t>
            </w:r>
          </w:p>
        </w:tc>
        <w:tc>
          <w:tcPr>
            <w:tcW w:w="1520" w:type="dxa"/>
            <w:tcBorders>
              <w:top w:val="nil"/>
              <w:left w:val="nil"/>
              <w:bottom w:val="single" w:sz="4" w:space="0" w:color="auto"/>
              <w:right w:val="single" w:sz="4" w:space="0" w:color="auto"/>
            </w:tcBorders>
            <w:shd w:val="clear" w:color="auto" w:fill="auto"/>
            <w:noWrap/>
            <w:vAlign w:val="center"/>
          </w:tcPr>
          <w:p>
            <w:pPr>
              <w:jc w:val="right"/>
              <w:rPr>
                <w:noProof/>
                <w:sz w:val="20"/>
                <w:szCs w:val="20"/>
                <w:highlight w:val="yellow"/>
              </w:rPr>
            </w:pPr>
            <w:r>
              <w:rPr>
                <w:noProof/>
                <w:sz w:val="20"/>
                <w:szCs w:val="20"/>
              </w:rPr>
              <w:t>1 593,7</w:t>
            </w:r>
          </w:p>
        </w:tc>
        <w:tc>
          <w:tcPr>
            <w:tcW w:w="1500" w:type="dxa"/>
            <w:tcBorders>
              <w:top w:val="nil"/>
              <w:left w:val="nil"/>
              <w:bottom w:val="single" w:sz="4" w:space="0" w:color="auto"/>
              <w:right w:val="single" w:sz="4" w:space="0" w:color="auto"/>
            </w:tcBorders>
            <w:shd w:val="clear" w:color="auto" w:fill="auto"/>
            <w:noWrap/>
          </w:tcPr>
          <w:p>
            <w:pPr>
              <w:jc w:val="right"/>
              <w:rPr>
                <w:noProof/>
                <w:sz w:val="20"/>
                <w:szCs w:val="20"/>
              </w:rPr>
            </w:pPr>
            <w:r>
              <w:rPr>
                <w:noProof/>
                <w:sz w:val="20"/>
                <w:szCs w:val="20"/>
              </w:rPr>
              <w:t>1 504,4</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bCs/>
                <w:noProof/>
                <w:color w:val="000000"/>
                <w:sz w:val="20"/>
                <w:szCs w:val="20"/>
              </w:rPr>
              <w:t>RO</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szCs w:val="20"/>
              </w:rPr>
              <w:t>1 512,7</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szCs w:val="20"/>
              </w:rPr>
              <w:t>1 439,2</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szCs w:val="20"/>
              </w:rPr>
              <w:t>1 357,0</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bCs/>
                <w:noProof/>
                <w:color w:val="000000"/>
                <w:sz w:val="20"/>
                <w:szCs w:val="20"/>
              </w:rPr>
              <w:t>SI</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szCs w:val="20"/>
              </w:rPr>
              <w:t xml:space="preserve"> 402,1</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szCs w:val="20"/>
              </w:rPr>
              <w:t xml:space="preserve"> 385,3</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szCs w:val="20"/>
              </w:rPr>
              <w:t>363,2</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bCs/>
                <w:noProof/>
                <w:color w:val="000000"/>
                <w:sz w:val="20"/>
                <w:szCs w:val="20"/>
              </w:rPr>
              <w:t>SK</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szCs w:val="20"/>
              </w:rPr>
              <w:t xml:space="preserve"> 733,7</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szCs w:val="20"/>
              </w:rPr>
              <w:t xml:space="preserve"> 699,9</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szCs w:val="20"/>
              </w:rPr>
              <w:t>662,7</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bCs/>
                <w:noProof/>
                <w:color w:val="000000"/>
                <w:sz w:val="20"/>
                <w:szCs w:val="20"/>
              </w:rPr>
              <w:t>FI</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szCs w:val="20"/>
              </w:rPr>
              <w:t>1 881,4</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szCs w:val="20"/>
              </w:rPr>
              <w:t>1 791,2</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szCs w:val="20"/>
              </w:rPr>
              <w:t>1 707,6</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bCs/>
                <w:noProof/>
                <w:color w:val="000000"/>
                <w:sz w:val="20"/>
                <w:szCs w:val="20"/>
              </w:rPr>
              <w:t>SE</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szCs w:val="20"/>
              </w:rPr>
              <w:t>3 899,8</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szCs w:val="20"/>
              </w:rPr>
              <w:t>3 686,8</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szCs w:val="20"/>
              </w:rPr>
              <w:t>3 218,3</w:t>
            </w:r>
          </w:p>
        </w:tc>
      </w:tr>
      <w:tr>
        <w:trPr>
          <w:trHeight w:val="2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szCs w:val="20"/>
              </w:rPr>
            </w:pPr>
            <w:r>
              <w:rPr>
                <w:b/>
                <w:bCs/>
                <w:noProof/>
                <w:color w:val="000000"/>
                <w:sz w:val="20"/>
                <w:szCs w:val="20"/>
              </w:rPr>
              <w:t>UK</w:t>
            </w:r>
          </w:p>
        </w:tc>
        <w:tc>
          <w:tcPr>
            <w:tcW w:w="146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szCs w:val="20"/>
              </w:rPr>
              <w:t>17 324,6</w:t>
            </w:r>
          </w:p>
        </w:tc>
        <w:tc>
          <w:tcPr>
            <w:tcW w:w="1520" w:type="dxa"/>
            <w:tcBorders>
              <w:top w:val="nil"/>
              <w:left w:val="nil"/>
              <w:bottom w:val="nil"/>
              <w:right w:val="single" w:sz="4" w:space="0" w:color="auto"/>
            </w:tcBorders>
            <w:shd w:val="clear" w:color="auto" w:fill="auto"/>
            <w:noWrap/>
            <w:vAlign w:val="center"/>
          </w:tcPr>
          <w:p>
            <w:pPr>
              <w:jc w:val="right"/>
              <w:rPr>
                <w:noProof/>
                <w:sz w:val="20"/>
                <w:szCs w:val="20"/>
                <w:highlight w:val="yellow"/>
              </w:rPr>
            </w:pPr>
            <w:r>
              <w:rPr>
                <w:noProof/>
                <w:sz w:val="20"/>
                <w:szCs w:val="20"/>
              </w:rPr>
              <w:t>16 271,7</w:t>
            </w:r>
          </w:p>
        </w:tc>
        <w:tc>
          <w:tcPr>
            <w:tcW w:w="1500" w:type="dxa"/>
            <w:tcBorders>
              <w:top w:val="nil"/>
              <w:left w:val="nil"/>
              <w:bottom w:val="nil"/>
              <w:right w:val="single" w:sz="4" w:space="0" w:color="auto"/>
            </w:tcBorders>
            <w:shd w:val="clear" w:color="auto" w:fill="auto"/>
            <w:noWrap/>
          </w:tcPr>
          <w:p>
            <w:pPr>
              <w:jc w:val="right"/>
              <w:rPr>
                <w:noProof/>
                <w:sz w:val="20"/>
                <w:szCs w:val="20"/>
              </w:rPr>
            </w:pPr>
            <w:r>
              <w:rPr>
                <w:noProof/>
                <w:sz w:val="20"/>
                <w:szCs w:val="20"/>
              </w:rPr>
              <w:t>13 647,6</w:t>
            </w:r>
          </w:p>
        </w:tc>
      </w:tr>
      <w:tr>
        <w:trPr>
          <w:trHeight w:val="20"/>
          <w:jc w:val="center"/>
        </w:trPr>
        <w:tc>
          <w:tcPr>
            <w:tcW w:w="960" w:type="dxa"/>
            <w:tcBorders>
              <w:top w:val="single" w:sz="4" w:space="0" w:color="auto"/>
              <w:left w:val="single" w:sz="8" w:space="0" w:color="auto"/>
              <w:bottom w:val="single" w:sz="8" w:space="0" w:color="auto"/>
              <w:right w:val="single" w:sz="4" w:space="0" w:color="auto"/>
            </w:tcBorders>
            <w:shd w:val="clear" w:color="auto" w:fill="auto"/>
            <w:vAlign w:val="center"/>
            <w:hideMark/>
          </w:tcPr>
          <w:p>
            <w:pPr>
              <w:jc w:val="center"/>
              <w:rPr>
                <w:b/>
                <w:bCs/>
                <w:noProof/>
                <w:color w:val="000000"/>
                <w:sz w:val="20"/>
                <w:szCs w:val="20"/>
              </w:rPr>
            </w:pPr>
            <w:r>
              <w:rPr>
                <w:b/>
                <w:bCs/>
                <w:noProof/>
                <w:color w:val="000000"/>
                <w:sz w:val="20"/>
                <w:szCs w:val="20"/>
              </w:rPr>
              <w:t>EU</w:t>
            </w:r>
          </w:p>
        </w:tc>
        <w:tc>
          <w:tcPr>
            <w:tcW w:w="1460" w:type="dxa"/>
            <w:tcBorders>
              <w:top w:val="single" w:sz="4" w:space="0" w:color="auto"/>
              <w:left w:val="nil"/>
              <w:bottom w:val="single" w:sz="8" w:space="0" w:color="auto"/>
              <w:right w:val="single" w:sz="4" w:space="0" w:color="auto"/>
            </w:tcBorders>
            <w:shd w:val="clear" w:color="auto" w:fill="auto"/>
            <w:vAlign w:val="center"/>
          </w:tcPr>
          <w:p>
            <w:pPr>
              <w:jc w:val="right"/>
              <w:rPr>
                <w:b/>
                <w:bCs/>
                <w:noProof/>
                <w:sz w:val="20"/>
                <w:szCs w:val="20"/>
              </w:rPr>
            </w:pPr>
            <w:r>
              <w:rPr>
                <w:b/>
                <w:bCs/>
                <w:noProof/>
                <w:sz w:val="20"/>
                <w:szCs w:val="20"/>
              </w:rPr>
              <w:t>131 718,0</w:t>
            </w:r>
          </w:p>
        </w:tc>
        <w:tc>
          <w:tcPr>
            <w:tcW w:w="1520" w:type="dxa"/>
            <w:tcBorders>
              <w:top w:val="single" w:sz="4" w:space="0" w:color="auto"/>
              <w:left w:val="nil"/>
              <w:bottom w:val="single" w:sz="8" w:space="0" w:color="auto"/>
              <w:right w:val="single" w:sz="4" w:space="0" w:color="auto"/>
            </w:tcBorders>
            <w:shd w:val="clear" w:color="auto" w:fill="auto"/>
            <w:vAlign w:val="center"/>
          </w:tcPr>
          <w:p>
            <w:pPr>
              <w:jc w:val="right"/>
              <w:rPr>
                <w:b/>
                <w:noProof/>
                <w:sz w:val="20"/>
                <w:szCs w:val="20"/>
              </w:rPr>
            </w:pPr>
            <w:r>
              <w:rPr>
                <w:b/>
                <w:noProof/>
                <w:sz w:val="20"/>
                <w:szCs w:val="20"/>
              </w:rPr>
              <w:t>125 313,4</w:t>
            </w:r>
          </w:p>
        </w:tc>
        <w:tc>
          <w:tcPr>
            <w:tcW w:w="1500" w:type="dxa"/>
            <w:tcBorders>
              <w:top w:val="single" w:sz="4" w:space="0" w:color="auto"/>
              <w:left w:val="nil"/>
              <w:bottom w:val="single" w:sz="8" w:space="0" w:color="auto"/>
              <w:right w:val="single" w:sz="4" w:space="0" w:color="auto"/>
            </w:tcBorders>
            <w:shd w:val="clear" w:color="auto" w:fill="auto"/>
            <w:vAlign w:val="center"/>
          </w:tcPr>
          <w:p>
            <w:pPr>
              <w:jc w:val="right"/>
              <w:rPr>
                <w:b/>
                <w:bCs/>
                <w:noProof/>
                <w:sz w:val="20"/>
                <w:szCs w:val="20"/>
              </w:rPr>
            </w:pPr>
            <w:r>
              <w:rPr>
                <w:b/>
                <w:bCs/>
                <w:noProof/>
                <w:sz w:val="20"/>
                <w:szCs w:val="20"/>
              </w:rPr>
              <w:t>115 483,8</w:t>
            </w:r>
          </w:p>
        </w:tc>
      </w:tr>
    </w:tbl>
    <w:p>
      <w:pPr>
        <w:keepNext/>
        <w:tabs>
          <w:tab w:val="left" w:pos="850"/>
        </w:tabs>
        <w:spacing w:before="360" w:after="120"/>
        <w:ind w:left="850" w:hanging="850"/>
        <w:jc w:val="both"/>
        <w:outlineLvl w:val="1"/>
        <w:rPr>
          <w:rFonts w:eastAsia="Calibri"/>
          <w:b/>
          <w:noProof/>
          <w:lang w:eastAsia="de-DE"/>
        </w:rPr>
      </w:pPr>
      <w:bookmarkStart w:id="39" w:name="_Toc462410059"/>
      <w:bookmarkStart w:id="40" w:name="_Toc494994379"/>
      <w:r>
        <w:rPr>
          <w:rFonts w:eastAsia="Calibri"/>
          <w:b/>
          <w:noProof/>
          <w:lang w:eastAsia="de-DE"/>
        </w:rPr>
        <w:t>3.2</w:t>
      </w:r>
      <w:r>
        <w:rPr>
          <w:rFonts w:eastAsia="Calibri"/>
          <w:b/>
          <w:noProof/>
          <w:lang w:eastAsia="de-DE"/>
        </w:rPr>
        <w:tab/>
        <w:t>Revision of the forecast of TOR, VAT and GNI bases</w:t>
      </w:r>
      <w:bookmarkEnd w:id="39"/>
      <w:bookmarkEnd w:id="40"/>
    </w:p>
    <w:p>
      <w:pPr>
        <w:spacing w:before="120" w:after="120"/>
        <w:jc w:val="both"/>
        <w:rPr>
          <w:noProof/>
        </w:rPr>
      </w:pPr>
      <w:bookmarkStart w:id="41" w:name="_Toc421699312"/>
      <w:bookmarkStart w:id="42" w:name="_Toc461544621"/>
      <w:bookmarkStart w:id="43" w:name="_Toc462410060"/>
      <w:bookmarkStart w:id="44" w:name="_Toc390436796"/>
      <w:bookmarkStart w:id="45" w:name="_Toc420941901"/>
      <w:bookmarkStart w:id="46" w:name="_Toc294673193"/>
      <w:bookmarkStart w:id="47" w:name="_Toc357005413"/>
      <w:bookmarkStart w:id="48" w:name="_Toc358885561"/>
      <w:r>
        <w:rPr>
          <w:noProof/>
        </w:rPr>
        <w:t>According to established practice, the Commission proposes to revise the financing of the budget on the basis of more recent economic forecasts, agreed at a meeting of the Advisory Committee on Own Resources (ACOR).</w:t>
      </w:r>
    </w:p>
    <w:p>
      <w:pPr>
        <w:spacing w:before="120" w:after="120"/>
        <w:jc w:val="both"/>
        <w:rPr>
          <w:noProof/>
        </w:rPr>
      </w:pPr>
      <w:r>
        <w:rPr>
          <w:noProof/>
        </w:rPr>
        <w:t>The revision concerns the forecast of Traditional Own Resources to be paid to the budget in 2017 as well as the forecast of the 2017 VAT and GNI bases. The forecast in the 2017 budget was established at the 166</w:t>
      </w:r>
      <w:r>
        <w:rPr>
          <w:noProof/>
          <w:vertAlign w:val="superscript"/>
        </w:rPr>
        <w:t>th</w:t>
      </w:r>
      <w:r>
        <w:rPr>
          <w:noProof/>
        </w:rPr>
        <w:t xml:space="preserve"> ACOR meeting on 18 May 2016. The revised forecast taken into account in the present DAB was agreed at the 169</w:t>
      </w:r>
      <w:r>
        <w:rPr>
          <w:noProof/>
          <w:vertAlign w:val="superscript"/>
        </w:rPr>
        <w:t>th</w:t>
      </w:r>
      <w:r>
        <w:rPr>
          <w:noProof/>
        </w:rPr>
        <w:t xml:space="preserve"> ACOR meeting on 19 May 2017. The use of an updated forecast of own resources improves the accuracy of the revenue forecasts and hence of the payments that Member States are asked to make during the budgetary year.</w:t>
      </w:r>
    </w:p>
    <w:p>
      <w:pPr>
        <w:spacing w:before="120" w:after="120"/>
        <w:jc w:val="both"/>
        <w:rPr>
          <w:noProof/>
        </w:rPr>
      </w:pPr>
      <w:r>
        <w:rPr>
          <w:noProof/>
        </w:rPr>
        <w:t>As compared to the forecast agreed in May 2016, the forecast agreed in May 2017 has been revised as follows</w:t>
      </w:r>
      <w:r>
        <w:rPr>
          <w:noProof/>
          <w:vertAlign w:val="superscript"/>
        </w:rPr>
        <w:footnoteReference w:id="13"/>
      </w:r>
      <w:r>
        <w:rPr>
          <w:noProof/>
        </w:rPr>
        <w:t>:</w:t>
      </w:r>
    </w:p>
    <w:p>
      <w:pPr>
        <w:numPr>
          <w:ilvl w:val="0"/>
          <w:numId w:val="2"/>
        </w:numPr>
        <w:spacing w:before="120" w:after="120"/>
        <w:jc w:val="both"/>
        <w:rPr>
          <w:noProof/>
          <w:lang w:eastAsia="de-DE"/>
        </w:rPr>
      </w:pPr>
      <w:r>
        <w:rPr>
          <w:noProof/>
        </w:rPr>
        <w:t>Total 2017 net TOR are now forecast at EUR 20 507,3 million (after deduction of 20 % in collection costs), which represents a decrease of -4,47 % relative to the forecast of EUR 21 467,0 million included in the 2017 budget. The Commission compared the results of the traditional ACOR forecasting methodology (based on the spring 2017 macroeconomic forecast) with the results of the extrapolation based on the latest outturn data for collected customs duties (January – April 2017). Since the difference between the two methods was relatively significant (EUR 1 220 billion) the traditional ACOR updated TOR forecast is fully adjusted to the extrapolation method forecast.</w:t>
      </w:r>
    </w:p>
    <w:p>
      <w:pPr>
        <w:numPr>
          <w:ilvl w:val="0"/>
          <w:numId w:val="2"/>
        </w:numPr>
        <w:spacing w:before="120" w:after="120"/>
        <w:jc w:val="both"/>
        <w:rPr>
          <w:noProof/>
          <w:lang w:eastAsia="de-DE"/>
        </w:rPr>
      </w:pPr>
      <w:r>
        <w:rPr>
          <w:noProof/>
          <w:lang w:eastAsia="de-DE"/>
        </w:rPr>
        <w:t xml:space="preserve">The total 2017 EU uncapped VAT base is now forecast at EUR 6 487 607,8 million, which represents an increase of +0,16 % compared to the May 2016 forecast of EUR 6 477 447,9 million. The total 2017 EU </w:t>
      </w:r>
      <w:r>
        <w:rPr>
          <w:i/>
          <w:noProof/>
          <w:lang w:eastAsia="de-DE"/>
        </w:rPr>
        <w:t>capped</w:t>
      </w:r>
      <w:r>
        <w:rPr>
          <w:noProof/>
          <w:lang w:eastAsia="de-DE"/>
        </w:rPr>
        <w:t xml:space="preserve"> VAT base</w:t>
      </w:r>
      <w:r>
        <w:rPr>
          <w:noProof/>
          <w:vertAlign w:val="superscript"/>
          <w:lang w:eastAsia="de-DE"/>
        </w:rPr>
        <w:footnoteReference w:id="14"/>
      </w:r>
      <w:r>
        <w:rPr>
          <w:noProof/>
          <w:lang w:eastAsia="de-DE"/>
        </w:rPr>
        <w:t xml:space="preserve"> is forecast at EUR 6 468 770,4 million, which represents an increase of +0,15 % compared to the May 2016 forecast of EUR 6 459 187,15 million.</w:t>
      </w:r>
    </w:p>
    <w:p>
      <w:pPr>
        <w:numPr>
          <w:ilvl w:val="0"/>
          <w:numId w:val="2"/>
        </w:numPr>
        <w:spacing w:before="120" w:after="120"/>
        <w:jc w:val="both"/>
        <w:rPr>
          <w:noProof/>
          <w:lang w:eastAsia="de-DE"/>
        </w:rPr>
      </w:pPr>
      <w:r>
        <w:rPr>
          <w:noProof/>
          <w:lang w:eastAsia="de-DE"/>
        </w:rPr>
        <w:t>The total 2017 EU GNI base is forecast at EUR 15 177 843,6 million, which is a decrease (-1,51 %) compared to the May 2016 forecast of EUR 15 410 553,3 million.</w:t>
      </w:r>
    </w:p>
    <w:p>
      <w:pPr>
        <w:jc w:val="both"/>
        <w:rPr>
          <w:noProof/>
        </w:rPr>
      </w:pPr>
      <w:r>
        <w:rPr>
          <w:noProof/>
        </w:rPr>
        <w:t>The exchange rates of 30 December 2016 have been used for converting the forecast VAT and GNI bases in national currency into euro (for the nine Member States that are not members of the euro area). This avoids distortions since it is this rate that is used to convert budgeted own resources payments from euro into national currency when the amounts are called in (as stipulated in Article 10a(1) of Council Regulation No 609/2014).</w:t>
      </w:r>
    </w:p>
    <w:p>
      <w:pPr>
        <w:spacing w:before="120" w:after="120"/>
        <w:jc w:val="both"/>
        <w:rPr>
          <w:noProof/>
        </w:rPr>
      </w:pPr>
      <w:r>
        <w:rPr>
          <w:noProof/>
        </w:rPr>
        <w:t>The revised forecasts of TOR, uncapped VAT bases and GNI bases for 2017, as adopted at the 169</w:t>
      </w:r>
      <w:r>
        <w:rPr>
          <w:noProof/>
          <w:vertAlign w:val="superscript"/>
        </w:rPr>
        <w:t>th</w:t>
      </w:r>
      <w:r>
        <w:rPr>
          <w:noProof/>
        </w:rPr>
        <w:t xml:space="preserve"> ACOR meeting on 19 May 2017, are set out in the following table:</w:t>
      </w:r>
    </w:p>
    <w:p>
      <w:pPr>
        <w:keepNext/>
        <w:jc w:val="center"/>
        <w:rPr>
          <w:b/>
          <w:i/>
          <w:noProof/>
        </w:rPr>
      </w:pPr>
      <w:r>
        <w:rPr>
          <w:b/>
          <w:noProof/>
        </w:rPr>
        <w:t>Revised forecasts of TOR, VAT and GNI bases for 2017</w:t>
      </w:r>
      <w:r>
        <w:rPr>
          <w:b/>
          <w:i/>
          <w:noProof/>
        </w:rPr>
        <w:t xml:space="preserve"> (in million EUR)</w:t>
      </w:r>
    </w:p>
    <w:tbl>
      <w:tblPr>
        <w:tblW w:w="0" w:type="auto"/>
        <w:jc w:val="center"/>
        <w:tblLayout w:type="fixed"/>
        <w:tblLook w:val="0000" w:firstRow="0" w:lastRow="0" w:firstColumn="0" w:lastColumn="0" w:noHBand="0" w:noVBand="0"/>
      </w:tblPr>
      <w:tblGrid>
        <w:gridCol w:w="829"/>
        <w:gridCol w:w="1404"/>
        <w:gridCol w:w="1404"/>
        <w:gridCol w:w="1404"/>
        <w:gridCol w:w="1404"/>
        <w:gridCol w:w="1404"/>
      </w:tblGrid>
      <w:tr>
        <w:trPr>
          <w:trHeight w:val="742"/>
          <w:tblHeader/>
          <w:jc w:val="center"/>
        </w:trPr>
        <w:tc>
          <w:tcPr>
            <w:tcW w:w="829" w:type="dxa"/>
            <w:tcBorders>
              <w:bottom w:val="single" w:sz="12" w:space="0" w:color="auto"/>
              <w:right w:val="single" w:sz="12" w:space="0" w:color="000000"/>
            </w:tcBorders>
          </w:tcPr>
          <w:p>
            <w:pPr>
              <w:keepNext/>
              <w:autoSpaceDE w:val="0"/>
              <w:autoSpaceDN w:val="0"/>
              <w:adjustRightInd w:val="0"/>
              <w:jc w:val="right"/>
              <w:rPr>
                <w:b/>
                <w:bCs/>
                <w:noProof/>
                <w:color w:val="000000"/>
                <w:sz w:val="20"/>
              </w:rPr>
            </w:pPr>
            <w:bookmarkStart w:id="49" w:name="OLE_LINK1"/>
          </w:p>
        </w:tc>
        <w:tc>
          <w:tcPr>
            <w:tcW w:w="1404" w:type="dxa"/>
            <w:tcBorders>
              <w:top w:val="single" w:sz="12" w:space="0" w:color="auto"/>
              <w:left w:val="single" w:sz="2" w:space="0" w:color="000000"/>
              <w:bottom w:val="single" w:sz="12" w:space="0" w:color="auto"/>
              <w:right w:val="single" w:sz="2" w:space="0" w:color="000000"/>
            </w:tcBorders>
            <w:shd w:val="clear" w:color="auto" w:fill="E0E0E0"/>
            <w:vAlign w:val="center"/>
          </w:tcPr>
          <w:p>
            <w:pPr>
              <w:keepNext/>
              <w:autoSpaceDE w:val="0"/>
              <w:autoSpaceDN w:val="0"/>
              <w:adjustRightInd w:val="0"/>
              <w:jc w:val="center"/>
              <w:rPr>
                <w:b/>
                <w:bCs/>
                <w:noProof/>
                <w:color w:val="000000"/>
                <w:sz w:val="20"/>
              </w:rPr>
            </w:pPr>
            <w:r>
              <w:rPr>
                <w:b/>
                <w:bCs/>
                <w:noProof/>
                <w:color w:val="000000"/>
                <w:sz w:val="20"/>
              </w:rPr>
              <w:t>Sugar</w:t>
            </w:r>
          </w:p>
          <w:p>
            <w:pPr>
              <w:keepNext/>
              <w:autoSpaceDE w:val="0"/>
              <w:autoSpaceDN w:val="0"/>
              <w:adjustRightInd w:val="0"/>
              <w:jc w:val="center"/>
              <w:rPr>
                <w:b/>
                <w:bCs/>
                <w:noProof/>
                <w:color w:val="000000"/>
                <w:sz w:val="20"/>
              </w:rPr>
            </w:pPr>
            <w:r>
              <w:rPr>
                <w:b/>
                <w:bCs/>
                <w:noProof/>
                <w:color w:val="000000"/>
                <w:sz w:val="20"/>
              </w:rPr>
              <w:t>levies</w:t>
            </w:r>
          </w:p>
          <w:p>
            <w:pPr>
              <w:keepNext/>
              <w:autoSpaceDE w:val="0"/>
              <w:autoSpaceDN w:val="0"/>
              <w:adjustRightInd w:val="0"/>
              <w:jc w:val="center"/>
              <w:rPr>
                <w:b/>
                <w:bCs/>
                <w:noProof/>
                <w:color w:val="000000"/>
                <w:sz w:val="20"/>
              </w:rPr>
            </w:pPr>
            <w:r>
              <w:rPr>
                <w:b/>
                <w:bCs/>
                <w:i/>
                <w:iCs/>
                <w:noProof/>
                <w:color w:val="000000"/>
                <w:sz w:val="20"/>
              </w:rPr>
              <w:t xml:space="preserve">(80 %) </w:t>
            </w:r>
          </w:p>
        </w:tc>
        <w:tc>
          <w:tcPr>
            <w:tcW w:w="1404" w:type="dxa"/>
            <w:tcBorders>
              <w:top w:val="single" w:sz="12" w:space="0" w:color="auto"/>
              <w:left w:val="single" w:sz="2" w:space="0" w:color="000000"/>
              <w:bottom w:val="single" w:sz="12" w:space="0" w:color="auto"/>
              <w:right w:val="single" w:sz="2" w:space="0" w:color="000000"/>
            </w:tcBorders>
            <w:shd w:val="clear" w:color="auto" w:fill="E0E0E0"/>
            <w:vAlign w:val="center"/>
          </w:tcPr>
          <w:p>
            <w:pPr>
              <w:keepNext/>
              <w:autoSpaceDE w:val="0"/>
              <w:autoSpaceDN w:val="0"/>
              <w:adjustRightInd w:val="0"/>
              <w:jc w:val="center"/>
              <w:rPr>
                <w:b/>
                <w:bCs/>
                <w:noProof/>
                <w:color w:val="000000"/>
                <w:sz w:val="20"/>
              </w:rPr>
            </w:pPr>
            <w:r>
              <w:rPr>
                <w:b/>
                <w:bCs/>
                <w:noProof/>
                <w:color w:val="000000"/>
                <w:sz w:val="20"/>
              </w:rPr>
              <w:t>Customs duties</w:t>
            </w:r>
          </w:p>
          <w:p>
            <w:pPr>
              <w:keepNext/>
              <w:autoSpaceDE w:val="0"/>
              <w:autoSpaceDN w:val="0"/>
              <w:adjustRightInd w:val="0"/>
              <w:jc w:val="center"/>
              <w:rPr>
                <w:b/>
                <w:bCs/>
                <w:i/>
                <w:iCs/>
                <w:noProof/>
                <w:color w:val="000000"/>
                <w:sz w:val="20"/>
              </w:rPr>
            </w:pPr>
            <w:r>
              <w:rPr>
                <w:b/>
                <w:bCs/>
                <w:i/>
                <w:iCs/>
                <w:noProof/>
                <w:color w:val="000000"/>
                <w:sz w:val="20"/>
              </w:rPr>
              <w:t>(80 %)</w:t>
            </w:r>
          </w:p>
        </w:tc>
        <w:tc>
          <w:tcPr>
            <w:tcW w:w="1404" w:type="dxa"/>
            <w:tcBorders>
              <w:top w:val="single" w:sz="12" w:space="0" w:color="auto"/>
              <w:left w:val="single" w:sz="2" w:space="0" w:color="000000"/>
              <w:bottom w:val="single" w:sz="12" w:space="0" w:color="auto"/>
              <w:right w:val="single" w:sz="2" w:space="0" w:color="000000"/>
            </w:tcBorders>
            <w:shd w:val="clear" w:color="auto" w:fill="E0E0E0"/>
            <w:vAlign w:val="center"/>
          </w:tcPr>
          <w:p>
            <w:pPr>
              <w:keepNext/>
              <w:autoSpaceDE w:val="0"/>
              <w:autoSpaceDN w:val="0"/>
              <w:adjustRightInd w:val="0"/>
              <w:jc w:val="center"/>
              <w:rPr>
                <w:b/>
                <w:bCs/>
                <w:noProof/>
                <w:color w:val="000000"/>
                <w:sz w:val="20"/>
              </w:rPr>
            </w:pPr>
            <w:r>
              <w:rPr>
                <w:b/>
                <w:bCs/>
                <w:noProof/>
                <w:color w:val="000000"/>
                <w:sz w:val="20"/>
              </w:rPr>
              <w:t>Uncapped VAT bases</w:t>
            </w:r>
          </w:p>
        </w:tc>
        <w:tc>
          <w:tcPr>
            <w:tcW w:w="1404" w:type="dxa"/>
            <w:tcBorders>
              <w:top w:val="single" w:sz="12" w:space="0" w:color="auto"/>
              <w:left w:val="single" w:sz="2" w:space="0" w:color="000000"/>
              <w:bottom w:val="single" w:sz="12" w:space="0" w:color="auto"/>
              <w:right w:val="single" w:sz="2" w:space="0" w:color="000000"/>
            </w:tcBorders>
            <w:shd w:val="clear" w:color="auto" w:fill="E0E0E0"/>
            <w:vAlign w:val="center"/>
          </w:tcPr>
          <w:p>
            <w:pPr>
              <w:keepNext/>
              <w:autoSpaceDE w:val="0"/>
              <w:autoSpaceDN w:val="0"/>
              <w:adjustRightInd w:val="0"/>
              <w:jc w:val="center"/>
              <w:rPr>
                <w:b/>
                <w:bCs/>
                <w:noProof/>
                <w:color w:val="000000"/>
                <w:sz w:val="20"/>
              </w:rPr>
            </w:pPr>
            <w:r>
              <w:rPr>
                <w:b/>
                <w:bCs/>
                <w:noProof/>
                <w:color w:val="000000"/>
                <w:sz w:val="20"/>
              </w:rPr>
              <w:t>GNI bases</w:t>
            </w:r>
          </w:p>
        </w:tc>
        <w:tc>
          <w:tcPr>
            <w:tcW w:w="1404" w:type="dxa"/>
            <w:tcBorders>
              <w:top w:val="single" w:sz="12" w:space="0" w:color="auto"/>
              <w:left w:val="single" w:sz="2" w:space="0" w:color="000000"/>
              <w:bottom w:val="single" w:sz="12" w:space="0" w:color="auto"/>
              <w:right w:val="single" w:sz="12" w:space="0" w:color="auto"/>
            </w:tcBorders>
            <w:shd w:val="clear" w:color="auto" w:fill="E0E0E0"/>
            <w:vAlign w:val="center"/>
          </w:tcPr>
          <w:p>
            <w:pPr>
              <w:keepNext/>
              <w:autoSpaceDE w:val="0"/>
              <w:autoSpaceDN w:val="0"/>
              <w:adjustRightInd w:val="0"/>
              <w:jc w:val="center"/>
              <w:rPr>
                <w:b/>
                <w:bCs/>
                <w:i/>
                <w:iCs/>
                <w:noProof/>
                <w:color w:val="000000"/>
                <w:sz w:val="20"/>
              </w:rPr>
            </w:pPr>
            <w:r>
              <w:rPr>
                <w:b/>
                <w:bCs/>
                <w:i/>
                <w:iCs/>
                <w:noProof/>
                <w:color w:val="000000"/>
                <w:sz w:val="20"/>
              </w:rPr>
              <w:t>Capped</w:t>
            </w:r>
          </w:p>
          <w:p>
            <w:pPr>
              <w:keepNext/>
              <w:autoSpaceDE w:val="0"/>
              <w:autoSpaceDN w:val="0"/>
              <w:adjustRightInd w:val="0"/>
              <w:jc w:val="center"/>
              <w:rPr>
                <w:b/>
                <w:bCs/>
                <w:i/>
                <w:iCs/>
                <w:noProof/>
                <w:color w:val="000000"/>
                <w:sz w:val="20"/>
              </w:rPr>
            </w:pPr>
            <w:r>
              <w:rPr>
                <w:b/>
                <w:bCs/>
                <w:i/>
                <w:iCs/>
                <w:noProof/>
                <w:color w:val="000000"/>
                <w:sz w:val="20"/>
              </w:rPr>
              <w:t>VAT bases</w:t>
            </w:r>
            <w:r>
              <w:rPr>
                <w:b/>
                <w:bCs/>
                <w:i/>
                <w:iCs/>
                <w:noProof/>
                <w:color w:val="000000"/>
                <w:sz w:val="20"/>
                <w:vertAlign w:val="superscript"/>
              </w:rPr>
              <w:footnoteReference w:id="15"/>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BE</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7,0</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 xml:space="preserve">2 180,8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181 702,0</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 xml:space="preserve">430 857,3 </w:t>
            </w:r>
          </w:p>
        </w:tc>
        <w:tc>
          <w:tcPr>
            <w:tcW w:w="1404" w:type="dxa"/>
            <w:tcBorders>
              <w:top w:val="single" w:sz="12" w:space="0" w:color="auto"/>
              <w:left w:val="single" w:sz="2" w:space="0" w:color="000000"/>
              <w:bottom w:val="single" w:sz="2" w:space="0" w:color="000000"/>
              <w:right w:val="single" w:sz="12" w:space="0" w:color="auto"/>
            </w:tcBorders>
            <w:shd w:val="clear" w:color="auto" w:fill="auto"/>
            <w:vAlign w:val="center"/>
          </w:tcPr>
          <w:p>
            <w:pPr>
              <w:ind w:left="20"/>
              <w:contextualSpacing/>
              <w:jc w:val="right"/>
              <w:rPr>
                <w:noProof/>
                <w:color w:val="000000"/>
                <w:sz w:val="20"/>
              </w:rPr>
            </w:pPr>
            <w:r>
              <w:rPr>
                <w:noProof/>
                <w:color w:val="000000"/>
                <w:sz w:val="20"/>
              </w:rPr>
              <w:t xml:space="preserve">181 702,0 </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BG</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0,4</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 xml:space="preserve">74,3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23 169,3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48 254,9 </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center"/>
          </w:tcPr>
          <w:p>
            <w:pPr>
              <w:contextualSpacing/>
              <w:jc w:val="right"/>
              <w:rPr>
                <w:noProof/>
                <w:color w:val="000000"/>
                <w:sz w:val="20"/>
              </w:rPr>
            </w:pPr>
            <w:r>
              <w:rPr>
                <w:noProof/>
                <w:color w:val="000000"/>
                <w:sz w:val="20"/>
              </w:rPr>
              <w:t xml:space="preserve">23 169,3 </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CZ</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3,6</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253,9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69 591,7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170 821,6 </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center"/>
          </w:tcPr>
          <w:p>
            <w:pPr>
              <w:contextualSpacing/>
              <w:jc w:val="right"/>
              <w:rPr>
                <w:noProof/>
                <w:color w:val="000000"/>
                <w:sz w:val="20"/>
              </w:rPr>
            </w:pPr>
            <w:r>
              <w:rPr>
                <w:noProof/>
                <w:color w:val="000000"/>
                <w:sz w:val="20"/>
              </w:rPr>
              <w:t xml:space="preserve">69 591,7 </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DK</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3,6</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333,1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109 543,6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294 073,0 </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center"/>
          </w:tcPr>
          <w:p>
            <w:pPr>
              <w:contextualSpacing/>
              <w:jc w:val="right"/>
              <w:rPr>
                <w:noProof/>
                <w:color w:val="000000"/>
                <w:sz w:val="20"/>
              </w:rPr>
            </w:pPr>
            <w:r>
              <w:rPr>
                <w:noProof/>
                <w:color w:val="000000"/>
                <w:sz w:val="20"/>
              </w:rPr>
              <w:t xml:space="preserve">109 543,6 </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DE</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28,1</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4 214,7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1 344 582,5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3 292 895,8 </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center"/>
          </w:tcPr>
          <w:p>
            <w:pPr>
              <w:contextualSpacing/>
              <w:jc w:val="right"/>
              <w:rPr>
                <w:noProof/>
                <w:color w:val="000000"/>
                <w:sz w:val="20"/>
              </w:rPr>
            </w:pPr>
            <w:r>
              <w:rPr>
                <w:noProof/>
                <w:color w:val="000000"/>
                <w:sz w:val="20"/>
              </w:rPr>
              <w:t xml:space="preserve">1 344 582,5 </w:t>
            </w:r>
          </w:p>
        </w:tc>
      </w:tr>
      <w:tr>
        <w:trPr>
          <w:trHeight w:val="247"/>
          <w:jc w:val="center"/>
        </w:trPr>
        <w:tc>
          <w:tcPr>
            <w:tcW w:w="829" w:type="dxa"/>
            <w:tcBorders>
              <w:top w:val="single" w:sz="2" w:space="0" w:color="000000"/>
              <w:left w:val="single" w:sz="12" w:space="0" w:color="auto"/>
              <w:bottom w:val="single" w:sz="2" w:space="0" w:color="auto"/>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EE</w:t>
            </w:r>
          </w:p>
        </w:tc>
        <w:tc>
          <w:tcPr>
            <w:tcW w:w="1404" w:type="dxa"/>
            <w:tcBorders>
              <w:top w:val="single" w:sz="2" w:space="0" w:color="000000"/>
              <w:left w:val="single" w:sz="2" w:space="0" w:color="000000"/>
              <w:bottom w:val="single" w:sz="2" w:space="0" w:color="auto"/>
              <w:right w:val="single" w:sz="2" w:space="0" w:color="000000"/>
            </w:tcBorders>
            <w:vAlign w:val="center"/>
          </w:tcPr>
          <w:p>
            <w:pPr>
              <w:ind w:left="20"/>
              <w:contextualSpacing/>
              <w:jc w:val="right"/>
              <w:rPr>
                <w:noProof/>
                <w:color w:val="000000"/>
                <w:sz w:val="20"/>
              </w:rPr>
            </w:pPr>
            <w:r>
              <w:rPr>
                <w:noProof/>
                <w:color w:val="000000"/>
                <w:sz w:val="20"/>
              </w:rPr>
              <w:t>0,0</w:t>
            </w:r>
          </w:p>
        </w:tc>
        <w:tc>
          <w:tcPr>
            <w:tcW w:w="1404" w:type="dxa"/>
            <w:tcBorders>
              <w:top w:val="single" w:sz="2" w:space="0" w:color="000000"/>
              <w:left w:val="single" w:sz="2" w:space="0" w:color="000000"/>
              <w:bottom w:val="single" w:sz="2" w:space="0" w:color="auto"/>
              <w:right w:val="single" w:sz="2" w:space="0" w:color="000000"/>
            </w:tcBorders>
            <w:vAlign w:val="center"/>
          </w:tcPr>
          <w:p>
            <w:pPr>
              <w:contextualSpacing/>
              <w:jc w:val="right"/>
              <w:rPr>
                <w:noProof/>
                <w:color w:val="000000"/>
                <w:sz w:val="20"/>
              </w:rPr>
            </w:pPr>
            <w:r>
              <w:rPr>
                <w:noProof/>
                <w:color w:val="000000"/>
                <w:sz w:val="20"/>
              </w:rPr>
              <w:t xml:space="preserve">29,1 </w:t>
            </w:r>
          </w:p>
        </w:tc>
        <w:tc>
          <w:tcPr>
            <w:tcW w:w="1404" w:type="dxa"/>
            <w:tcBorders>
              <w:top w:val="single" w:sz="2" w:space="0" w:color="000000"/>
              <w:left w:val="single" w:sz="2" w:space="0" w:color="000000"/>
              <w:bottom w:val="single" w:sz="2" w:space="0" w:color="auto"/>
              <w:right w:val="single" w:sz="2" w:space="0" w:color="000000"/>
            </w:tcBorders>
            <w:vAlign w:val="center"/>
          </w:tcPr>
          <w:p>
            <w:pPr>
              <w:contextualSpacing/>
              <w:jc w:val="right"/>
              <w:rPr>
                <w:noProof/>
                <w:color w:val="000000"/>
                <w:sz w:val="20"/>
              </w:rPr>
            </w:pPr>
            <w:r>
              <w:rPr>
                <w:noProof/>
                <w:color w:val="000000"/>
                <w:sz w:val="20"/>
              </w:rPr>
              <w:t xml:space="preserve">11 013,6 </w:t>
            </w:r>
          </w:p>
        </w:tc>
        <w:tc>
          <w:tcPr>
            <w:tcW w:w="1404" w:type="dxa"/>
            <w:tcBorders>
              <w:top w:val="single" w:sz="2" w:space="0" w:color="000000"/>
              <w:left w:val="single" w:sz="2" w:space="0" w:color="000000"/>
              <w:bottom w:val="single" w:sz="2" w:space="0" w:color="auto"/>
              <w:right w:val="single" w:sz="2" w:space="0" w:color="000000"/>
            </w:tcBorders>
            <w:vAlign w:val="center"/>
          </w:tcPr>
          <w:p>
            <w:pPr>
              <w:contextualSpacing/>
              <w:jc w:val="right"/>
              <w:rPr>
                <w:noProof/>
                <w:color w:val="000000"/>
                <w:sz w:val="20"/>
              </w:rPr>
            </w:pPr>
            <w:r>
              <w:rPr>
                <w:noProof/>
                <w:color w:val="000000"/>
                <w:sz w:val="20"/>
              </w:rPr>
              <w:t xml:space="preserve">21 710,8 </w:t>
            </w:r>
          </w:p>
        </w:tc>
        <w:tc>
          <w:tcPr>
            <w:tcW w:w="1404" w:type="dxa"/>
            <w:tcBorders>
              <w:top w:val="single" w:sz="2" w:space="0" w:color="000000"/>
              <w:left w:val="single" w:sz="2" w:space="0" w:color="000000"/>
              <w:bottom w:val="single" w:sz="2" w:space="0" w:color="000000"/>
              <w:right w:val="single" w:sz="12" w:space="0" w:color="auto"/>
            </w:tcBorders>
            <w:shd w:val="clear" w:color="auto" w:fill="BFBFBF" w:themeFill="background1" w:themeFillShade="BF"/>
            <w:vAlign w:val="center"/>
          </w:tcPr>
          <w:p>
            <w:pPr>
              <w:contextualSpacing/>
              <w:jc w:val="right"/>
              <w:rPr>
                <w:noProof/>
                <w:color w:val="000000"/>
                <w:sz w:val="20"/>
              </w:rPr>
            </w:pPr>
            <w:r>
              <w:rPr>
                <w:noProof/>
                <w:color w:val="000000"/>
                <w:sz w:val="20"/>
              </w:rPr>
              <w:t xml:space="preserve">10 855,4 </w:t>
            </w:r>
          </w:p>
        </w:tc>
      </w:tr>
      <w:tr>
        <w:trPr>
          <w:trHeight w:val="247"/>
          <w:jc w:val="center"/>
        </w:trPr>
        <w:tc>
          <w:tcPr>
            <w:tcW w:w="829" w:type="dxa"/>
            <w:tcBorders>
              <w:top w:val="single" w:sz="2" w:space="0" w:color="auto"/>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IE</w:t>
            </w:r>
          </w:p>
        </w:tc>
        <w:tc>
          <w:tcPr>
            <w:tcW w:w="1404" w:type="dxa"/>
            <w:tcBorders>
              <w:top w:val="single" w:sz="2" w:space="0" w:color="auto"/>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0,0</w:t>
            </w:r>
          </w:p>
        </w:tc>
        <w:tc>
          <w:tcPr>
            <w:tcW w:w="1404" w:type="dxa"/>
            <w:tcBorders>
              <w:top w:val="single" w:sz="2" w:space="0" w:color="auto"/>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277,1 </w:t>
            </w:r>
          </w:p>
        </w:tc>
        <w:tc>
          <w:tcPr>
            <w:tcW w:w="1404" w:type="dxa"/>
            <w:tcBorders>
              <w:top w:val="single" w:sz="2" w:space="0" w:color="auto"/>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82 328,0 </w:t>
            </w:r>
          </w:p>
        </w:tc>
        <w:tc>
          <w:tcPr>
            <w:tcW w:w="1404" w:type="dxa"/>
            <w:tcBorders>
              <w:top w:val="single" w:sz="2" w:space="0" w:color="auto"/>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231 429,7 </w:t>
            </w:r>
          </w:p>
        </w:tc>
        <w:tc>
          <w:tcPr>
            <w:tcW w:w="1404" w:type="dxa"/>
            <w:tcBorders>
              <w:top w:val="single" w:sz="2" w:space="0" w:color="000000"/>
              <w:left w:val="single" w:sz="2" w:space="0" w:color="000000"/>
              <w:bottom w:val="single" w:sz="2" w:space="0" w:color="auto"/>
              <w:right w:val="single" w:sz="12" w:space="0" w:color="auto"/>
            </w:tcBorders>
            <w:shd w:val="clear" w:color="auto" w:fill="auto"/>
            <w:vAlign w:val="center"/>
          </w:tcPr>
          <w:p>
            <w:pPr>
              <w:contextualSpacing/>
              <w:jc w:val="right"/>
              <w:rPr>
                <w:noProof/>
                <w:color w:val="000000"/>
                <w:sz w:val="20"/>
              </w:rPr>
            </w:pPr>
            <w:r>
              <w:rPr>
                <w:noProof/>
                <w:color w:val="000000"/>
                <w:sz w:val="20"/>
              </w:rPr>
              <w:t xml:space="preserve">82 328,0 </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EL</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1,5</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156,9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72 702,4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181 726,6 </w:t>
            </w:r>
          </w:p>
        </w:tc>
        <w:tc>
          <w:tcPr>
            <w:tcW w:w="1404" w:type="dxa"/>
            <w:tcBorders>
              <w:top w:val="single" w:sz="2" w:space="0" w:color="auto"/>
              <w:left w:val="single" w:sz="2" w:space="0" w:color="000000"/>
              <w:bottom w:val="single" w:sz="2" w:space="0" w:color="000000"/>
              <w:right w:val="single" w:sz="12" w:space="0" w:color="auto"/>
            </w:tcBorders>
            <w:shd w:val="clear" w:color="auto" w:fill="auto"/>
            <w:vAlign w:val="center"/>
          </w:tcPr>
          <w:p>
            <w:pPr>
              <w:contextualSpacing/>
              <w:jc w:val="right"/>
              <w:rPr>
                <w:noProof/>
                <w:color w:val="000000"/>
                <w:sz w:val="20"/>
              </w:rPr>
            </w:pPr>
            <w:r>
              <w:rPr>
                <w:noProof/>
                <w:color w:val="000000"/>
                <w:sz w:val="20"/>
              </w:rPr>
              <w:t xml:space="preserve">72 702,4 </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ES</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5,0</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1 521,4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511 216,1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1 157 887,3 </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center"/>
          </w:tcPr>
          <w:p>
            <w:pPr>
              <w:contextualSpacing/>
              <w:jc w:val="right"/>
              <w:rPr>
                <w:noProof/>
                <w:color w:val="000000"/>
                <w:sz w:val="20"/>
              </w:rPr>
            </w:pPr>
            <w:r>
              <w:rPr>
                <w:noProof/>
                <w:color w:val="000000"/>
                <w:sz w:val="20"/>
              </w:rPr>
              <w:t xml:space="preserve">511 216,1 </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FR</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33,0</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1 599,0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1 016 719,6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2 324 154,3 </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center"/>
          </w:tcPr>
          <w:p>
            <w:pPr>
              <w:contextualSpacing/>
              <w:jc w:val="right"/>
              <w:rPr>
                <w:noProof/>
                <w:color w:val="000000"/>
                <w:sz w:val="20"/>
              </w:rPr>
            </w:pPr>
            <w:r>
              <w:rPr>
                <w:noProof/>
                <w:color w:val="000000"/>
                <w:sz w:val="20"/>
              </w:rPr>
              <w:t xml:space="preserve">1 016 719,6 </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HR</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1,9</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45,8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28 337,3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46 300,3 </w:t>
            </w:r>
          </w:p>
        </w:tc>
        <w:tc>
          <w:tcPr>
            <w:tcW w:w="1404" w:type="dxa"/>
            <w:tcBorders>
              <w:top w:val="single" w:sz="2" w:space="0" w:color="000000"/>
              <w:left w:val="single" w:sz="2" w:space="0" w:color="000000"/>
              <w:bottom w:val="single" w:sz="2" w:space="0" w:color="000000"/>
              <w:right w:val="single" w:sz="12" w:space="0" w:color="auto"/>
            </w:tcBorders>
            <w:shd w:val="clear" w:color="auto" w:fill="BFBFBF" w:themeFill="background1" w:themeFillShade="BF"/>
            <w:vAlign w:val="center"/>
          </w:tcPr>
          <w:p>
            <w:pPr>
              <w:contextualSpacing/>
              <w:jc w:val="right"/>
              <w:rPr>
                <w:noProof/>
                <w:color w:val="000000"/>
                <w:sz w:val="20"/>
              </w:rPr>
            </w:pPr>
            <w:r>
              <w:rPr>
                <w:noProof/>
                <w:color w:val="000000"/>
                <w:sz w:val="20"/>
              </w:rPr>
              <w:t xml:space="preserve">23 150,2 </w:t>
            </w:r>
          </w:p>
        </w:tc>
      </w:tr>
      <w:tr>
        <w:trPr>
          <w:trHeight w:val="247"/>
          <w:jc w:val="center"/>
        </w:trPr>
        <w:tc>
          <w:tcPr>
            <w:tcW w:w="829" w:type="dxa"/>
            <w:tcBorders>
              <w:top w:val="single" w:sz="2" w:space="0" w:color="000000"/>
              <w:left w:val="single" w:sz="12" w:space="0" w:color="auto"/>
              <w:bottom w:val="single" w:sz="4" w:space="0" w:color="auto"/>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IT</w:t>
            </w:r>
          </w:p>
        </w:tc>
        <w:tc>
          <w:tcPr>
            <w:tcW w:w="1404" w:type="dxa"/>
            <w:tcBorders>
              <w:top w:val="single" w:sz="2" w:space="0" w:color="000000"/>
              <w:left w:val="single" w:sz="2" w:space="0" w:color="000000"/>
              <w:bottom w:val="single" w:sz="4" w:space="0" w:color="auto"/>
              <w:right w:val="single" w:sz="2" w:space="0" w:color="000000"/>
            </w:tcBorders>
            <w:vAlign w:val="center"/>
          </w:tcPr>
          <w:p>
            <w:pPr>
              <w:ind w:left="20"/>
              <w:contextualSpacing/>
              <w:jc w:val="right"/>
              <w:rPr>
                <w:noProof/>
                <w:color w:val="000000"/>
                <w:sz w:val="20"/>
              </w:rPr>
            </w:pPr>
            <w:r>
              <w:rPr>
                <w:noProof/>
                <w:color w:val="000000"/>
                <w:sz w:val="20"/>
              </w:rPr>
              <w:t>5,0</w:t>
            </w:r>
          </w:p>
        </w:tc>
        <w:tc>
          <w:tcPr>
            <w:tcW w:w="1404" w:type="dxa"/>
            <w:tcBorders>
              <w:top w:val="single" w:sz="2" w:space="0" w:color="000000"/>
              <w:left w:val="single" w:sz="2" w:space="0" w:color="000000"/>
              <w:bottom w:val="single" w:sz="4" w:space="0" w:color="auto"/>
              <w:right w:val="single" w:sz="2" w:space="0" w:color="000000"/>
            </w:tcBorders>
            <w:vAlign w:val="center"/>
          </w:tcPr>
          <w:p>
            <w:pPr>
              <w:contextualSpacing/>
              <w:jc w:val="right"/>
              <w:rPr>
                <w:noProof/>
                <w:color w:val="000000"/>
                <w:sz w:val="20"/>
              </w:rPr>
            </w:pPr>
            <w:r>
              <w:rPr>
                <w:noProof/>
                <w:color w:val="000000"/>
                <w:sz w:val="20"/>
              </w:rPr>
              <w:t xml:space="preserve">1 910,7 </w:t>
            </w:r>
          </w:p>
        </w:tc>
        <w:tc>
          <w:tcPr>
            <w:tcW w:w="1404" w:type="dxa"/>
            <w:tcBorders>
              <w:top w:val="single" w:sz="2" w:space="0" w:color="000000"/>
              <w:left w:val="single" w:sz="2" w:space="0" w:color="000000"/>
              <w:bottom w:val="single" w:sz="4" w:space="0" w:color="auto"/>
              <w:right w:val="single" w:sz="2" w:space="0" w:color="000000"/>
            </w:tcBorders>
            <w:vAlign w:val="center"/>
          </w:tcPr>
          <w:p>
            <w:pPr>
              <w:contextualSpacing/>
              <w:jc w:val="right"/>
              <w:rPr>
                <w:noProof/>
                <w:color w:val="000000"/>
                <w:sz w:val="20"/>
              </w:rPr>
            </w:pPr>
            <w:r>
              <w:rPr>
                <w:noProof/>
                <w:color w:val="000000"/>
                <w:sz w:val="20"/>
              </w:rPr>
              <w:t xml:space="preserve">649 635,8 </w:t>
            </w:r>
          </w:p>
        </w:tc>
        <w:tc>
          <w:tcPr>
            <w:tcW w:w="1404" w:type="dxa"/>
            <w:tcBorders>
              <w:top w:val="single" w:sz="2" w:space="0" w:color="000000"/>
              <w:left w:val="single" w:sz="2" w:space="0" w:color="000000"/>
              <w:bottom w:val="single" w:sz="4" w:space="0" w:color="auto"/>
              <w:right w:val="single" w:sz="2" w:space="0" w:color="000000"/>
            </w:tcBorders>
            <w:vAlign w:val="center"/>
          </w:tcPr>
          <w:p>
            <w:pPr>
              <w:contextualSpacing/>
              <w:jc w:val="right"/>
              <w:rPr>
                <w:noProof/>
                <w:color w:val="000000"/>
                <w:sz w:val="20"/>
              </w:rPr>
            </w:pPr>
            <w:r>
              <w:rPr>
                <w:noProof/>
                <w:color w:val="000000"/>
                <w:sz w:val="20"/>
              </w:rPr>
              <w:t xml:space="preserve">1 705 264,7 </w:t>
            </w:r>
          </w:p>
        </w:tc>
        <w:tc>
          <w:tcPr>
            <w:tcW w:w="1404" w:type="dxa"/>
            <w:tcBorders>
              <w:top w:val="single" w:sz="2" w:space="0" w:color="000000"/>
              <w:left w:val="single" w:sz="2" w:space="0" w:color="000000"/>
              <w:bottom w:val="single" w:sz="4" w:space="0" w:color="auto"/>
              <w:right w:val="single" w:sz="12" w:space="0" w:color="auto"/>
            </w:tcBorders>
            <w:shd w:val="clear" w:color="auto" w:fill="auto"/>
            <w:vAlign w:val="center"/>
          </w:tcPr>
          <w:p>
            <w:pPr>
              <w:contextualSpacing/>
              <w:jc w:val="right"/>
              <w:rPr>
                <w:noProof/>
                <w:color w:val="000000"/>
                <w:sz w:val="20"/>
              </w:rPr>
            </w:pPr>
            <w:r>
              <w:rPr>
                <w:noProof/>
                <w:color w:val="000000"/>
                <w:sz w:val="20"/>
              </w:rPr>
              <w:t xml:space="preserve">649 635,8 </w:t>
            </w:r>
          </w:p>
        </w:tc>
      </w:tr>
      <w:tr>
        <w:trPr>
          <w:trHeight w:val="247"/>
          <w:jc w:val="center"/>
        </w:trPr>
        <w:tc>
          <w:tcPr>
            <w:tcW w:w="829" w:type="dxa"/>
            <w:tcBorders>
              <w:top w:val="single" w:sz="4" w:space="0" w:color="auto"/>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CY</w:t>
            </w:r>
          </w:p>
        </w:tc>
        <w:tc>
          <w:tcPr>
            <w:tcW w:w="1404" w:type="dxa"/>
            <w:tcBorders>
              <w:top w:val="single" w:sz="4" w:space="0" w:color="auto"/>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0,0</w:t>
            </w:r>
          </w:p>
        </w:tc>
        <w:tc>
          <w:tcPr>
            <w:tcW w:w="1404" w:type="dxa"/>
            <w:tcBorders>
              <w:top w:val="single" w:sz="4" w:space="0" w:color="auto"/>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20,3 </w:t>
            </w:r>
          </w:p>
        </w:tc>
        <w:tc>
          <w:tcPr>
            <w:tcW w:w="1404" w:type="dxa"/>
            <w:tcBorders>
              <w:top w:val="single" w:sz="4" w:space="0" w:color="auto"/>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12 082,5 </w:t>
            </w:r>
          </w:p>
        </w:tc>
        <w:tc>
          <w:tcPr>
            <w:tcW w:w="1404" w:type="dxa"/>
            <w:tcBorders>
              <w:top w:val="single" w:sz="4" w:space="0" w:color="auto"/>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17 909,5 </w:t>
            </w:r>
          </w:p>
        </w:tc>
        <w:tc>
          <w:tcPr>
            <w:tcW w:w="1404" w:type="dxa"/>
            <w:tcBorders>
              <w:top w:val="single" w:sz="4" w:space="0" w:color="auto"/>
              <w:left w:val="single" w:sz="2" w:space="0" w:color="000000"/>
              <w:bottom w:val="single" w:sz="2" w:space="0" w:color="000000"/>
              <w:right w:val="single" w:sz="12" w:space="0" w:color="auto"/>
            </w:tcBorders>
            <w:shd w:val="clear" w:color="auto" w:fill="BFBFBF" w:themeFill="background1" w:themeFillShade="BF"/>
            <w:vAlign w:val="center"/>
          </w:tcPr>
          <w:p>
            <w:pPr>
              <w:contextualSpacing/>
              <w:jc w:val="right"/>
              <w:rPr>
                <w:noProof/>
                <w:color w:val="000000"/>
                <w:sz w:val="20"/>
              </w:rPr>
            </w:pPr>
            <w:r>
              <w:rPr>
                <w:noProof/>
                <w:color w:val="000000"/>
                <w:sz w:val="20"/>
              </w:rPr>
              <w:t xml:space="preserve">8 954,8 </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LV</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0,0</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40,7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10 662,9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26 452,1 </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center"/>
          </w:tcPr>
          <w:p>
            <w:pPr>
              <w:contextualSpacing/>
              <w:jc w:val="right"/>
              <w:rPr>
                <w:noProof/>
                <w:color w:val="000000"/>
                <w:sz w:val="20"/>
              </w:rPr>
            </w:pPr>
            <w:r>
              <w:rPr>
                <w:noProof/>
                <w:color w:val="000000"/>
                <w:sz w:val="20"/>
              </w:rPr>
              <w:t xml:space="preserve">10 662,9 </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LT</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0,9</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77,0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16 556,7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39 240,8 </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center"/>
          </w:tcPr>
          <w:p>
            <w:pPr>
              <w:contextualSpacing/>
              <w:jc w:val="right"/>
              <w:rPr>
                <w:noProof/>
                <w:color w:val="000000"/>
                <w:sz w:val="20"/>
              </w:rPr>
            </w:pPr>
            <w:r>
              <w:rPr>
                <w:noProof/>
                <w:color w:val="000000"/>
                <w:sz w:val="20"/>
              </w:rPr>
              <w:t xml:space="preserve">16 556,7 </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LU</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0,0</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19,5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26 940,4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37 268,3 </w:t>
            </w:r>
          </w:p>
        </w:tc>
        <w:tc>
          <w:tcPr>
            <w:tcW w:w="1404" w:type="dxa"/>
            <w:tcBorders>
              <w:top w:val="single" w:sz="2" w:space="0" w:color="000000"/>
              <w:left w:val="single" w:sz="2" w:space="0" w:color="000000"/>
              <w:bottom w:val="single" w:sz="2" w:space="0" w:color="000000"/>
              <w:right w:val="single" w:sz="12" w:space="0" w:color="auto"/>
            </w:tcBorders>
            <w:shd w:val="clear" w:color="auto" w:fill="BFBFBF" w:themeFill="background1" w:themeFillShade="BF"/>
            <w:vAlign w:val="center"/>
          </w:tcPr>
          <w:p>
            <w:pPr>
              <w:contextualSpacing/>
              <w:jc w:val="right"/>
              <w:rPr>
                <w:noProof/>
                <w:color w:val="000000"/>
                <w:sz w:val="20"/>
              </w:rPr>
            </w:pPr>
            <w:r>
              <w:rPr>
                <w:noProof/>
                <w:color w:val="000000"/>
                <w:sz w:val="20"/>
              </w:rPr>
              <w:t xml:space="preserve">18 634,2 </w:t>
            </w:r>
          </w:p>
        </w:tc>
      </w:tr>
      <w:tr>
        <w:trPr>
          <w:trHeight w:val="247"/>
          <w:jc w:val="center"/>
        </w:trPr>
        <w:tc>
          <w:tcPr>
            <w:tcW w:w="829" w:type="dxa"/>
            <w:tcBorders>
              <w:top w:val="single" w:sz="2" w:space="0" w:color="000000"/>
              <w:left w:val="single" w:sz="12" w:space="0" w:color="auto"/>
              <w:bottom w:val="single" w:sz="4" w:space="0" w:color="auto"/>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HU</w:t>
            </w:r>
          </w:p>
        </w:tc>
        <w:tc>
          <w:tcPr>
            <w:tcW w:w="1404" w:type="dxa"/>
            <w:tcBorders>
              <w:top w:val="single" w:sz="2" w:space="0" w:color="000000"/>
              <w:left w:val="single" w:sz="2" w:space="0" w:color="000000"/>
              <w:bottom w:val="single" w:sz="4" w:space="0" w:color="auto"/>
              <w:right w:val="single" w:sz="2" w:space="0" w:color="000000"/>
            </w:tcBorders>
            <w:vAlign w:val="center"/>
          </w:tcPr>
          <w:p>
            <w:pPr>
              <w:ind w:left="20"/>
              <w:contextualSpacing/>
              <w:jc w:val="right"/>
              <w:rPr>
                <w:noProof/>
                <w:color w:val="000000"/>
                <w:sz w:val="20"/>
              </w:rPr>
            </w:pPr>
            <w:r>
              <w:rPr>
                <w:noProof/>
                <w:color w:val="000000"/>
                <w:sz w:val="20"/>
              </w:rPr>
              <w:t>2,2</w:t>
            </w:r>
          </w:p>
        </w:tc>
        <w:tc>
          <w:tcPr>
            <w:tcW w:w="1404" w:type="dxa"/>
            <w:tcBorders>
              <w:top w:val="single" w:sz="2" w:space="0" w:color="000000"/>
              <w:left w:val="single" w:sz="2" w:space="0" w:color="000000"/>
              <w:bottom w:val="single" w:sz="4" w:space="0" w:color="auto"/>
              <w:right w:val="single" w:sz="2" w:space="0" w:color="000000"/>
            </w:tcBorders>
            <w:vAlign w:val="center"/>
          </w:tcPr>
          <w:p>
            <w:pPr>
              <w:contextualSpacing/>
              <w:jc w:val="right"/>
              <w:rPr>
                <w:noProof/>
                <w:color w:val="000000"/>
                <w:sz w:val="20"/>
              </w:rPr>
            </w:pPr>
            <w:r>
              <w:rPr>
                <w:noProof/>
                <w:color w:val="000000"/>
                <w:sz w:val="20"/>
              </w:rPr>
              <w:t xml:space="preserve">140,1 </w:t>
            </w:r>
          </w:p>
        </w:tc>
        <w:tc>
          <w:tcPr>
            <w:tcW w:w="1404" w:type="dxa"/>
            <w:tcBorders>
              <w:top w:val="single" w:sz="2" w:space="0" w:color="000000"/>
              <w:left w:val="single" w:sz="2" w:space="0" w:color="000000"/>
              <w:bottom w:val="single" w:sz="4" w:space="0" w:color="auto"/>
              <w:right w:val="single" w:sz="2" w:space="0" w:color="000000"/>
            </w:tcBorders>
            <w:vAlign w:val="center"/>
          </w:tcPr>
          <w:p>
            <w:pPr>
              <w:contextualSpacing/>
              <w:jc w:val="right"/>
              <w:rPr>
                <w:noProof/>
                <w:color w:val="000000"/>
                <w:sz w:val="20"/>
              </w:rPr>
            </w:pPr>
            <w:r>
              <w:rPr>
                <w:noProof/>
                <w:color w:val="000000"/>
                <w:sz w:val="20"/>
              </w:rPr>
              <w:t xml:space="preserve">48 357,0 </w:t>
            </w:r>
          </w:p>
        </w:tc>
        <w:tc>
          <w:tcPr>
            <w:tcW w:w="1404" w:type="dxa"/>
            <w:tcBorders>
              <w:top w:val="single" w:sz="2" w:space="0" w:color="000000"/>
              <w:left w:val="single" w:sz="2" w:space="0" w:color="000000"/>
              <w:bottom w:val="single" w:sz="4" w:space="0" w:color="auto"/>
              <w:right w:val="single" w:sz="2" w:space="0" w:color="000000"/>
            </w:tcBorders>
            <w:vAlign w:val="center"/>
          </w:tcPr>
          <w:p>
            <w:pPr>
              <w:contextualSpacing/>
              <w:jc w:val="right"/>
              <w:rPr>
                <w:noProof/>
                <w:color w:val="000000"/>
                <w:sz w:val="20"/>
              </w:rPr>
            </w:pPr>
            <w:r>
              <w:rPr>
                <w:noProof/>
                <w:color w:val="000000"/>
                <w:sz w:val="20"/>
              </w:rPr>
              <w:t xml:space="preserve">116 824,7 </w:t>
            </w:r>
          </w:p>
        </w:tc>
        <w:tc>
          <w:tcPr>
            <w:tcW w:w="1404" w:type="dxa"/>
            <w:tcBorders>
              <w:top w:val="single" w:sz="2" w:space="0" w:color="000000"/>
              <w:left w:val="single" w:sz="2" w:space="0" w:color="000000"/>
              <w:bottom w:val="single" w:sz="4" w:space="0" w:color="auto"/>
              <w:right w:val="single" w:sz="12" w:space="0" w:color="auto"/>
            </w:tcBorders>
            <w:shd w:val="clear" w:color="auto" w:fill="auto"/>
            <w:vAlign w:val="center"/>
          </w:tcPr>
          <w:p>
            <w:pPr>
              <w:contextualSpacing/>
              <w:jc w:val="right"/>
              <w:rPr>
                <w:noProof/>
                <w:color w:val="000000"/>
                <w:sz w:val="20"/>
              </w:rPr>
            </w:pPr>
            <w:r>
              <w:rPr>
                <w:noProof/>
                <w:color w:val="000000"/>
                <w:sz w:val="20"/>
              </w:rPr>
              <w:t xml:space="preserve">48 357,0 </w:t>
            </w:r>
          </w:p>
        </w:tc>
      </w:tr>
      <w:tr>
        <w:trPr>
          <w:trHeight w:val="247"/>
          <w:jc w:val="center"/>
        </w:trPr>
        <w:tc>
          <w:tcPr>
            <w:tcW w:w="829" w:type="dxa"/>
            <w:tcBorders>
              <w:top w:val="single" w:sz="4" w:space="0" w:color="auto"/>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MT</w:t>
            </w:r>
          </w:p>
        </w:tc>
        <w:tc>
          <w:tcPr>
            <w:tcW w:w="1404" w:type="dxa"/>
            <w:tcBorders>
              <w:top w:val="single" w:sz="4" w:space="0" w:color="auto"/>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0,0</w:t>
            </w:r>
          </w:p>
        </w:tc>
        <w:tc>
          <w:tcPr>
            <w:tcW w:w="1404" w:type="dxa"/>
            <w:tcBorders>
              <w:top w:val="single" w:sz="4" w:space="0" w:color="auto"/>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11,9 </w:t>
            </w:r>
          </w:p>
        </w:tc>
        <w:tc>
          <w:tcPr>
            <w:tcW w:w="1404" w:type="dxa"/>
            <w:tcBorders>
              <w:top w:val="single" w:sz="4" w:space="0" w:color="auto"/>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6 757,1 </w:t>
            </w:r>
          </w:p>
        </w:tc>
        <w:tc>
          <w:tcPr>
            <w:tcW w:w="1404" w:type="dxa"/>
            <w:tcBorders>
              <w:top w:val="single" w:sz="4" w:space="0" w:color="auto"/>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9 843,1 </w:t>
            </w:r>
          </w:p>
        </w:tc>
        <w:tc>
          <w:tcPr>
            <w:tcW w:w="1404" w:type="dxa"/>
            <w:tcBorders>
              <w:top w:val="single" w:sz="4" w:space="0" w:color="auto"/>
              <w:left w:val="single" w:sz="2" w:space="0" w:color="000000"/>
              <w:bottom w:val="single" w:sz="2" w:space="0" w:color="000000"/>
              <w:right w:val="single" w:sz="12" w:space="0" w:color="auto"/>
            </w:tcBorders>
            <w:shd w:val="clear" w:color="auto" w:fill="BFBFBF" w:themeFill="background1" w:themeFillShade="BF"/>
            <w:vAlign w:val="center"/>
          </w:tcPr>
          <w:p>
            <w:pPr>
              <w:contextualSpacing/>
              <w:jc w:val="right"/>
              <w:rPr>
                <w:noProof/>
                <w:color w:val="000000"/>
                <w:sz w:val="20"/>
              </w:rPr>
            </w:pPr>
            <w:r>
              <w:rPr>
                <w:noProof/>
                <w:color w:val="000000"/>
                <w:sz w:val="20"/>
              </w:rPr>
              <w:t>4 921,6</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NL</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7,7</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2 433,2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304 311,3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712 882,7 </w:t>
            </w:r>
          </w:p>
        </w:tc>
        <w:tc>
          <w:tcPr>
            <w:tcW w:w="1404" w:type="dxa"/>
            <w:tcBorders>
              <w:top w:val="single" w:sz="2" w:space="0" w:color="000000"/>
              <w:left w:val="single" w:sz="2" w:space="0" w:color="000000"/>
              <w:bottom w:val="single" w:sz="2" w:space="0" w:color="000000"/>
              <w:right w:val="single" w:sz="12" w:space="0" w:color="auto"/>
            </w:tcBorders>
            <w:vAlign w:val="center"/>
          </w:tcPr>
          <w:p>
            <w:pPr>
              <w:contextualSpacing/>
              <w:jc w:val="right"/>
              <w:rPr>
                <w:noProof/>
                <w:color w:val="000000"/>
                <w:sz w:val="20"/>
              </w:rPr>
            </w:pPr>
            <w:r>
              <w:rPr>
                <w:noProof/>
                <w:color w:val="000000"/>
                <w:sz w:val="20"/>
              </w:rPr>
              <w:t xml:space="preserve">304 311,3 </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AT</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3,4</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204,1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168 078,0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360 646,5 </w:t>
            </w:r>
          </w:p>
        </w:tc>
        <w:tc>
          <w:tcPr>
            <w:tcW w:w="1404" w:type="dxa"/>
            <w:tcBorders>
              <w:top w:val="single" w:sz="2" w:space="0" w:color="000000"/>
              <w:left w:val="single" w:sz="2" w:space="0" w:color="000000"/>
              <w:bottom w:val="single" w:sz="2" w:space="0" w:color="000000"/>
              <w:right w:val="single" w:sz="12" w:space="0" w:color="auto"/>
            </w:tcBorders>
            <w:vAlign w:val="center"/>
          </w:tcPr>
          <w:p>
            <w:pPr>
              <w:contextualSpacing/>
              <w:jc w:val="right"/>
              <w:rPr>
                <w:noProof/>
                <w:color w:val="000000"/>
                <w:sz w:val="20"/>
              </w:rPr>
            </w:pPr>
            <w:r>
              <w:rPr>
                <w:noProof/>
                <w:color w:val="000000"/>
                <w:sz w:val="20"/>
              </w:rPr>
              <w:t xml:space="preserve">168 078,0 </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PL</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13,7</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608,6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179 446,7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422 847,6 </w:t>
            </w:r>
          </w:p>
        </w:tc>
        <w:tc>
          <w:tcPr>
            <w:tcW w:w="1404" w:type="dxa"/>
            <w:tcBorders>
              <w:top w:val="single" w:sz="2" w:space="0" w:color="000000"/>
              <w:left w:val="single" w:sz="2" w:space="0" w:color="000000"/>
              <w:bottom w:val="single" w:sz="2" w:space="0" w:color="000000"/>
              <w:right w:val="single" w:sz="12" w:space="0" w:color="auto"/>
            </w:tcBorders>
            <w:vAlign w:val="center"/>
          </w:tcPr>
          <w:p>
            <w:pPr>
              <w:contextualSpacing/>
              <w:jc w:val="right"/>
              <w:rPr>
                <w:noProof/>
                <w:color w:val="000000"/>
                <w:sz w:val="20"/>
              </w:rPr>
            </w:pPr>
            <w:r>
              <w:rPr>
                <w:noProof/>
                <w:color w:val="000000"/>
                <w:sz w:val="20"/>
              </w:rPr>
              <w:t xml:space="preserve">179 446,7 </w:t>
            </w:r>
          </w:p>
        </w:tc>
      </w:tr>
      <w:tr>
        <w:trPr>
          <w:trHeight w:val="247"/>
          <w:jc w:val="center"/>
        </w:trPr>
        <w:tc>
          <w:tcPr>
            <w:tcW w:w="829" w:type="dxa"/>
            <w:tcBorders>
              <w:top w:val="dotted" w:sz="6" w:space="0" w:color="auto"/>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PT</w:t>
            </w:r>
          </w:p>
        </w:tc>
        <w:tc>
          <w:tcPr>
            <w:tcW w:w="1404" w:type="dxa"/>
            <w:tcBorders>
              <w:top w:val="dotted" w:sz="6" w:space="0" w:color="auto"/>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0,2</w:t>
            </w:r>
          </w:p>
        </w:tc>
        <w:tc>
          <w:tcPr>
            <w:tcW w:w="1404" w:type="dxa"/>
            <w:tcBorders>
              <w:top w:val="dotted" w:sz="6" w:space="0" w:color="auto"/>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138,3 </w:t>
            </w:r>
          </w:p>
        </w:tc>
        <w:tc>
          <w:tcPr>
            <w:tcW w:w="1404" w:type="dxa"/>
            <w:tcBorders>
              <w:top w:val="dotted" w:sz="6" w:space="0" w:color="auto"/>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93 756,3 </w:t>
            </w:r>
          </w:p>
        </w:tc>
        <w:tc>
          <w:tcPr>
            <w:tcW w:w="1404" w:type="dxa"/>
            <w:tcBorders>
              <w:top w:val="dotted" w:sz="6" w:space="0" w:color="auto"/>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187 067,6 </w:t>
            </w:r>
          </w:p>
        </w:tc>
        <w:tc>
          <w:tcPr>
            <w:tcW w:w="1404" w:type="dxa"/>
            <w:tcBorders>
              <w:top w:val="single" w:sz="2" w:space="0" w:color="000000"/>
              <w:left w:val="single" w:sz="2" w:space="0" w:color="000000"/>
              <w:bottom w:val="single" w:sz="2" w:space="0" w:color="000000"/>
              <w:right w:val="single" w:sz="12" w:space="0" w:color="auto"/>
            </w:tcBorders>
            <w:shd w:val="clear" w:color="auto" w:fill="BFBFBF" w:themeFill="background1" w:themeFillShade="BF"/>
            <w:vAlign w:val="center"/>
          </w:tcPr>
          <w:p>
            <w:pPr>
              <w:contextualSpacing/>
              <w:jc w:val="right"/>
              <w:rPr>
                <w:noProof/>
                <w:color w:val="000000"/>
                <w:sz w:val="20"/>
              </w:rPr>
            </w:pPr>
            <w:r>
              <w:rPr>
                <w:noProof/>
                <w:color w:val="000000"/>
                <w:sz w:val="20"/>
              </w:rPr>
              <w:t xml:space="preserve">93 533,8 </w:t>
            </w:r>
          </w:p>
        </w:tc>
      </w:tr>
      <w:tr>
        <w:trPr>
          <w:trHeight w:val="247"/>
          <w:jc w:val="center"/>
        </w:trPr>
        <w:tc>
          <w:tcPr>
            <w:tcW w:w="829" w:type="dxa"/>
            <w:tcBorders>
              <w:top w:val="dotted" w:sz="6" w:space="0" w:color="auto"/>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RO</w:t>
            </w:r>
          </w:p>
        </w:tc>
        <w:tc>
          <w:tcPr>
            <w:tcW w:w="1404" w:type="dxa"/>
            <w:tcBorders>
              <w:top w:val="dotted" w:sz="6" w:space="0" w:color="auto"/>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1,0</w:t>
            </w:r>
          </w:p>
        </w:tc>
        <w:tc>
          <w:tcPr>
            <w:tcW w:w="1404" w:type="dxa"/>
            <w:tcBorders>
              <w:top w:val="dotted" w:sz="6" w:space="0" w:color="auto"/>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148,0 </w:t>
            </w:r>
          </w:p>
        </w:tc>
        <w:tc>
          <w:tcPr>
            <w:tcW w:w="1404" w:type="dxa"/>
            <w:tcBorders>
              <w:top w:val="dotted" w:sz="6" w:space="0" w:color="auto"/>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63 769,3 </w:t>
            </w:r>
          </w:p>
        </w:tc>
        <w:tc>
          <w:tcPr>
            <w:tcW w:w="1404" w:type="dxa"/>
            <w:tcBorders>
              <w:top w:val="dotted" w:sz="6" w:space="0" w:color="auto"/>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174 951,6 </w:t>
            </w:r>
          </w:p>
        </w:tc>
        <w:tc>
          <w:tcPr>
            <w:tcW w:w="1404" w:type="dxa"/>
            <w:tcBorders>
              <w:top w:val="dotted" w:sz="6" w:space="0" w:color="auto"/>
              <w:left w:val="single" w:sz="2" w:space="0" w:color="000000"/>
              <w:bottom w:val="single" w:sz="2" w:space="0" w:color="000000"/>
              <w:right w:val="single" w:sz="12" w:space="0" w:color="auto"/>
            </w:tcBorders>
            <w:vAlign w:val="center"/>
          </w:tcPr>
          <w:p>
            <w:pPr>
              <w:contextualSpacing/>
              <w:jc w:val="right"/>
              <w:rPr>
                <w:noProof/>
                <w:color w:val="000000"/>
                <w:sz w:val="20"/>
              </w:rPr>
            </w:pPr>
            <w:r>
              <w:rPr>
                <w:noProof/>
                <w:color w:val="000000"/>
                <w:sz w:val="20"/>
              </w:rPr>
              <w:t xml:space="preserve">63 769,3 </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SI</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0,0</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67,6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19 185,3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40 910,3 </w:t>
            </w:r>
          </w:p>
        </w:tc>
        <w:tc>
          <w:tcPr>
            <w:tcW w:w="1404" w:type="dxa"/>
            <w:tcBorders>
              <w:top w:val="single" w:sz="2" w:space="0" w:color="000000"/>
              <w:left w:val="single" w:sz="2" w:space="0" w:color="000000"/>
              <w:bottom w:val="single" w:sz="2" w:space="0" w:color="000000"/>
              <w:right w:val="single" w:sz="12" w:space="0" w:color="auto"/>
            </w:tcBorders>
            <w:shd w:val="clear" w:color="C0C0C0" w:fill="auto"/>
            <w:vAlign w:val="center"/>
          </w:tcPr>
          <w:p>
            <w:pPr>
              <w:contextualSpacing/>
              <w:jc w:val="right"/>
              <w:rPr>
                <w:noProof/>
                <w:color w:val="000000"/>
                <w:sz w:val="20"/>
              </w:rPr>
            </w:pPr>
            <w:r>
              <w:rPr>
                <w:noProof/>
                <w:color w:val="000000"/>
                <w:sz w:val="20"/>
              </w:rPr>
              <w:t xml:space="preserve">19 185,3 </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SK</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1,4</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95,7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28 850,4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82 304,9 </w:t>
            </w:r>
          </w:p>
        </w:tc>
        <w:tc>
          <w:tcPr>
            <w:tcW w:w="1404" w:type="dxa"/>
            <w:tcBorders>
              <w:top w:val="single" w:sz="2" w:space="0" w:color="000000"/>
              <w:left w:val="single" w:sz="2" w:space="0" w:color="000000"/>
              <w:bottom w:val="single" w:sz="2" w:space="0" w:color="000000"/>
              <w:right w:val="single" w:sz="12" w:space="0" w:color="auto"/>
            </w:tcBorders>
            <w:vAlign w:val="center"/>
          </w:tcPr>
          <w:p>
            <w:pPr>
              <w:contextualSpacing/>
              <w:jc w:val="right"/>
              <w:rPr>
                <w:noProof/>
                <w:color w:val="000000"/>
                <w:sz w:val="20"/>
              </w:rPr>
            </w:pPr>
            <w:r>
              <w:rPr>
                <w:noProof/>
                <w:color w:val="000000"/>
                <w:sz w:val="20"/>
              </w:rPr>
              <w:t xml:space="preserve">28 850,4 </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FI</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0,8</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140,5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94 101,7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220 743,3 </w:t>
            </w:r>
          </w:p>
        </w:tc>
        <w:tc>
          <w:tcPr>
            <w:tcW w:w="1404" w:type="dxa"/>
            <w:tcBorders>
              <w:top w:val="single" w:sz="2" w:space="0" w:color="000000"/>
              <w:left w:val="single" w:sz="2" w:space="0" w:color="000000"/>
              <w:bottom w:val="single" w:sz="2" w:space="0" w:color="000000"/>
              <w:right w:val="single" w:sz="12" w:space="0" w:color="auto"/>
            </w:tcBorders>
            <w:vAlign w:val="center"/>
          </w:tcPr>
          <w:p>
            <w:pPr>
              <w:contextualSpacing/>
              <w:jc w:val="right"/>
              <w:rPr>
                <w:noProof/>
                <w:color w:val="000000"/>
                <w:sz w:val="20"/>
              </w:rPr>
            </w:pPr>
            <w:r>
              <w:rPr>
                <w:noProof/>
                <w:color w:val="000000"/>
                <w:sz w:val="20"/>
              </w:rPr>
              <w:t xml:space="preserve">94 101,7 </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SE</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2,8</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497,4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208 548,1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488 888,5 </w:t>
            </w:r>
          </w:p>
        </w:tc>
        <w:tc>
          <w:tcPr>
            <w:tcW w:w="1404" w:type="dxa"/>
            <w:tcBorders>
              <w:top w:val="single" w:sz="2" w:space="0" w:color="000000"/>
              <w:left w:val="single" w:sz="2" w:space="0" w:color="000000"/>
              <w:bottom w:val="single" w:sz="2" w:space="0" w:color="000000"/>
              <w:right w:val="single" w:sz="12" w:space="0" w:color="auto"/>
            </w:tcBorders>
            <w:vAlign w:val="center"/>
          </w:tcPr>
          <w:p>
            <w:pPr>
              <w:contextualSpacing/>
              <w:jc w:val="right"/>
              <w:rPr>
                <w:noProof/>
                <w:color w:val="000000"/>
                <w:sz w:val="20"/>
              </w:rPr>
            </w:pPr>
            <w:r>
              <w:rPr>
                <w:noProof/>
                <w:color w:val="000000"/>
                <w:sz w:val="20"/>
              </w:rPr>
              <w:t xml:space="preserve">208 548,1 </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UK</w:t>
            </w:r>
          </w:p>
        </w:tc>
        <w:tc>
          <w:tcPr>
            <w:tcW w:w="1404" w:type="dxa"/>
            <w:tcBorders>
              <w:top w:val="single" w:sz="2" w:space="0" w:color="000000"/>
              <w:left w:val="single" w:sz="2" w:space="0" w:color="000000"/>
              <w:bottom w:val="single" w:sz="2" w:space="0" w:color="000000"/>
              <w:right w:val="single" w:sz="2" w:space="0" w:color="000000"/>
            </w:tcBorders>
            <w:vAlign w:val="center"/>
          </w:tcPr>
          <w:p>
            <w:pPr>
              <w:ind w:left="20"/>
              <w:contextualSpacing/>
              <w:jc w:val="right"/>
              <w:rPr>
                <w:noProof/>
                <w:color w:val="000000"/>
                <w:sz w:val="20"/>
              </w:rPr>
            </w:pPr>
            <w:r>
              <w:rPr>
                <w:noProof/>
                <w:color w:val="000000"/>
                <w:sz w:val="20"/>
              </w:rPr>
              <w:t>10,10</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3 134,5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1 105 662,2 </w:t>
            </w:r>
          </w:p>
        </w:tc>
        <w:tc>
          <w:tcPr>
            <w:tcW w:w="1404" w:type="dxa"/>
            <w:tcBorders>
              <w:top w:val="single" w:sz="2" w:space="0" w:color="000000"/>
              <w:left w:val="single" w:sz="2" w:space="0" w:color="000000"/>
              <w:bottom w:val="single" w:sz="2" w:space="0" w:color="000000"/>
              <w:right w:val="single" w:sz="2" w:space="0" w:color="000000"/>
            </w:tcBorders>
            <w:vAlign w:val="center"/>
          </w:tcPr>
          <w:p>
            <w:pPr>
              <w:contextualSpacing/>
              <w:jc w:val="right"/>
              <w:rPr>
                <w:noProof/>
                <w:color w:val="000000"/>
                <w:sz w:val="20"/>
              </w:rPr>
            </w:pPr>
            <w:r>
              <w:rPr>
                <w:noProof/>
                <w:color w:val="000000"/>
                <w:sz w:val="20"/>
              </w:rPr>
              <w:t xml:space="preserve">2 333 685,8 </w:t>
            </w:r>
          </w:p>
        </w:tc>
        <w:tc>
          <w:tcPr>
            <w:tcW w:w="1404" w:type="dxa"/>
            <w:tcBorders>
              <w:top w:val="single" w:sz="2" w:space="0" w:color="000000"/>
              <w:left w:val="single" w:sz="2" w:space="0" w:color="000000"/>
              <w:bottom w:val="single" w:sz="2" w:space="0" w:color="000000"/>
              <w:right w:val="single" w:sz="12" w:space="0" w:color="auto"/>
            </w:tcBorders>
            <w:vAlign w:val="center"/>
          </w:tcPr>
          <w:p>
            <w:pPr>
              <w:contextualSpacing/>
              <w:jc w:val="right"/>
              <w:rPr>
                <w:noProof/>
                <w:color w:val="000000"/>
                <w:sz w:val="20"/>
              </w:rPr>
            </w:pPr>
            <w:r>
              <w:rPr>
                <w:noProof/>
                <w:color w:val="000000"/>
                <w:sz w:val="20"/>
              </w:rPr>
              <w:t xml:space="preserve">1 105 662,2 </w:t>
            </w:r>
          </w:p>
        </w:tc>
      </w:tr>
      <w:tr>
        <w:trPr>
          <w:trHeight w:val="276"/>
          <w:jc w:val="center"/>
        </w:trPr>
        <w:tc>
          <w:tcPr>
            <w:tcW w:w="829" w:type="dxa"/>
            <w:tcBorders>
              <w:top w:val="single" w:sz="12" w:space="0" w:color="auto"/>
              <w:left w:val="single" w:sz="12" w:space="0" w:color="auto"/>
              <w:bottom w:val="single" w:sz="12" w:space="0" w:color="auto"/>
              <w:right w:val="single" w:sz="12" w:space="0" w:color="auto"/>
            </w:tcBorders>
          </w:tcPr>
          <w:p>
            <w:pPr>
              <w:autoSpaceDE w:val="0"/>
              <w:autoSpaceDN w:val="0"/>
              <w:adjustRightInd w:val="0"/>
              <w:ind w:left="20"/>
              <w:contextualSpacing/>
              <w:rPr>
                <w:b/>
                <w:bCs/>
                <w:noProof/>
                <w:color w:val="000000"/>
                <w:sz w:val="20"/>
              </w:rPr>
            </w:pPr>
            <w:r>
              <w:rPr>
                <w:b/>
                <w:bCs/>
                <w:noProof/>
                <w:color w:val="000000"/>
                <w:sz w:val="20"/>
              </w:rPr>
              <w:t>EU-28</w:t>
            </w:r>
          </w:p>
        </w:tc>
        <w:tc>
          <w:tcPr>
            <w:tcW w:w="1404" w:type="dxa"/>
            <w:tcBorders>
              <w:top w:val="single" w:sz="12" w:space="0" w:color="auto"/>
              <w:left w:val="single" w:sz="2" w:space="0" w:color="000000"/>
              <w:bottom w:val="single" w:sz="12" w:space="0" w:color="auto"/>
              <w:right w:val="single" w:sz="2" w:space="0" w:color="000000"/>
            </w:tcBorders>
            <w:vAlign w:val="center"/>
          </w:tcPr>
          <w:p>
            <w:pPr>
              <w:ind w:left="20"/>
              <w:contextualSpacing/>
              <w:jc w:val="right"/>
              <w:rPr>
                <w:b/>
                <w:bCs/>
                <w:noProof/>
                <w:color w:val="000000"/>
                <w:sz w:val="20"/>
              </w:rPr>
            </w:pPr>
            <w:r>
              <w:rPr>
                <w:b/>
                <w:bCs/>
                <w:noProof/>
                <w:color w:val="000000"/>
                <w:sz w:val="20"/>
              </w:rPr>
              <w:t>133,3</w:t>
            </w:r>
          </w:p>
        </w:tc>
        <w:tc>
          <w:tcPr>
            <w:tcW w:w="1404" w:type="dxa"/>
            <w:tcBorders>
              <w:top w:val="single" w:sz="12" w:space="0" w:color="auto"/>
              <w:left w:val="single" w:sz="2" w:space="0" w:color="000000"/>
              <w:bottom w:val="single" w:sz="12" w:space="0" w:color="auto"/>
              <w:right w:val="single" w:sz="2" w:space="0" w:color="000000"/>
            </w:tcBorders>
            <w:vAlign w:val="center"/>
          </w:tcPr>
          <w:p>
            <w:pPr>
              <w:contextualSpacing/>
              <w:jc w:val="right"/>
              <w:rPr>
                <w:b/>
                <w:bCs/>
                <w:noProof/>
                <w:color w:val="000000"/>
                <w:sz w:val="20"/>
              </w:rPr>
            </w:pPr>
            <w:r>
              <w:rPr>
                <w:b/>
                <w:bCs/>
                <w:noProof/>
                <w:color w:val="000000"/>
                <w:sz w:val="20"/>
              </w:rPr>
              <w:t xml:space="preserve">20 374,0 </w:t>
            </w:r>
          </w:p>
        </w:tc>
        <w:tc>
          <w:tcPr>
            <w:tcW w:w="1404" w:type="dxa"/>
            <w:tcBorders>
              <w:top w:val="single" w:sz="12" w:space="0" w:color="auto"/>
              <w:left w:val="single" w:sz="2" w:space="0" w:color="000000"/>
              <w:bottom w:val="single" w:sz="12" w:space="0" w:color="auto"/>
              <w:right w:val="single" w:sz="2" w:space="0" w:color="000000"/>
            </w:tcBorders>
            <w:vAlign w:val="center"/>
          </w:tcPr>
          <w:p>
            <w:pPr>
              <w:contextualSpacing/>
              <w:jc w:val="right"/>
              <w:rPr>
                <w:b/>
                <w:bCs/>
                <w:noProof/>
                <w:color w:val="000000"/>
                <w:sz w:val="20"/>
              </w:rPr>
            </w:pPr>
            <w:r>
              <w:rPr>
                <w:b/>
                <w:bCs/>
                <w:noProof/>
                <w:color w:val="000000"/>
                <w:sz w:val="20"/>
              </w:rPr>
              <w:t xml:space="preserve">6 487 607,8 </w:t>
            </w:r>
          </w:p>
        </w:tc>
        <w:tc>
          <w:tcPr>
            <w:tcW w:w="1404" w:type="dxa"/>
            <w:tcBorders>
              <w:top w:val="single" w:sz="12" w:space="0" w:color="auto"/>
              <w:left w:val="single" w:sz="2" w:space="0" w:color="000000"/>
              <w:bottom w:val="single" w:sz="12" w:space="0" w:color="auto"/>
              <w:right w:val="single" w:sz="2" w:space="0" w:color="000000"/>
            </w:tcBorders>
            <w:vAlign w:val="center"/>
          </w:tcPr>
          <w:p>
            <w:pPr>
              <w:contextualSpacing/>
              <w:jc w:val="right"/>
              <w:rPr>
                <w:b/>
                <w:bCs/>
                <w:noProof/>
                <w:color w:val="000000"/>
                <w:sz w:val="20"/>
              </w:rPr>
            </w:pPr>
            <w:r>
              <w:rPr>
                <w:b/>
                <w:bCs/>
                <w:noProof/>
                <w:color w:val="000000"/>
                <w:sz w:val="20"/>
              </w:rPr>
              <w:t xml:space="preserve">15 177 843,6 </w:t>
            </w:r>
          </w:p>
        </w:tc>
        <w:tc>
          <w:tcPr>
            <w:tcW w:w="1404" w:type="dxa"/>
            <w:tcBorders>
              <w:top w:val="single" w:sz="12" w:space="0" w:color="auto"/>
              <w:left w:val="single" w:sz="2" w:space="0" w:color="000000"/>
              <w:bottom w:val="single" w:sz="12" w:space="0" w:color="auto"/>
              <w:right w:val="single" w:sz="12" w:space="0" w:color="auto"/>
            </w:tcBorders>
            <w:vAlign w:val="center"/>
          </w:tcPr>
          <w:p>
            <w:pPr>
              <w:contextualSpacing/>
              <w:jc w:val="right"/>
              <w:rPr>
                <w:b/>
                <w:bCs/>
                <w:noProof/>
                <w:color w:val="000000"/>
                <w:sz w:val="20"/>
              </w:rPr>
            </w:pPr>
            <w:r>
              <w:rPr>
                <w:b/>
                <w:bCs/>
                <w:noProof/>
                <w:color w:val="000000"/>
                <w:sz w:val="20"/>
              </w:rPr>
              <w:t xml:space="preserve">6 468 770,4 </w:t>
            </w:r>
          </w:p>
        </w:tc>
      </w:tr>
    </w:tbl>
    <w:p>
      <w:pPr>
        <w:keepNext/>
        <w:tabs>
          <w:tab w:val="left" w:pos="850"/>
        </w:tabs>
        <w:spacing w:before="360" w:after="120"/>
        <w:ind w:left="850" w:hanging="850"/>
        <w:jc w:val="both"/>
        <w:outlineLvl w:val="1"/>
        <w:rPr>
          <w:rFonts w:eastAsia="Calibri"/>
          <w:b/>
          <w:noProof/>
          <w:lang w:eastAsia="de-DE"/>
        </w:rPr>
      </w:pPr>
      <w:bookmarkStart w:id="50" w:name="_Toc494994380"/>
      <w:bookmarkEnd w:id="49"/>
      <w:r>
        <w:rPr>
          <w:rFonts w:eastAsia="Calibri"/>
          <w:b/>
          <w:noProof/>
          <w:lang w:eastAsia="de-DE"/>
        </w:rPr>
        <w:t>3.3</w:t>
      </w:r>
      <w:r>
        <w:rPr>
          <w:rFonts w:eastAsia="Calibri"/>
          <w:b/>
          <w:noProof/>
          <w:lang w:eastAsia="de-DE"/>
        </w:rPr>
        <w:tab/>
        <w:t>2016 and 2013 UK correction</w:t>
      </w:r>
      <w:bookmarkEnd w:id="41"/>
      <w:bookmarkEnd w:id="42"/>
      <w:bookmarkEnd w:id="43"/>
      <w:bookmarkEnd w:id="50"/>
    </w:p>
    <w:p>
      <w:pPr>
        <w:tabs>
          <w:tab w:val="left" w:pos="850"/>
        </w:tabs>
        <w:rPr>
          <w:bCs/>
          <w:i/>
          <w:noProof/>
        </w:rPr>
      </w:pPr>
      <w:bookmarkStart w:id="51" w:name="_Toc294673194"/>
      <w:bookmarkStart w:id="52" w:name="_Toc357005414"/>
      <w:bookmarkStart w:id="53" w:name="_Toc390436797"/>
      <w:bookmarkStart w:id="54" w:name="_Toc420941902"/>
      <w:bookmarkStart w:id="55" w:name="_Toc461544622"/>
      <w:bookmarkEnd w:id="44"/>
      <w:bookmarkEnd w:id="45"/>
      <w:r>
        <w:rPr>
          <w:bCs/>
          <w:i/>
          <w:noProof/>
        </w:rPr>
        <w:t>3.3.1</w:t>
      </w:r>
      <w:r>
        <w:rPr>
          <w:bCs/>
          <w:i/>
          <w:noProof/>
        </w:rPr>
        <w:tab/>
        <w:t>Introduction</w:t>
      </w:r>
      <w:bookmarkEnd w:id="51"/>
      <w:bookmarkEnd w:id="52"/>
      <w:bookmarkEnd w:id="53"/>
      <w:bookmarkEnd w:id="54"/>
      <w:bookmarkEnd w:id="55"/>
    </w:p>
    <w:p>
      <w:pPr>
        <w:spacing w:before="120" w:after="120"/>
        <w:jc w:val="both"/>
        <w:rPr>
          <w:noProof/>
        </w:rPr>
      </w:pPr>
      <w:r>
        <w:rPr>
          <w:noProof/>
        </w:rPr>
        <w:t>The correction of budgetary imbalances in favour of the United Kingdom (UK correction), to be budgeted in the present DAB, concerns two years: 2013 and 2016.</w:t>
      </w:r>
    </w:p>
    <w:p>
      <w:pPr>
        <w:rPr>
          <w:noProof/>
          <w:lang w:eastAsia="de-DE"/>
        </w:rPr>
      </w:pPr>
      <w:r>
        <w:rPr>
          <w:noProof/>
        </w:rPr>
        <w:t>The 2013 UK correction is subject to the rules of Council Decision 2007/436/EC, Euratom on the system of the European Communities' own resources</w:t>
      </w:r>
      <w:r>
        <w:rPr>
          <w:noProof/>
          <w:vertAlign w:val="superscript"/>
        </w:rPr>
        <w:footnoteReference w:id="16"/>
      </w:r>
      <w:r>
        <w:rPr>
          <w:noProof/>
        </w:rPr>
        <w:t xml:space="preserve"> and its accompanying working document, the </w:t>
      </w:r>
      <w:r>
        <w:rPr>
          <w:i/>
          <w:noProof/>
        </w:rPr>
        <w:t>2007 Calculation Method</w:t>
      </w:r>
      <w:r>
        <w:rPr>
          <w:noProof/>
          <w:vertAlign w:val="superscript"/>
        </w:rPr>
        <w:footnoteReference w:id="17"/>
      </w:r>
      <w:r>
        <w:rPr>
          <w:noProof/>
        </w:rPr>
        <w:t xml:space="preserve">. Pursuant to the rules of this Decision, the net TOR “windfall gains” of the UK resulting from the increase since 2001 in the percentage of TOR retained by Member States as a compensation for their collection costs are neutralised and the allocated expenditure is adjusted by </w:t>
      </w:r>
      <w:r>
        <w:rPr>
          <w:noProof/>
          <w:lang w:eastAsia="de-DE"/>
        </w:rPr>
        <w:t xml:space="preserve">the total allocated expenditure in Member States that have acceded to the EU after 30 April 2004, except for agricultural direct payments and market-related expenditure as well as that part of the rural development expenditure originating from the EAGGF, Guarantee section. </w:t>
      </w:r>
    </w:p>
    <w:p>
      <w:pPr>
        <w:jc w:val="both"/>
        <w:rPr>
          <w:noProof/>
          <w:lang w:eastAsia="de-DE"/>
        </w:rPr>
      </w:pPr>
      <w:r>
        <w:rPr>
          <w:noProof/>
        </w:rPr>
        <w:t>The 2016 UK correction is subject to the rules of Council Decision 2014/335/EU, Euratom on the system of own resources</w:t>
      </w:r>
      <w:r>
        <w:rPr>
          <w:rStyle w:val="FootnoteReference"/>
          <w:noProof/>
        </w:rPr>
        <w:footnoteReference w:id="18"/>
      </w:r>
      <w:r>
        <w:rPr>
          <w:noProof/>
        </w:rPr>
        <w:t xml:space="preserve"> of the European Union and its accompanying working document, the </w:t>
      </w:r>
      <w:r>
        <w:rPr>
          <w:i/>
          <w:noProof/>
        </w:rPr>
        <w:t>2014 Calculation Method</w:t>
      </w:r>
      <w:r>
        <w:rPr>
          <w:noProof/>
          <w:vertAlign w:val="superscript"/>
        </w:rPr>
        <w:footnoteReference w:id="19"/>
      </w:r>
      <w:r>
        <w:rPr>
          <w:noProof/>
        </w:rPr>
        <w:t xml:space="preserve">. Pursuant to the rules of this Decision, the net TOR “windfall gains” of the UK resulting from the increase since 2001 in the percentage of TOR retained by Member States as a compensation for their collection costs are neutralised (taking into account the collection cost of 20%) and the allocated expenditure is adjusted by </w:t>
      </w:r>
      <w:r>
        <w:rPr>
          <w:noProof/>
          <w:lang w:eastAsia="de-DE"/>
        </w:rPr>
        <w:t xml:space="preserve">the total allocated expenditure in Member States that have acceded to the EU after 30 April 2004, except for agricultural direct payments and market-related expenditure as well as that part of the rural development expenditure originating from the EAGGF, Guarantee section. </w:t>
      </w:r>
    </w:p>
    <w:p>
      <w:pPr>
        <w:spacing w:before="120" w:after="120"/>
        <w:jc w:val="both"/>
        <w:rPr>
          <w:noProof/>
        </w:rPr>
      </w:pPr>
      <w:r>
        <w:rPr>
          <w:noProof/>
        </w:rPr>
        <w:t>Furthermore, the share of Austria, Germany, the Netherlands and Sweden in the financing of the UK correction is reduced to one fourth of their normal share for both, 2013 and 2016 corrections. The reduction is financed by the other Member States, excluding the UK.</w:t>
      </w:r>
    </w:p>
    <w:p>
      <w:pPr>
        <w:spacing w:before="120" w:after="120"/>
        <w:jc w:val="both"/>
        <w:rPr>
          <w:noProof/>
        </w:rPr>
      </w:pPr>
      <w:r>
        <w:rPr>
          <w:noProof/>
        </w:rPr>
        <w:t xml:space="preserve">The difference between the </w:t>
      </w:r>
      <w:r>
        <w:rPr>
          <w:i/>
          <w:noProof/>
        </w:rPr>
        <w:t>definitive amount</w:t>
      </w:r>
      <w:r>
        <w:rPr>
          <w:noProof/>
        </w:rPr>
        <w:t xml:space="preserve"> </w:t>
      </w:r>
      <w:r>
        <w:rPr>
          <w:i/>
          <w:iCs/>
          <w:noProof/>
        </w:rPr>
        <w:t>of the 2013 UK correction</w:t>
      </w:r>
      <w:r>
        <w:rPr>
          <w:noProof/>
        </w:rPr>
        <w:t xml:space="preserve"> and the amount previously budgeted (the 2</w:t>
      </w:r>
      <w:r>
        <w:rPr>
          <w:i/>
          <w:noProof/>
          <w:vertAlign w:val="superscript"/>
        </w:rPr>
        <w:t>nd</w:t>
      </w:r>
      <w:r>
        <w:rPr>
          <w:noProof/>
        </w:rPr>
        <w:t xml:space="preserve"> </w:t>
      </w:r>
      <w:r>
        <w:rPr>
          <w:i/>
          <w:noProof/>
        </w:rPr>
        <w:t>update</w:t>
      </w:r>
      <w:r>
        <w:rPr>
          <w:noProof/>
        </w:rPr>
        <w:t xml:space="preserve"> entered in AB 5/2016) is entered in chapter 35 of the present DAB. </w:t>
      </w:r>
    </w:p>
    <w:p>
      <w:pPr>
        <w:spacing w:before="120" w:after="120"/>
        <w:jc w:val="both"/>
        <w:rPr>
          <w:noProof/>
        </w:rPr>
      </w:pPr>
      <w:r>
        <w:rPr>
          <w:noProof/>
        </w:rPr>
        <w:t xml:space="preserve">The difference between the </w:t>
      </w:r>
      <w:r>
        <w:rPr>
          <w:i/>
          <w:noProof/>
        </w:rPr>
        <w:t>1st update</w:t>
      </w:r>
      <w:r>
        <w:rPr>
          <w:noProof/>
        </w:rPr>
        <w:t xml:space="preserve"> </w:t>
      </w:r>
      <w:r>
        <w:rPr>
          <w:i/>
          <w:noProof/>
        </w:rPr>
        <w:t>amount</w:t>
      </w:r>
      <w:r>
        <w:rPr>
          <w:noProof/>
        </w:rPr>
        <w:t xml:space="preserve"> </w:t>
      </w:r>
      <w:r>
        <w:rPr>
          <w:i/>
          <w:iCs/>
          <w:noProof/>
        </w:rPr>
        <w:t>of the 2016 UK correction</w:t>
      </w:r>
      <w:r>
        <w:rPr>
          <w:noProof/>
        </w:rPr>
        <w:t xml:space="preserve"> and the amount previously budgeted (the </w:t>
      </w:r>
      <w:r>
        <w:rPr>
          <w:i/>
          <w:noProof/>
        </w:rPr>
        <w:t>provisional amount</w:t>
      </w:r>
      <w:r>
        <w:rPr>
          <w:noProof/>
        </w:rPr>
        <w:t xml:space="preserve"> entered in Budget 2017) is entered in chapter 15 of the present DAB.</w:t>
      </w:r>
    </w:p>
    <w:p>
      <w:pPr>
        <w:tabs>
          <w:tab w:val="left" w:pos="850"/>
        </w:tabs>
        <w:rPr>
          <w:bCs/>
          <w:i/>
          <w:noProof/>
        </w:rPr>
      </w:pPr>
      <w:bookmarkStart w:id="56" w:name="_Toc231879704"/>
      <w:bookmarkStart w:id="57" w:name="_Toc293417236"/>
      <w:bookmarkStart w:id="58" w:name="_Toc294673195"/>
      <w:bookmarkStart w:id="59" w:name="_Toc357005415"/>
      <w:bookmarkStart w:id="60" w:name="_Toc390436798"/>
      <w:bookmarkStart w:id="61" w:name="_Toc420941903"/>
      <w:bookmarkStart w:id="62" w:name="_Toc461544623"/>
      <w:bookmarkStart w:id="63" w:name="_Toc462410061"/>
      <w:bookmarkEnd w:id="46"/>
      <w:bookmarkEnd w:id="47"/>
      <w:bookmarkEnd w:id="48"/>
      <w:r>
        <w:rPr>
          <w:bCs/>
          <w:i/>
          <w:noProof/>
        </w:rPr>
        <w:t>3.3.2</w:t>
      </w:r>
      <w:r>
        <w:rPr>
          <w:bCs/>
          <w:i/>
          <w:noProof/>
        </w:rPr>
        <w:tab/>
        <w:t>Calculation of the corrections</w:t>
      </w:r>
      <w:bookmarkEnd w:id="56"/>
      <w:bookmarkEnd w:id="57"/>
      <w:bookmarkEnd w:id="58"/>
      <w:bookmarkEnd w:id="59"/>
      <w:bookmarkEnd w:id="60"/>
      <w:bookmarkEnd w:id="61"/>
      <w:bookmarkEnd w:id="62"/>
    </w:p>
    <w:p>
      <w:pPr>
        <w:spacing w:before="120" w:after="120"/>
        <w:jc w:val="both"/>
        <w:rPr>
          <w:noProof/>
        </w:rPr>
      </w:pPr>
      <w:r>
        <w:rPr>
          <w:noProof/>
        </w:rPr>
        <w:t xml:space="preserve">In the present DAB, the calculation and financing of the </w:t>
      </w:r>
      <w:r>
        <w:rPr>
          <w:i/>
          <w:noProof/>
        </w:rPr>
        <w:t>1</w:t>
      </w:r>
      <w:r>
        <w:rPr>
          <w:i/>
          <w:noProof/>
          <w:vertAlign w:val="superscript"/>
        </w:rPr>
        <w:t>st</w:t>
      </w:r>
      <w:r>
        <w:rPr>
          <w:i/>
          <w:noProof/>
        </w:rPr>
        <w:t xml:space="preserve"> update</w:t>
      </w:r>
      <w:r>
        <w:rPr>
          <w:noProof/>
        </w:rPr>
        <w:t xml:space="preserve"> </w:t>
      </w:r>
      <w:r>
        <w:rPr>
          <w:i/>
          <w:noProof/>
        </w:rPr>
        <w:t>of the 2016</w:t>
      </w:r>
      <w:r>
        <w:rPr>
          <w:noProof/>
        </w:rPr>
        <w:t xml:space="preserve"> UK correction and the </w:t>
      </w:r>
      <w:r>
        <w:rPr>
          <w:i/>
          <w:noProof/>
        </w:rPr>
        <w:t>definitive amount</w:t>
      </w:r>
      <w:r>
        <w:rPr>
          <w:noProof/>
        </w:rPr>
        <w:t xml:space="preserve"> </w:t>
      </w:r>
      <w:r>
        <w:rPr>
          <w:i/>
          <w:noProof/>
        </w:rPr>
        <w:t>of the 2013</w:t>
      </w:r>
      <w:r>
        <w:rPr>
          <w:noProof/>
        </w:rPr>
        <w:t xml:space="preserve"> UK correction are entered.</w:t>
      </w:r>
    </w:p>
    <w:p>
      <w:pPr>
        <w:spacing w:before="120" w:after="120"/>
        <w:jc w:val="both"/>
        <w:rPr>
          <w:noProof/>
        </w:rPr>
      </w:pPr>
      <w:r>
        <w:rPr>
          <w:noProof/>
        </w:rPr>
        <w:t xml:space="preserve">The update of the corrections for 2013 and 2016 stems mainly from the update of the VAT and GNI bases as communicated by Member States in autumn 2016. In addition the update of the correction for 2016 also takes into account the allocated expenditure of 2016. </w:t>
      </w:r>
    </w:p>
    <w:p>
      <w:pPr>
        <w:rPr>
          <w:bCs/>
          <w:noProof/>
          <w:szCs w:val="28"/>
          <w:u w:val="single"/>
          <w:lang w:eastAsia="de-DE"/>
        </w:rPr>
      </w:pPr>
      <w:bookmarkStart w:id="64" w:name="_Toc231879705"/>
      <w:r>
        <w:rPr>
          <w:bCs/>
          <w:noProof/>
          <w:szCs w:val="28"/>
          <w:u w:val="single"/>
          <w:lang w:eastAsia="de-DE"/>
        </w:rPr>
        <w:t>3.3.2.1</w:t>
      </w:r>
      <w:r>
        <w:rPr>
          <w:bCs/>
          <w:noProof/>
          <w:szCs w:val="28"/>
          <w:u w:val="single"/>
          <w:lang w:eastAsia="de-DE"/>
        </w:rPr>
        <w:tab/>
        <w:t>2016 UK correction</w:t>
      </w:r>
    </w:p>
    <w:bookmarkEnd w:id="64"/>
    <w:p>
      <w:pPr>
        <w:spacing w:before="120" w:after="120"/>
        <w:jc w:val="both"/>
        <w:rPr>
          <w:noProof/>
        </w:rPr>
      </w:pPr>
      <w:r>
        <w:rPr>
          <w:noProof/>
        </w:rPr>
        <w:t xml:space="preserve">The following table summarises the changes between the </w:t>
      </w:r>
      <w:r>
        <w:rPr>
          <w:i/>
          <w:noProof/>
        </w:rPr>
        <w:t>provisional amount</w:t>
      </w:r>
      <w:r>
        <w:rPr>
          <w:noProof/>
        </w:rPr>
        <w:t xml:space="preserve"> of the 2016 UK correction entered in Budget 2017 and the </w:t>
      </w:r>
      <w:r>
        <w:rPr>
          <w:i/>
          <w:noProof/>
        </w:rPr>
        <w:t>1</w:t>
      </w:r>
      <w:r>
        <w:rPr>
          <w:i/>
          <w:noProof/>
          <w:vertAlign w:val="superscript"/>
        </w:rPr>
        <w:t>st</w:t>
      </w:r>
      <w:r>
        <w:rPr>
          <w:i/>
          <w:noProof/>
        </w:rPr>
        <w:t xml:space="preserve"> update</w:t>
      </w:r>
      <w:r>
        <w:rPr>
          <w:noProof/>
        </w:rPr>
        <w:t xml:space="preserve"> of the 2016 UK correction to be entered in the present DAB.</w:t>
      </w:r>
    </w:p>
    <w:tbl>
      <w:tblPr>
        <w:tblW w:w="9135" w:type="dxa"/>
        <w:jc w:val="center"/>
        <w:tblLayout w:type="fixed"/>
        <w:tblLook w:val="0000" w:firstRow="0" w:lastRow="0" w:firstColumn="0" w:lastColumn="0" w:noHBand="0" w:noVBand="0"/>
      </w:tblPr>
      <w:tblGrid>
        <w:gridCol w:w="550"/>
        <w:gridCol w:w="3185"/>
        <w:gridCol w:w="1800"/>
        <w:gridCol w:w="1800"/>
        <w:gridCol w:w="1800"/>
      </w:tblGrid>
      <w:tr>
        <w:trPr>
          <w:trHeight w:val="727"/>
          <w:tblHeader/>
          <w:jc w:val="center"/>
        </w:trPr>
        <w:tc>
          <w:tcPr>
            <w:tcW w:w="550" w:type="dxa"/>
            <w:vMerge w:val="restart"/>
            <w:tcBorders>
              <w:top w:val="nil"/>
              <w:left w:val="nil"/>
              <w:bottom w:val="double" w:sz="6" w:space="0" w:color="auto"/>
              <w:right w:val="nil"/>
            </w:tcBorders>
            <w:shd w:val="clear" w:color="auto" w:fill="auto"/>
            <w:noWrap/>
            <w:vAlign w:val="bottom"/>
          </w:tcPr>
          <w:p>
            <w:pPr>
              <w:jc w:val="center"/>
              <w:rPr>
                <w:noProof/>
                <w:sz w:val="20"/>
              </w:rPr>
            </w:pPr>
          </w:p>
        </w:tc>
        <w:tc>
          <w:tcPr>
            <w:tcW w:w="3185" w:type="dxa"/>
            <w:vMerge w:val="restart"/>
            <w:tcBorders>
              <w:top w:val="nil"/>
              <w:left w:val="nil"/>
              <w:bottom w:val="double" w:sz="6" w:space="0" w:color="auto"/>
              <w:right w:val="nil"/>
            </w:tcBorders>
            <w:shd w:val="clear" w:color="auto" w:fill="auto"/>
            <w:noWrap/>
            <w:vAlign w:val="center"/>
          </w:tcPr>
          <w:p>
            <w:pPr>
              <w:autoSpaceDE w:val="0"/>
              <w:autoSpaceDN w:val="0"/>
              <w:adjustRightInd w:val="0"/>
              <w:jc w:val="center"/>
              <w:rPr>
                <w:b/>
                <w:noProof/>
                <w:color w:val="000000"/>
              </w:rPr>
            </w:pPr>
            <w:r>
              <w:rPr>
                <w:b/>
                <w:noProof/>
                <w:color w:val="000000"/>
              </w:rPr>
              <w:t>2016 UK correction</w:t>
            </w:r>
          </w:p>
        </w:tc>
        <w:tc>
          <w:tcPr>
            <w:tcW w:w="1800" w:type="dxa"/>
            <w:tcBorders>
              <w:top w:val="double" w:sz="6" w:space="0" w:color="auto"/>
              <w:left w:val="double" w:sz="6" w:space="0" w:color="auto"/>
              <w:bottom w:val="double" w:sz="6" w:space="0" w:color="auto"/>
              <w:right w:val="single" w:sz="4" w:space="0" w:color="auto"/>
            </w:tcBorders>
            <w:shd w:val="clear" w:color="auto" w:fill="E0E0E0"/>
            <w:vAlign w:val="center"/>
          </w:tcPr>
          <w:p>
            <w:pPr>
              <w:autoSpaceDE w:val="0"/>
              <w:autoSpaceDN w:val="0"/>
              <w:adjustRightInd w:val="0"/>
              <w:jc w:val="center"/>
              <w:rPr>
                <w:b/>
                <w:bCs/>
                <w:noProof/>
                <w:color w:val="000000"/>
                <w:sz w:val="20"/>
              </w:rPr>
            </w:pPr>
            <w:r>
              <w:rPr>
                <w:b/>
                <w:noProof/>
                <w:color w:val="000000"/>
                <w:sz w:val="20"/>
              </w:rPr>
              <w:t>2016 UK correction</w:t>
            </w:r>
          </w:p>
          <w:p>
            <w:pPr>
              <w:autoSpaceDE w:val="0"/>
              <w:autoSpaceDN w:val="0"/>
              <w:adjustRightInd w:val="0"/>
              <w:jc w:val="center"/>
              <w:rPr>
                <w:noProof/>
                <w:color w:val="000000"/>
                <w:sz w:val="20"/>
              </w:rPr>
            </w:pPr>
            <w:r>
              <w:rPr>
                <w:b/>
                <w:noProof/>
                <w:color w:val="000000"/>
                <w:sz w:val="20"/>
              </w:rPr>
              <w:t>PROVISIONAL</w:t>
            </w:r>
          </w:p>
          <w:p>
            <w:pPr>
              <w:autoSpaceDE w:val="0"/>
              <w:autoSpaceDN w:val="0"/>
              <w:adjustRightInd w:val="0"/>
              <w:jc w:val="center"/>
              <w:rPr>
                <w:b/>
                <w:noProof/>
                <w:color w:val="000000"/>
                <w:sz w:val="20"/>
              </w:rPr>
            </w:pPr>
            <w:r>
              <w:rPr>
                <w:b/>
                <w:noProof/>
                <w:color w:val="000000"/>
                <w:sz w:val="20"/>
              </w:rPr>
              <w:t>Budget 2017</w:t>
            </w:r>
          </w:p>
        </w:tc>
        <w:tc>
          <w:tcPr>
            <w:tcW w:w="1800" w:type="dxa"/>
            <w:tcBorders>
              <w:top w:val="double" w:sz="6" w:space="0" w:color="auto"/>
              <w:left w:val="nil"/>
              <w:bottom w:val="double" w:sz="6" w:space="0" w:color="auto"/>
              <w:right w:val="double" w:sz="6" w:space="0" w:color="auto"/>
            </w:tcBorders>
            <w:shd w:val="clear" w:color="auto" w:fill="E0E0E0"/>
            <w:vAlign w:val="center"/>
          </w:tcPr>
          <w:p>
            <w:pPr>
              <w:autoSpaceDE w:val="0"/>
              <w:autoSpaceDN w:val="0"/>
              <w:adjustRightInd w:val="0"/>
              <w:jc w:val="center"/>
              <w:rPr>
                <w:b/>
                <w:bCs/>
                <w:noProof/>
                <w:color w:val="000000"/>
                <w:sz w:val="20"/>
              </w:rPr>
            </w:pPr>
            <w:r>
              <w:rPr>
                <w:b/>
                <w:noProof/>
                <w:color w:val="000000"/>
                <w:sz w:val="20"/>
              </w:rPr>
              <w:t>2016 UK correction</w:t>
            </w:r>
          </w:p>
          <w:p>
            <w:pPr>
              <w:autoSpaceDE w:val="0"/>
              <w:autoSpaceDN w:val="0"/>
              <w:adjustRightInd w:val="0"/>
              <w:jc w:val="center"/>
              <w:rPr>
                <w:b/>
                <w:bCs/>
                <w:noProof/>
                <w:color w:val="000000"/>
                <w:sz w:val="20"/>
              </w:rPr>
            </w:pPr>
            <w:r>
              <w:rPr>
                <w:b/>
                <w:noProof/>
                <w:color w:val="000000"/>
                <w:sz w:val="20"/>
              </w:rPr>
              <w:t>1st UPDATE</w:t>
            </w:r>
          </w:p>
          <w:p>
            <w:pPr>
              <w:autoSpaceDE w:val="0"/>
              <w:autoSpaceDN w:val="0"/>
              <w:adjustRightInd w:val="0"/>
              <w:jc w:val="center"/>
              <w:rPr>
                <w:b/>
                <w:noProof/>
                <w:color w:val="000000"/>
                <w:sz w:val="20"/>
              </w:rPr>
            </w:pPr>
            <w:r>
              <w:rPr>
                <w:b/>
                <w:noProof/>
                <w:color w:val="000000"/>
                <w:sz w:val="20"/>
              </w:rPr>
              <w:t>DAB 6/2017</w:t>
            </w:r>
          </w:p>
        </w:tc>
        <w:tc>
          <w:tcPr>
            <w:tcW w:w="1800" w:type="dxa"/>
            <w:tcBorders>
              <w:top w:val="double" w:sz="6" w:space="0" w:color="auto"/>
              <w:left w:val="nil"/>
              <w:bottom w:val="double" w:sz="6" w:space="0" w:color="auto"/>
              <w:right w:val="double" w:sz="6" w:space="0" w:color="auto"/>
            </w:tcBorders>
            <w:shd w:val="clear" w:color="auto" w:fill="E0E0E0"/>
            <w:noWrap/>
            <w:vAlign w:val="center"/>
          </w:tcPr>
          <w:p>
            <w:pPr>
              <w:autoSpaceDE w:val="0"/>
              <w:autoSpaceDN w:val="0"/>
              <w:adjustRightInd w:val="0"/>
              <w:jc w:val="center"/>
              <w:rPr>
                <w:b/>
                <w:i/>
                <w:noProof/>
                <w:color w:val="000000"/>
                <w:sz w:val="20"/>
              </w:rPr>
            </w:pPr>
            <w:r>
              <w:rPr>
                <w:b/>
                <w:i/>
                <w:noProof/>
                <w:color w:val="000000"/>
                <w:sz w:val="20"/>
              </w:rPr>
              <w:t>Difference</w:t>
            </w:r>
          </w:p>
        </w:tc>
      </w:tr>
      <w:tr>
        <w:trPr>
          <w:jc w:val="center"/>
        </w:trPr>
        <w:tc>
          <w:tcPr>
            <w:tcW w:w="550" w:type="dxa"/>
            <w:vMerge/>
            <w:tcBorders>
              <w:bottom w:val="double" w:sz="6" w:space="0" w:color="auto"/>
              <w:right w:val="nil"/>
            </w:tcBorders>
            <w:shd w:val="clear" w:color="auto" w:fill="auto"/>
            <w:noWrap/>
            <w:vAlign w:val="center"/>
          </w:tcPr>
          <w:p>
            <w:pPr>
              <w:jc w:val="center"/>
              <w:rPr>
                <w:noProof/>
                <w:sz w:val="20"/>
              </w:rPr>
            </w:pPr>
          </w:p>
        </w:tc>
        <w:tc>
          <w:tcPr>
            <w:tcW w:w="3185" w:type="dxa"/>
            <w:vMerge/>
            <w:tcBorders>
              <w:left w:val="nil"/>
              <w:bottom w:val="double" w:sz="6" w:space="0" w:color="auto"/>
              <w:right w:val="double" w:sz="6" w:space="0" w:color="auto"/>
            </w:tcBorders>
            <w:shd w:val="clear" w:color="auto" w:fill="auto"/>
          </w:tcPr>
          <w:p>
            <w:pPr>
              <w:autoSpaceDE w:val="0"/>
              <w:autoSpaceDN w:val="0"/>
              <w:adjustRightInd w:val="0"/>
              <w:rPr>
                <w:noProof/>
                <w:color w:val="000000"/>
                <w:sz w:val="20"/>
              </w:rPr>
            </w:pPr>
          </w:p>
        </w:tc>
        <w:tc>
          <w:tcPr>
            <w:tcW w:w="1800" w:type="dxa"/>
            <w:tcBorders>
              <w:top w:val="double" w:sz="6" w:space="0" w:color="auto"/>
              <w:left w:val="nil"/>
              <w:bottom w:val="nil"/>
              <w:right w:val="single" w:sz="4" w:space="0" w:color="auto"/>
            </w:tcBorders>
            <w:shd w:val="clear" w:color="auto" w:fill="auto"/>
            <w:noWrap/>
            <w:vAlign w:val="center"/>
          </w:tcPr>
          <w:p>
            <w:pPr>
              <w:jc w:val="center"/>
              <w:rPr>
                <w:noProof/>
                <w:sz w:val="20"/>
              </w:rPr>
            </w:pPr>
            <w:r>
              <w:rPr>
                <w:noProof/>
                <w:sz w:val="20"/>
              </w:rPr>
              <w:t>(1)</w:t>
            </w:r>
          </w:p>
        </w:tc>
        <w:tc>
          <w:tcPr>
            <w:tcW w:w="1800" w:type="dxa"/>
            <w:tcBorders>
              <w:top w:val="double" w:sz="6" w:space="0" w:color="auto"/>
              <w:left w:val="nil"/>
              <w:bottom w:val="nil"/>
              <w:right w:val="double" w:sz="6" w:space="0" w:color="auto"/>
            </w:tcBorders>
            <w:shd w:val="clear" w:color="auto" w:fill="auto"/>
            <w:noWrap/>
            <w:vAlign w:val="center"/>
          </w:tcPr>
          <w:p>
            <w:pPr>
              <w:jc w:val="center"/>
              <w:rPr>
                <w:noProof/>
                <w:sz w:val="20"/>
              </w:rPr>
            </w:pPr>
            <w:r>
              <w:rPr>
                <w:noProof/>
                <w:sz w:val="20"/>
              </w:rPr>
              <w:t>(2)</w:t>
            </w:r>
          </w:p>
        </w:tc>
        <w:tc>
          <w:tcPr>
            <w:tcW w:w="1800" w:type="dxa"/>
            <w:tcBorders>
              <w:top w:val="double" w:sz="6" w:space="0" w:color="auto"/>
              <w:left w:val="nil"/>
              <w:bottom w:val="nil"/>
              <w:right w:val="double" w:sz="6" w:space="0" w:color="auto"/>
            </w:tcBorders>
            <w:shd w:val="clear" w:color="auto" w:fill="auto"/>
            <w:noWrap/>
            <w:vAlign w:val="center"/>
          </w:tcPr>
          <w:p>
            <w:pPr>
              <w:jc w:val="center"/>
              <w:rPr>
                <w:noProof/>
                <w:sz w:val="20"/>
              </w:rPr>
            </w:pPr>
            <w:r>
              <w:rPr>
                <w:noProof/>
                <w:sz w:val="20"/>
              </w:rPr>
              <w:t>(2)-(1)</w:t>
            </w:r>
          </w:p>
        </w:tc>
      </w:tr>
      <w:tr>
        <w:trPr>
          <w:jc w:val="center"/>
        </w:trPr>
        <w:tc>
          <w:tcPr>
            <w:tcW w:w="550" w:type="dxa"/>
            <w:tcBorders>
              <w:top w:val="double" w:sz="6" w:space="0" w:color="auto"/>
              <w:left w:val="double" w:sz="6" w:space="0" w:color="auto"/>
              <w:bottom w:val="nil"/>
              <w:right w:val="nil"/>
            </w:tcBorders>
            <w:shd w:val="clear" w:color="auto" w:fill="auto"/>
            <w:noWrap/>
            <w:vAlign w:val="center"/>
          </w:tcPr>
          <w:p>
            <w:pPr>
              <w:jc w:val="center"/>
              <w:rPr>
                <w:noProof/>
                <w:sz w:val="20"/>
              </w:rPr>
            </w:pPr>
            <w:r>
              <w:rPr>
                <w:noProof/>
                <w:sz w:val="20"/>
              </w:rPr>
              <w:t>(1)</w:t>
            </w:r>
          </w:p>
        </w:tc>
        <w:tc>
          <w:tcPr>
            <w:tcW w:w="3185" w:type="dxa"/>
            <w:tcBorders>
              <w:top w:val="double" w:sz="6" w:space="0" w:color="auto"/>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UK share of uncapped VAT base</w:t>
            </w:r>
          </w:p>
        </w:tc>
        <w:tc>
          <w:tcPr>
            <w:tcW w:w="1800" w:type="dxa"/>
            <w:tcBorders>
              <w:top w:val="double" w:sz="6" w:space="0" w:color="auto"/>
              <w:left w:val="nil"/>
              <w:bottom w:val="nil"/>
              <w:right w:val="single" w:sz="4" w:space="0" w:color="auto"/>
            </w:tcBorders>
            <w:shd w:val="clear" w:color="auto" w:fill="auto"/>
            <w:noWrap/>
            <w:vAlign w:val="center"/>
          </w:tcPr>
          <w:p>
            <w:pPr>
              <w:jc w:val="right"/>
              <w:rPr>
                <w:noProof/>
                <w:sz w:val="20"/>
              </w:rPr>
            </w:pPr>
            <w:r>
              <w:rPr>
                <w:noProof/>
                <w:sz w:val="20"/>
              </w:rPr>
              <w:t>18,0077%</w:t>
            </w:r>
          </w:p>
        </w:tc>
        <w:tc>
          <w:tcPr>
            <w:tcW w:w="1800" w:type="dxa"/>
            <w:tcBorders>
              <w:top w:val="double" w:sz="6" w:space="0" w:color="auto"/>
              <w:left w:val="nil"/>
              <w:bottom w:val="nil"/>
              <w:right w:val="double" w:sz="6" w:space="0" w:color="auto"/>
            </w:tcBorders>
            <w:shd w:val="clear" w:color="auto" w:fill="auto"/>
            <w:noWrap/>
            <w:vAlign w:val="center"/>
          </w:tcPr>
          <w:p>
            <w:pPr>
              <w:jc w:val="right"/>
              <w:rPr>
                <w:noProof/>
                <w:sz w:val="20"/>
              </w:rPr>
            </w:pPr>
            <w:r>
              <w:rPr>
                <w:noProof/>
                <w:sz w:val="20"/>
              </w:rPr>
              <w:t>17,5900%</w:t>
            </w:r>
          </w:p>
        </w:tc>
        <w:tc>
          <w:tcPr>
            <w:tcW w:w="1800" w:type="dxa"/>
            <w:tcBorders>
              <w:top w:val="double" w:sz="6" w:space="0" w:color="auto"/>
              <w:left w:val="nil"/>
              <w:bottom w:val="nil"/>
              <w:right w:val="double" w:sz="6" w:space="0" w:color="auto"/>
            </w:tcBorders>
            <w:shd w:val="clear" w:color="auto" w:fill="auto"/>
            <w:noWrap/>
            <w:vAlign w:val="center"/>
          </w:tcPr>
          <w:p>
            <w:pPr>
              <w:jc w:val="right"/>
              <w:rPr>
                <w:i/>
                <w:noProof/>
                <w:sz w:val="20"/>
              </w:rPr>
            </w:pPr>
            <w:r>
              <w:rPr>
                <w:i/>
                <w:noProof/>
                <w:sz w:val="20"/>
              </w:rPr>
              <w:t>-0,4177%</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(2)</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UK share of enlargement-adjusted total allocated expenditure</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7,2983%</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7,6814%</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+0,3832%</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(3)</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18"/>
                <w:szCs w:val="18"/>
              </w:rPr>
            </w:pPr>
            <w:r>
              <w:rPr>
                <w:noProof/>
                <w:color w:val="000000"/>
                <w:sz w:val="18"/>
                <w:szCs w:val="18"/>
              </w:rPr>
              <w:t>= (1) - (2)</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10,7095%</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9,9086%</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-0,8009%</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(4)</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Total allocated expenditure</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129 383 323 229</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117 477 286 403</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- 11 906 036 826</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(5)</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Enlargement-related expenditure</w:t>
            </w:r>
            <w:r>
              <w:rPr>
                <w:noProof/>
                <w:sz w:val="20"/>
              </w:rPr>
              <w:br/>
              <w:t>= (5a) + (5b)</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34 414 600 712</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25 506 896 869</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- 8 907 703 843</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(5a)</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Pre-accession expenditure</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0</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0</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0</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(5b)</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Expenditure related to Art 4(1)(g)</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34 414 600 712</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25 506 896 869</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- 8 907 703 843</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(6)</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Enlargement-adjusted total allocated expenditure = (4) - (5)</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94 968 722 517</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91 970 389 534</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- 2 998 332 984</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(7)</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UK correction original amount = (3) x (6) x 0.66</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6 712 622 123</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6 014 542 348</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- 698 079 776</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(8)</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UK advantage</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1 524 007 149</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1 128 635 343</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- 395 371 806</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(9)</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Core UK correction = (7) - (8)</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5 188 614 974</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4 885 907 005</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- 302 707 970</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(10)</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TOR windfall gains</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- 49 835 714</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- 46 683 873</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+ 3 151 841</w:t>
            </w:r>
          </w:p>
        </w:tc>
      </w:tr>
      <w:tr>
        <w:trPr>
          <w:jc w:val="center"/>
        </w:trPr>
        <w:tc>
          <w:tcPr>
            <w:tcW w:w="550" w:type="dxa"/>
            <w:tcBorders>
              <w:top w:val="nil"/>
              <w:left w:val="double" w:sz="6" w:space="0" w:color="auto"/>
              <w:bottom w:val="double" w:sz="6" w:space="0" w:color="auto"/>
              <w:right w:val="nil"/>
            </w:tcBorders>
            <w:shd w:val="clear" w:color="auto" w:fill="auto"/>
            <w:noWrap/>
            <w:vAlign w:val="center"/>
          </w:tcPr>
          <w:p>
            <w:pPr>
              <w:jc w:val="center"/>
              <w:rPr>
                <w:noProof/>
                <w:sz w:val="20"/>
              </w:rPr>
            </w:pPr>
            <w:r>
              <w:rPr>
                <w:noProof/>
                <w:sz w:val="20"/>
              </w:rPr>
              <w:t>(11)</w:t>
            </w:r>
          </w:p>
        </w:tc>
        <w:tc>
          <w:tcPr>
            <w:tcW w:w="3185" w:type="dxa"/>
            <w:tcBorders>
              <w:top w:val="nil"/>
              <w:left w:val="nil"/>
              <w:bottom w:val="double" w:sz="6" w:space="0" w:color="auto"/>
              <w:right w:val="double" w:sz="6" w:space="0" w:color="auto"/>
            </w:tcBorders>
            <w:shd w:val="clear" w:color="auto" w:fill="auto"/>
          </w:tcPr>
          <w:p>
            <w:pPr>
              <w:autoSpaceDE w:val="0"/>
              <w:autoSpaceDN w:val="0"/>
              <w:adjustRightInd w:val="0"/>
              <w:rPr>
                <w:noProof/>
                <w:color w:val="000000"/>
                <w:sz w:val="20"/>
              </w:rPr>
            </w:pPr>
            <w:r>
              <w:rPr>
                <w:noProof/>
                <w:color w:val="000000"/>
                <w:sz w:val="20"/>
              </w:rPr>
              <w:t>UK correction = (9) - (10)</w:t>
            </w:r>
          </w:p>
        </w:tc>
        <w:tc>
          <w:tcPr>
            <w:tcW w:w="1800" w:type="dxa"/>
            <w:tcBorders>
              <w:top w:val="nil"/>
              <w:left w:val="nil"/>
              <w:bottom w:val="double" w:sz="6" w:space="0" w:color="auto"/>
              <w:right w:val="single" w:sz="4" w:space="0" w:color="auto"/>
            </w:tcBorders>
            <w:shd w:val="clear" w:color="auto" w:fill="auto"/>
            <w:noWrap/>
            <w:vAlign w:val="center"/>
          </w:tcPr>
          <w:p>
            <w:pPr>
              <w:jc w:val="right"/>
              <w:rPr>
                <w:noProof/>
                <w:sz w:val="20"/>
              </w:rPr>
            </w:pPr>
            <w:r>
              <w:rPr>
                <w:noProof/>
                <w:sz w:val="20"/>
              </w:rPr>
              <w:t>5 238 450 688</w:t>
            </w:r>
          </w:p>
        </w:tc>
        <w:tc>
          <w:tcPr>
            <w:tcW w:w="1800" w:type="dxa"/>
            <w:tcBorders>
              <w:top w:val="nil"/>
              <w:left w:val="nil"/>
              <w:bottom w:val="double" w:sz="6" w:space="0" w:color="auto"/>
              <w:right w:val="double" w:sz="6" w:space="0" w:color="auto"/>
            </w:tcBorders>
            <w:shd w:val="clear" w:color="auto" w:fill="auto"/>
            <w:noWrap/>
            <w:vAlign w:val="center"/>
          </w:tcPr>
          <w:p>
            <w:pPr>
              <w:jc w:val="right"/>
              <w:rPr>
                <w:noProof/>
                <w:sz w:val="20"/>
              </w:rPr>
            </w:pPr>
            <w:r>
              <w:rPr>
                <w:noProof/>
                <w:sz w:val="20"/>
              </w:rPr>
              <w:t>4 932 590 878</w:t>
            </w:r>
          </w:p>
        </w:tc>
        <w:tc>
          <w:tcPr>
            <w:tcW w:w="1800" w:type="dxa"/>
            <w:tcBorders>
              <w:top w:val="nil"/>
              <w:left w:val="nil"/>
              <w:bottom w:val="double" w:sz="6" w:space="0" w:color="auto"/>
              <w:right w:val="double" w:sz="6" w:space="0" w:color="auto"/>
            </w:tcBorders>
            <w:shd w:val="clear" w:color="auto" w:fill="auto"/>
            <w:noWrap/>
            <w:vAlign w:val="center"/>
          </w:tcPr>
          <w:p>
            <w:pPr>
              <w:jc w:val="right"/>
              <w:rPr>
                <w:i/>
                <w:noProof/>
                <w:sz w:val="20"/>
              </w:rPr>
            </w:pPr>
            <w:r>
              <w:rPr>
                <w:i/>
                <w:noProof/>
                <w:sz w:val="20"/>
              </w:rPr>
              <w:t>- 305 859 810</w:t>
            </w:r>
          </w:p>
        </w:tc>
      </w:tr>
    </w:tbl>
    <w:p>
      <w:pPr>
        <w:tabs>
          <w:tab w:val="num" w:pos="851"/>
        </w:tabs>
        <w:spacing w:before="120" w:after="120"/>
        <w:jc w:val="both"/>
        <w:rPr>
          <w:noProof/>
        </w:rPr>
      </w:pPr>
      <w:r>
        <w:rPr>
          <w:noProof/>
        </w:rPr>
        <w:t xml:space="preserve">The </w:t>
      </w:r>
      <w:r>
        <w:rPr>
          <w:i/>
          <w:noProof/>
        </w:rPr>
        <w:t>1</w:t>
      </w:r>
      <w:r>
        <w:rPr>
          <w:i/>
          <w:noProof/>
          <w:vertAlign w:val="superscript"/>
        </w:rPr>
        <w:t>st</w:t>
      </w:r>
      <w:r>
        <w:rPr>
          <w:i/>
          <w:noProof/>
        </w:rPr>
        <w:t xml:space="preserve"> update</w:t>
      </w:r>
      <w:r>
        <w:rPr>
          <w:noProof/>
        </w:rPr>
        <w:t xml:space="preserve"> of the 2016 UK correction is around EUR 306 million lower as compared to the </w:t>
      </w:r>
      <w:r>
        <w:rPr>
          <w:i/>
          <w:noProof/>
        </w:rPr>
        <w:t>provisional amount</w:t>
      </w:r>
      <w:r>
        <w:rPr>
          <w:noProof/>
        </w:rPr>
        <w:t xml:space="preserve"> of the 2016 UK correction entered in Budget 2017.</w:t>
      </w:r>
    </w:p>
    <w:p>
      <w:pPr>
        <w:tabs>
          <w:tab w:val="left" w:pos="851"/>
        </w:tabs>
        <w:rPr>
          <w:bCs/>
          <w:noProof/>
          <w:szCs w:val="28"/>
          <w:u w:val="single"/>
          <w:lang w:eastAsia="de-DE"/>
        </w:rPr>
      </w:pPr>
      <w:r>
        <w:rPr>
          <w:bCs/>
          <w:noProof/>
          <w:szCs w:val="28"/>
          <w:u w:val="single"/>
          <w:lang w:eastAsia="de-DE"/>
        </w:rPr>
        <w:t>3.3.2.2</w:t>
      </w:r>
      <w:r>
        <w:rPr>
          <w:bCs/>
          <w:noProof/>
          <w:szCs w:val="28"/>
          <w:u w:val="single"/>
          <w:lang w:eastAsia="de-DE"/>
        </w:rPr>
        <w:tab/>
        <w:t xml:space="preserve"> 2013 UK correction</w:t>
      </w:r>
    </w:p>
    <w:p>
      <w:pPr>
        <w:spacing w:before="120" w:after="120"/>
        <w:jc w:val="both"/>
        <w:rPr>
          <w:noProof/>
        </w:rPr>
      </w:pPr>
      <w:r>
        <w:rPr>
          <w:noProof/>
        </w:rPr>
        <w:t xml:space="preserve">The following table summarises the changes between the </w:t>
      </w:r>
      <w:r>
        <w:rPr>
          <w:i/>
          <w:noProof/>
        </w:rPr>
        <w:t>2</w:t>
      </w:r>
      <w:r>
        <w:rPr>
          <w:i/>
          <w:noProof/>
          <w:vertAlign w:val="superscript"/>
        </w:rPr>
        <w:t>nd</w:t>
      </w:r>
      <w:r>
        <w:rPr>
          <w:i/>
          <w:noProof/>
        </w:rPr>
        <w:t xml:space="preserve"> update</w:t>
      </w:r>
      <w:r>
        <w:rPr>
          <w:noProof/>
        </w:rPr>
        <w:t xml:space="preserve"> of the 2013 UK correction entered in AB 5/2016 and the </w:t>
      </w:r>
      <w:r>
        <w:rPr>
          <w:i/>
          <w:noProof/>
        </w:rPr>
        <w:t>definitive amount</w:t>
      </w:r>
      <w:r>
        <w:rPr>
          <w:noProof/>
        </w:rPr>
        <w:t xml:space="preserve"> of the 2013 UK correction to be entered in the present DAB.</w:t>
      </w:r>
    </w:p>
    <w:p>
      <w:pPr>
        <w:rPr>
          <w:noProof/>
        </w:rPr>
      </w:pPr>
      <w:r>
        <w:rPr>
          <w:noProof/>
        </w:rPr>
        <w:br w:type="page"/>
      </w:r>
    </w:p>
    <w:tbl>
      <w:tblPr>
        <w:tblW w:w="9135" w:type="dxa"/>
        <w:jc w:val="center"/>
        <w:tblLayout w:type="fixed"/>
        <w:tblLook w:val="0000" w:firstRow="0" w:lastRow="0" w:firstColumn="0" w:lastColumn="0" w:noHBand="0" w:noVBand="0"/>
      </w:tblPr>
      <w:tblGrid>
        <w:gridCol w:w="550"/>
        <w:gridCol w:w="3185"/>
        <w:gridCol w:w="1800"/>
        <w:gridCol w:w="1680"/>
        <w:gridCol w:w="1920"/>
      </w:tblGrid>
      <w:tr>
        <w:trPr>
          <w:trHeight w:val="831"/>
          <w:tblHeader/>
          <w:jc w:val="center"/>
        </w:trPr>
        <w:tc>
          <w:tcPr>
            <w:tcW w:w="550" w:type="dxa"/>
            <w:tcBorders>
              <w:top w:val="nil"/>
              <w:left w:val="nil"/>
              <w:right w:val="nil"/>
            </w:tcBorders>
            <w:shd w:val="clear" w:color="auto" w:fill="auto"/>
            <w:noWrap/>
            <w:vAlign w:val="bottom"/>
          </w:tcPr>
          <w:p>
            <w:pPr>
              <w:rPr>
                <w:noProof/>
                <w:sz w:val="20"/>
                <w:highlight w:val="yellow"/>
              </w:rPr>
            </w:pPr>
          </w:p>
        </w:tc>
        <w:tc>
          <w:tcPr>
            <w:tcW w:w="3185" w:type="dxa"/>
            <w:tcBorders>
              <w:top w:val="nil"/>
              <w:left w:val="nil"/>
              <w:right w:val="nil"/>
            </w:tcBorders>
            <w:shd w:val="clear" w:color="auto" w:fill="auto"/>
            <w:noWrap/>
            <w:vAlign w:val="center"/>
          </w:tcPr>
          <w:p>
            <w:pPr>
              <w:autoSpaceDE w:val="0"/>
              <w:autoSpaceDN w:val="0"/>
              <w:adjustRightInd w:val="0"/>
              <w:jc w:val="center"/>
              <w:rPr>
                <w:b/>
                <w:noProof/>
                <w:color w:val="000000"/>
              </w:rPr>
            </w:pPr>
            <w:r>
              <w:rPr>
                <w:b/>
                <w:noProof/>
                <w:color w:val="000000"/>
              </w:rPr>
              <w:t>2013 UK correction</w:t>
            </w:r>
          </w:p>
        </w:tc>
        <w:tc>
          <w:tcPr>
            <w:tcW w:w="1800" w:type="dxa"/>
            <w:tcBorders>
              <w:top w:val="double" w:sz="6" w:space="0" w:color="auto"/>
              <w:left w:val="double" w:sz="6" w:space="0" w:color="auto"/>
              <w:bottom w:val="double" w:sz="6" w:space="0" w:color="auto"/>
              <w:right w:val="single" w:sz="4" w:space="0" w:color="auto"/>
            </w:tcBorders>
            <w:shd w:val="clear" w:color="auto" w:fill="E0E0E0"/>
            <w:vAlign w:val="center"/>
          </w:tcPr>
          <w:p>
            <w:pPr>
              <w:jc w:val="center"/>
              <w:rPr>
                <w:b/>
                <w:bCs/>
                <w:noProof/>
                <w:sz w:val="20"/>
              </w:rPr>
            </w:pPr>
            <w:r>
              <w:rPr>
                <w:b/>
                <w:bCs/>
                <w:noProof/>
                <w:sz w:val="20"/>
              </w:rPr>
              <w:t>2013 UK correction</w:t>
            </w:r>
            <w:r>
              <w:rPr>
                <w:b/>
                <w:bCs/>
                <w:noProof/>
                <w:sz w:val="20"/>
              </w:rPr>
              <w:br/>
              <w:t>2</w:t>
            </w:r>
            <w:r>
              <w:rPr>
                <w:b/>
                <w:bCs/>
                <w:noProof/>
                <w:sz w:val="20"/>
                <w:vertAlign w:val="superscript"/>
              </w:rPr>
              <w:t>nd</w:t>
            </w:r>
            <w:r>
              <w:rPr>
                <w:b/>
                <w:bCs/>
                <w:noProof/>
                <w:sz w:val="20"/>
              </w:rPr>
              <w:t xml:space="preserve"> UPDATE </w:t>
            </w:r>
            <w:r>
              <w:rPr>
                <w:b/>
                <w:bCs/>
                <w:noProof/>
                <w:sz w:val="20"/>
              </w:rPr>
              <w:br/>
              <w:t>AB 5/2016</w:t>
            </w:r>
          </w:p>
        </w:tc>
        <w:tc>
          <w:tcPr>
            <w:tcW w:w="1680" w:type="dxa"/>
            <w:tcBorders>
              <w:top w:val="double" w:sz="6" w:space="0" w:color="auto"/>
              <w:left w:val="nil"/>
              <w:bottom w:val="double" w:sz="6" w:space="0" w:color="auto"/>
              <w:right w:val="double" w:sz="6" w:space="0" w:color="auto"/>
            </w:tcBorders>
            <w:shd w:val="clear" w:color="auto" w:fill="E0E0E0"/>
            <w:vAlign w:val="center"/>
          </w:tcPr>
          <w:p>
            <w:pPr>
              <w:jc w:val="center"/>
              <w:rPr>
                <w:b/>
                <w:bCs/>
                <w:noProof/>
                <w:sz w:val="20"/>
              </w:rPr>
            </w:pPr>
            <w:r>
              <w:rPr>
                <w:b/>
                <w:bCs/>
                <w:noProof/>
                <w:sz w:val="20"/>
              </w:rPr>
              <w:t>2013 UK correction</w:t>
            </w:r>
            <w:r>
              <w:rPr>
                <w:b/>
                <w:bCs/>
                <w:noProof/>
                <w:sz w:val="20"/>
              </w:rPr>
              <w:br/>
              <w:t>DEFINITIVE</w:t>
            </w:r>
            <w:r>
              <w:rPr>
                <w:b/>
                <w:bCs/>
                <w:noProof/>
                <w:sz w:val="20"/>
              </w:rPr>
              <w:br/>
              <w:t>DAB 6/2017</w:t>
            </w:r>
          </w:p>
        </w:tc>
        <w:tc>
          <w:tcPr>
            <w:tcW w:w="1920" w:type="dxa"/>
            <w:tcBorders>
              <w:top w:val="double" w:sz="6" w:space="0" w:color="auto"/>
              <w:left w:val="nil"/>
              <w:bottom w:val="double" w:sz="6" w:space="0" w:color="auto"/>
              <w:right w:val="double" w:sz="6" w:space="0" w:color="auto"/>
            </w:tcBorders>
            <w:shd w:val="clear" w:color="auto" w:fill="E0E0E0"/>
            <w:noWrap/>
            <w:vAlign w:val="center"/>
          </w:tcPr>
          <w:p>
            <w:pPr>
              <w:jc w:val="center"/>
              <w:rPr>
                <w:b/>
                <w:bCs/>
                <w:i/>
                <w:iCs/>
                <w:noProof/>
                <w:sz w:val="20"/>
              </w:rPr>
            </w:pPr>
            <w:r>
              <w:rPr>
                <w:b/>
                <w:bCs/>
                <w:i/>
                <w:iCs/>
                <w:noProof/>
                <w:sz w:val="20"/>
              </w:rPr>
              <w:t>Difference</w:t>
            </w:r>
          </w:p>
        </w:tc>
      </w:tr>
      <w:tr>
        <w:trPr>
          <w:jc w:val="center"/>
        </w:trPr>
        <w:tc>
          <w:tcPr>
            <w:tcW w:w="550" w:type="dxa"/>
            <w:tcBorders>
              <w:bottom w:val="double" w:sz="6" w:space="0" w:color="auto"/>
              <w:right w:val="nil"/>
            </w:tcBorders>
            <w:shd w:val="clear" w:color="auto" w:fill="auto"/>
            <w:noWrap/>
            <w:vAlign w:val="center"/>
          </w:tcPr>
          <w:p>
            <w:pPr>
              <w:jc w:val="center"/>
              <w:rPr>
                <w:noProof/>
                <w:sz w:val="20"/>
              </w:rPr>
            </w:pPr>
          </w:p>
        </w:tc>
        <w:tc>
          <w:tcPr>
            <w:tcW w:w="3185" w:type="dxa"/>
            <w:tcBorders>
              <w:left w:val="nil"/>
              <w:bottom w:val="double" w:sz="6" w:space="0" w:color="auto"/>
              <w:right w:val="double" w:sz="6" w:space="0" w:color="auto"/>
            </w:tcBorders>
            <w:shd w:val="clear" w:color="auto" w:fill="auto"/>
          </w:tcPr>
          <w:p>
            <w:pPr>
              <w:autoSpaceDE w:val="0"/>
              <w:autoSpaceDN w:val="0"/>
              <w:adjustRightInd w:val="0"/>
              <w:rPr>
                <w:noProof/>
                <w:color w:val="000000"/>
                <w:sz w:val="20"/>
              </w:rPr>
            </w:pPr>
          </w:p>
        </w:tc>
        <w:tc>
          <w:tcPr>
            <w:tcW w:w="1800" w:type="dxa"/>
            <w:tcBorders>
              <w:top w:val="double" w:sz="6" w:space="0" w:color="auto"/>
              <w:left w:val="nil"/>
              <w:bottom w:val="nil"/>
              <w:right w:val="single" w:sz="4" w:space="0" w:color="auto"/>
            </w:tcBorders>
            <w:shd w:val="clear" w:color="auto" w:fill="auto"/>
            <w:noWrap/>
            <w:vAlign w:val="center"/>
          </w:tcPr>
          <w:p>
            <w:pPr>
              <w:jc w:val="center"/>
              <w:rPr>
                <w:noProof/>
                <w:sz w:val="20"/>
              </w:rPr>
            </w:pPr>
            <w:r>
              <w:rPr>
                <w:noProof/>
                <w:sz w:val="20"/>
              </w:rPr>
              <w:t>(1)</w:t>
            </w:r>
          </w:p>
        </w:tc>
        <w:tc>
          <w:tcPr>
            <w:tcW w:w="1680" w:type="dxa"/>
            <w:tcBorders>
              <w:top w:val="double" w:sz="6" w:space="0" w:color="auto"/>
              <w:left w:val="nil"/>
              <w:bottom w:val="nil"/>
              <w:right w:val="double" w:sz="6" w:space="0" w:color="auto"/>
            </w:tcBorders>
            <w:shd w:val="clear" w:color="auto" w:fill="auto"/>
            <w:noWrap/>
            <w:vAlign w:val="center"/>
          </w:tcPr>
          <w:p>
            <w:pPr>
              <w:jc w:val="center"/>
              <w:rPr>
                <w:noProof/>
                <w:sz w:val="20"/>
              </w:rPr>
            </w:pPr>
            <w:r>
              <w:rPr>
                <w:noProof/>
                <w:sz w:val="20"/>
              </w:rPr>
              <w:t>(2)</w:t>
            </w:r>
          </w:p>
        </w:tc>
        <w:tc>
          <w:tcPr>
            <w:tcW w:w="1920" w:type="dxa"/>
            <w:tcBorders>
              <w:top w:val="double" w:sz="6" w:space="0" w:color="auto"/>
              <w:left w:val="nil"/>
              <w:bottom w:val="nil"/>
              <w:right w:val="double" w:sz="6" w:space="0" w:color="auto"/>
            </w:tcBorders>
            <w:shd w:val="clear" w:color="auto" w:fill="auto"/>
            <w:noWrap/>
            <w:vAlign w:val="center"/>
          </w:tcPr>
          <w:p>
            <w:pPr>
              <w:jc w:val="center"/>
              <w:rPr>
                <w:noProof/>
                <w:sz w:val="20"/>
              </w:rPr>
            </w:pPr>
            <w:r>
              <w:rPr>
                <w:noProof/>
                <w:sz w:val="20"/>
              </w:rPr>
              <w:t>(2)-(1)</w:t>
            </w:r>
          </w:p>
        </w:tc>
      </w:tr>
      <w:tr>
        <w:trPr>
          <w:jc w:val="center"/>
        </w:trPr>
        <w:tc>
          <w:tcPr>
            <w:tcW w:w="550" w:type="dxa"/>
            <w:tcBorders>
              <w:top w:val="double" w:sz="6" w:space="0" w:color="auto"/>
              <w:left w:val="double" w:sz="6" w:space="0" w:color="auto"/>
              <w:bottom w:val="nil"/>
              <w:right w:val="nil"/>
            </w:tcBorders>
            <w:shd w:val="clear" w:color="auto" w:fill="auto"/>
            <w:noWrap/>
            <w:vAlign w:val="center"/>
          </w:tcPr>
          <w:p>
            <w:pPr>
              <w:jc w:val="center"/>
              <w:rPr>
                <w:noProof/>
                <w:sz w:val="20"/>
              </w:rPr>
            </w:pPr>
            <w:r>
              <w:rPr>
                <w:noProof/>
                <w:sz w:val="20"/>
              </w:rPr>
              <w:t>(1)</w:t>
            </w:r>
          </w:p>
        </w:tc>
        <w:tc>
          <w:tcPr>
            <w:tcW w:w="3185" w:type="dxa"/>
            <w:tcBorders>
              <w:top w:val="double" w:sz="6" w:space="0" w:color="auto"/>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UK share of uncapped VAT base</w:t>
            </w:r>
          </w:p>
        </w:tc>
        <w:tc>
          <w:tcPr>
            <w:tcW w:w="1800" w:type="dxa"/>
            <w:tcBorders>
              <w:top w:val="double" w:sz="6" w:space="0" w:color="auto"/>
              <w:left w:val="nil"/>
              <w:bottom w:val="nil"/>
              <w:right w:val="single" w:sz="4" w:space="0" w:color="auto"/>
            </w:tcBorders>
            <w:shd w:val="clear" w:color="auto" w:fill="auto"/>
            <w:noWrap/>
            <w:vAlign w:val="center"/>
          </w:tcPr>
          <w:p>
            <w:pPr>
              <w:jc w:val="right"/>
              <w:rPr>
                <w:noProof/>
                <w:sz w:val="20"/>
              </w:rPr>
            </w:pPr>
            <w:r>
              <w:rPr>
                <w:noProof/>
                <w:sz w:val="20"/>
              </w:rPr>
              <w:t>16,0378%</w:t>
            </w:r>
          </w:p>
        </w:tc>
        <w:tc>
          <w:tcPr>
            <w:tcW w:w="1680" w:type="dxa"/>
            <w:tcBorders>
              <w:top w:val="double" w:sz="6" w:space="0" w:color="auto"/>
              <w:left w:val="nil"/>
              <w:bottom w:val="nil"/>
              <w:right w:val="double" w:sz="6" w:space="0" w:color="auto"/>
            </w:tcBorders>
            <w:shd w:val="clear" w:color="auto" w:fill="auto"/>
            <w:noWrap/>
            <w:vAlign w:val="center"/>
          </w:tcPr>
          <w:p>
            <w:pPr>
              <w:jc w:val="right"/>
              <w:rPr>
                <w:noProof/>
                <w:sz w:val="20"/>
              </w:rPr>
            </w:pPr>
            <w:r>
              <w:rPr>
                <w:noProof/>
                <w:sz w:val="20"/>
              </w:rPr>
              <w:t>16,2955%</w:t>
            </w:r>
          </w:p>
        </w:tc>
        <w:tc>
          <w:tcPr>
            <w:tcW w:w="1920" w:type="dxa"/>
            <w:tcBorders>
              <w:top w:val="double" w:sz="6" w:space="0" w:color="auto"/>
              <w:left w:val="nil"/>
              <w:bottom w:val="nil"/>
              <w:right w:val="double" w:sz="6" w:space="0" w:color="auto"/>
            </w:tcBorders>
            <w:shd w:val="clear" w:color="auto" w:fill="auto"/>
            <w:noWrap/>
            <w:vAlign w:val="center"/>
          </w:tcPr>
          <w:p>
            <w:pPr>
              <w:jc w:val="right"/>
              <w:rPr>
                <w:i/>
                <w:noProof/>
                <w:sz w:val="20"/>
              </w:rPr>
            </w:pPr>
            <w:r>
              <w:rPr>
                <w:i/>
                <w:noProof/>
                <w:sz w:val="20"/>
              </w:rPr>
              <w:t>+ 0,2577%</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(2)</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UK share of enlargement-adjusted total allocated expenditure</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6,0959%</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6,0959%</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+ 0,0000%</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(3)</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18"/>
                <w:szCs w:val="18"/>
              </w:rPr>
            </w:pPr>
            <w:r>
              <w:rPr>
                <w:noProof/>
                <w:color w:val="000000"/>
                <w:sz w:val="18"/>
                <w:szCs w:val="18"/>
              </w:rPr>
              <w:t>= (1) - (2)</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9,9418%</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10,1996%</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+ 0,2577%</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(4)</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Total allocated expenditure</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134 745 129 775</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134 745 129 775</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0</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(5)</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Enlargement-related expenditure</w:t>
            </w:r>
            <w:r>
              <w:rPr>
                <w:noProof/>
                <w:sz w:val="20"/>
              </w:rPr>
              <w:br/>
              <w:t>= (5a) + (5b)</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31 288 595 815</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31 288 595 815</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0</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(5a)</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Pre-accession expenditure</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0</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0</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0</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(5b)</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Expenditure related to Art 4(1)(g)</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31 288 595 815</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31 288 595 815</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0</w:t>
            </w:r>
          </w:p>
        </w:tc>
      </w:tr>
      <w:tr>
        <w:trPr>
          <w:jc w:val="center"/>
        </w:trPr>
        <w:tc>
          <w:tcPr>
            <w:tcW w:w="550" w:type="dxa"/>
            <w:tcBorders>
              <w:top w:val="nil"/>
              <w:left w:val="double" w:sz="6" w:space="0" w:color="auto"/>
              <w:bottom w:val="nil"/>
              <w:right w:val="nil"/>
            </w:tcBorders>
            <w:shd w:val="clear" w:color="auto" w:fill="auto"/>
            <w:noWrap/>
            <w:vAlign w:val="center"/>
          </w:tcPr>
          <w:p>
            <w:pPr>
              <w:autoSpaceDE w:val="0"/>
              <w:autoSpaceDN w:val="0"/>
              <w:adjustRightInd w:val="0"/>
              <w:rPr>
                <w:noProof/>
                <w:color w:val="000000"/>
                <w:sz w:val="20"/>
              </w:rPr>
            </w:pPr>
            <w:r>
              <w:rPr>
                <w:noProof/>
                <w:color w:val="000000"/>
                <w:sz w:val="20"/>
              </w:rPr>
              <w:t>(6)</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Enlargement-adjusted total allocated expenditure = (4) - (5)</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103 456 533 960</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103 456 533 960</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0</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(7)</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UK correction original amount = (3) x (6) x 0.66</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6 788 418 578</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6 964 389 260</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+ 175 970 682</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(8)</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UK advantage</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846 456 483</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931 944 129</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+ 85 487 646</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(9)</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Core UK correction = (7) - (8)</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5 941 962 095</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6 032 445 131</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+90 483 036</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(10)</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TOR windfall gains</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18 914 477</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10 994 751</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- 7 919 725</w:t>
            </w:r>
          </w:p>
        </w:tc>
      </w:tr>
      <w:tr>
        <w:trPr>
          <w:jc w:val="center"/>
        </w:trPr>
        <w:tc>
          <w:tcPr>
            <w:tcW w:w="550" w:type="dxa"/>
            <w:tcBorders>
              <w:top w:val="nil"/>
              <w:left w:val="double" w:sz="6" w:space="0" w:color="auto"/>
              <w:bottom w:val="double" w:sz="6" w:space="0" w:color="auto"/>
              <w:right w:val="nil"/>
            </w:tcBorders>
            <w:shd w:val="clear" w:color="auto" w:fill="auto"/>
            <w:noWrap/>
            <w:vAlign w:val="center"/>
          </w:tcPr>
          <w:p>
            <w:pPr>
              <w:jc w:val="center"/>
              <w:rPr>
                <w:noProof/>
                <w:sz w:val="20"/>
              </w:rPr>
            </w:pPr>
            <w:r>
              <w:rPr>
                <w:noProof/>
                <w:sz w:val="20"/>
              </w:rPr>
              <w:t>(11)</w:t>
            </w:r>
          </w:p>
        </w:tc>
        <w:tc>
          <w:tcPr>
            <w:tcW w:w="3185" w:type="dxa"/>
            <w:tcBorders>
              <w:top w:val="nil"/>
              <w:left w:val="nil"/>
              <w:bottom w:val="double" w:sz="6" w:space="0" w:color="auto"/>
              <w:right w:val="double" w:sz="6" w:space="0" w:color="auto"/>
            </w:tcBorders>
            <w:shd w:val="clear" w:color="auto" w:fill="auto"/>
          </w:tcPr>
          <w:p>
            <w:pPr>
              <w:autoSpaceDE w:val="0"/>
              <w:autoSpaceDN w:val="0"/>
              <w:adjustRightInd w:val="0"/>
              <w:rPr>
                <w:noProof/>
                <w:color w:val="000000"/>
                <w:sz w:val="20"/>
              </w:rPr>
            </w:pPr>
            <w:r>
              <w:rPr>
                <w:noProof/>
                <w:color w:val="000000"/>
                <w:sz w:val="20"/>
              </w:rPr>
              <w:t>UK correction = (9) - (10)</w:t>
            </w:r>
          </w:p>
        </w:tc>
        <w:tc>
          <w:tcPr>
            <w:tcW w:w="1800" w:type="dxa"/>
            <w:tcBorders>
              <w:top w:val="nil"/>
              <w:left w:val="nil"/>
              <w:bottom w:val="double" w:sz="6" w:space="0" w:color="auto"/>
              <w:right w:val="single" w:sz="4" w:space="0" w:color="auto"/>
            </w:tcBorders>
            <w:shd w:val="clear" w:color="auto" w:fill="auto"/>
            <w:noWrap/>
            <w:vAlign w:val="center"/>
          </w:tcPr>
          <w:p>
            <w:pPr>
              <w:jc w:val="right"/>
              <w:rPr>
                <w:noProof/>
                <w:sz w:val="20"/>
              </w:rPr>
            </w:pPr>
            <w:r>
              <w:rPr>
                <w:noProof/>
                <w:sz w:val="20"/>
              </w:rPr>
              <w:t>5 923 047 619</w:t>
            </w:r>
          </w:p>
        </w:tc>
        <w:tc>
          <w:tcPr>
            <w:tcW w:w="1680" w:type="dxa"/>
            <w:tcBorders>
              <w:top w:val="nil"/>
              <w:left w:val="nil"/>
              <w:bottom w:val="double" w:sz="6" w:space="0" w:color="auto"/>
              <w:right w:val="double" w:sz="6" w:space="0" w:color="auto"/>
            </w:tcBorders>
            <w:shd w:val="clear" w:color="auto" w:fill="auto"/>
            <w:noWrap/>
            <w:vAlign w:val="center"/>
          </w:tcPr>
          <w:p>
            <w:pPr>
              <w:jc w:val="right"/>
              <w:rPr>
                <w:noProof/>
                <w:sz w:val="20"/>
              </w:rPr>
            </w:pPr>
            <w:r>
              <w:rPr>
                <w:noProof/>
                <w:sz w:val="20"/>
              </w:rPr>
              <w:t>6 021 450 379</w:t>
            </w:r>
          </w:p>
        </w:tc>
        <w:tc>
          <w:tcPr>
            <w:tcW w:w="1920" w:type="dxa"/>
            <w:tcBorders>
              <w:top w:val="nil"/>
              <w:left w:val="nil"/>
              <w:bottom w:val="double" w:sz="6" w:space="0" w:color="auto"/>
              <w:right w:val="double" w:sz="6" w:space="0" w:color="auto"/>
            </w:tcBorders>
            <w:shd w:val="clear" w:color="auto" w:fill="auto"/>
            <w:noWrap/>
            <w:vAlign w:val="center"/>
          </w:tcPr>
          <w:p>
            <w:pPr>
              <w:jc w:val="right"/>
              <w:rPr>
                <w:i/>
                <w:noProof/>
                <w:sz w:val="20"/>
              </w:rPr>
            </w:pPr>
            <w:r>
              <w:rPr>
                <w:i/>
                <w:noProof/>
                <w:sz w:val="20"/>
              </w:rPr>
              <w:t>+98 402 760</w:t>
            </w:r>
          </w:p>
        </w:tc>
      </w:tr>
    </w:tbl>
    <w:p>
      <w:pPr>
        <w:spacing w:before="120" w:after="120"/>
        <w:jc w:val="both"/>
        <w:rPr>
          <w:noProof/>
        </w:rPr>
      </w:pPr>
      <w:r>
        <w:rPr>
          <w:noProof/>
        </w:rPr>
        <w:t xml:space="preserve">The </w:t>
      </w:r>
      <w:r>
        <w:rPr>
          <w:i/>
          <w:noProof/>
        </w:rPr>
        <w:t>definitive amount</w:t>
      </w:r>
      <w:r>
        <w:rPr>
          <w:noProof/>
        </w:rPr>
        <w:t xml:space="preserve"> of the 2013 UK correction is EUR 98 million higher than the </w:t>
      </w:r>
      <w:r>
        <w:rPr>
          <w:i/>
          <w:noProof/>
        </w:rPr>
        <w:t>2</w:t>
      </w:r>
      <w:r>
        <w:rPr>
          <w:i/>
          <w:noProof/>
          <w:vertAlign w:val="superscript"/>
        </w:rPr>
        <w:t>nd</w:t>
      </w:r>
      <w:r>
        <w:rPr>
          <w:i/>
          <w:noProof/>
        </w:rPr>
        <w:t xml:space="preserve"> update</w:t>
      </w:r>
      <w:r>
        <w:rPr>
          <w:noProof/>
        </w:rPr>
        <w:t xml:space="preserve"> of the 2013 UK correction entered in AB 5/2016 mainly due to the updates of the VAT and GNI bases as communicated by Member States in autumn 2016.</w:t>
      </w:r>
    </w:p>
    <w:p>
      <w:pPr>
        <w:tabs>
          <w:tab w:val="left" w:pos="850"/>
        </w:tabs>
        <w:spacing w:after="120"/>
        <w:ind w:left="851" w:hanging="851"/>
        <w:rPr>
          <w:bCs/>
          <w:i/>
          <w:noProof/>
        </w:rPr>
      </w:pPr>
      <w:bookmarkStart w:id="65" w:name="_Toc231879708"/>
      <w:bookmarkStart w:id="66" w:name="_Toc293417237"/>
      <w:bookmarkStart w:id="67" w:name="_Toc294673196"/>
      <w:bookmarkStart w:id="68" w:name="_Toc357005416"/>
      <w:bookmarkStart w:id="69" w:name="_Toc390436799"/>
      <w:bookmarkStart w:id="70" w:name="_Toc420941904"/>
      <w:bookmarkStart w:id="71" w:name="_Toc461544624"/>
      <w:r>
        <w:rPr>
          <w:bCs/>
          <w:i/>
          <w:noProof/>
        </w:rPr>
        <w:t>3.3.3</w:t>
      </w:r>
      <w:r>
        <w:rPr>
          <w:bCs/>
          <w:i/>
          <w:noProof/>
        </w:rPr>
        <w:tab/>
        <w:t>Entry in the DAB 6/2017 of the 1</w:t>
      </w:r>
      <w:r>
        <w:rPr>
          <w:bCs/>
          <w:i/>
          <w:noProof/>
          <w:vertAlign w:val="superscript"/>
        </w:rPr>
        <w:t>st</w:t>
      </w:r>
      <w:r>
        <w:rPr>
          <w:bCs/>
          <w:i/>
          <w:noProof/>
        </w:rPr>
        <w:t xml:space="preserve"> update of the 2016 UK correction and definitive amount of the 2013 UK correction</w:t>
      </w:r>
      <w:bookmarkEnd w:id="65"/>
      <w:bookmarkEnd w:id="66"/>
      <w:bookmarkEnd w:id="67"/>
      <w:bookmarkEnd w:id="68"/>
      <w:bookmarkEnd w:id="69"/>
      <w:bookmarkEnd w:id="70"/>
      <w:bookmarkEnd w:id="71"/>
      <w:r>
        <w:rPr>
          <w:bCs/>
          <w:i/>
          <w:noProof/>
        </w:rPr>
        <w:t xml:space="preserve"> </w:t>
      </w:r>
    </w:p>
    <w:p>
      <w:pPr>
        <w:tabs>
          <w:tab w:val="left" w:pos="851"/>
        </w:tabs>
        <w:rPr>
          <w:bCs/>
          <w:noProof/>
          <w:szCs w:val="28"/>
          <w:u w:val="single"/>
          <w:lang w:eastAsia="de-DE"/>
        </w:rPr>
      </w:pPr>
      <w:bookmarkStart w:id="72" w:name="_Toc231879709"/>
      <w:r>
        <w:rPr>
          <w:bCs/>
          <w:noProof/>
          <w:szCs w:val="28"/>
          <w:u w:val="single"/>
          <w:lang w:eastAsia="de-DE"/>
        </w:rPr>
        <w:t>3.3.3.1</w:t>
      </w:r>
      <w:r>
        <w:rPr>
          <w:bCs/>
          <w:noProof/>
          <w:szCs w:val="28"/>
          <w:u w:val="single"/>
          <w:lang w:eastAsia="de-DE"/>
        </w:rPr>
        <w:tab/>
        <w:t>2013 UK correction (chapter 35)</w:t>
      </w:r>
    </w:p>
    <w:p>
      <w:pPr>
        <w:spacing w:before="120" w:after="120"/>
        <w:jc w:val="both"/>
        <w:rPr>
          <w:noProof/>
        </w:rPr>
      </w:pPr>
      <w:r>
        <w:rPr>
          <w:noProof/>
        </w:rPr>
        <w:t xml:space="preserve">The amount of the UK correction to be budgeted in chapter 35 of the present DAB is the difference between the </w:t>
      </w:r>
      <w:r>
        <w:rPr>
          <w:i/>
          <w:noProof/>
        </w:rPr>
        <w:t>definitive amount</w:t>
      </w:r>
      <w:r>
        <w:rPr>
          <w:noProof/>
        </w:rPr>
        <w:t xml:space="preserve"> of the 2013 UK correction (i.e. EUR 6 021 450 379) and the </w:t>
      </w:r>
      <w:r>
        <w:rPr>
          <w:i/>
          <w:noProof/>
        </w:rPr>
        <w:t>2</w:t>
      </w:r>
      <w:r>
        <w:rPr>
          <w:i/>
          <w:noProof/>
          <w:vertAlign w:val="superscript"/>
        </w:rPr>
        <w:t>nd</w:t>
      </w:r>
      <w:r>
        <w:rPr>
          <w:i/>
          <w:noProof/>
        </w:rPr>
        <w:t xml:space="preserve"> update</w:t>
      </w:r>
      <w:r>
        <w:rPr>
          <w:noProof/>
        </w:rPr>
        <w:t xml:space="preserve"> of the 2013 UK correction (i.e. EUR 5 923 047 619 entered in AB 5/2016)  amounting to EUR 98 402 760.</w:t>
      </w:r>
    </w:p>
    <w:p>
      <w:pPr>
        <w:spacing w:before="120" w:after="240"/>
        <w:jc w:val="both"/>
        <w:rPr>
          <w:noProof/>
        </w:rPr>
      </w:pPr>
      <w:r>
        <w:rPr>
          <w:noProof/>
        </w:rPr>
        <w:t>This amount is to be financed along the revised 2013 GNI bases as known at the end of 2016. The budgeting of this amount in chapter 35 is summarised below:</w:t>
      </w:r>
    </w:p>
    <w:tbl>
      <w:tblPr>
        <w:tblW w:w="4220" w:type="dxa"/>
        <w:jc w:val="center"/>
        <w:tblLook w:val="0000" w:firstRow="0" w:lastRow="0" w:firstColumn="0" w:lastColumn="0" w:noHBand="0" w:noVBand="0"/>
      </w:tblPr>
      <w:tblGrid>
        <w:gridCol w:w="549"/>
        <w:gridCol w:w="1383"/>
        <w:gridCol w:w="809"/>
        <w:gridCol w:w="1479"/>
      </w:tblGrid>
      <w:tr>
        <w:trPr>
          <w:tblHeader/>
          <w:jc w:val="center"/>
        </w:trPr>
        <w:tc>
          <w:tcPr>
            <w:tcW w:w="4220" w:type="dxa"/>
            <w:gridSpan w:val="4"/>
            <w:tcBorders>
              <w:top w:val="single" w:sz="8" w:space="0" w:color="auto"/>
              <w:left w:val="single" w:sz="8" w:space="0" w:color="auto"/>
              <w:bottom w:val="single" w:sz="8" w:space="0" w:color="auto"/>
              <w:right w:val="single" w:sz="8" w:space="0" w:color="000000"/>
            </w:tcBorders>
            <w:shd w:val="clear" w:color="auto" w:fill="E0E0E0"/>
            <w:vAlign w:val="bottom"/>
          </w:tcPr>
          <w:p>
            <w:pPr>
              <w:keepNext/>
              <w:keepLines/>
              <w:jc w:val="center"/>
              <w:rPr>
                <w:b/>
                <w:bCs/>
                <w:noProof/>
                <w:sz w:val="20"/>
              </w:rPr>
            </w:pPr>
            <w:r>
              <w:rPr>
                <w:b/>
                <w:bCs/>
                <w:noProof/>
                <w:sz w:val="20"/>
              </w:rPr>
              <w:t>2013 UK correction — Chapter 35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keepLines/>
              <w:jc w:val="center"/>
              <w:rPr>
                <w:b/>
                <w:noProof/>
                <w:sz w:val="20"/>
              </w:rPr>
            </w:pPr>
            <w:r>
              <w:rPr>
                <w:b/>
                <w:noProof/>
                <w:sz w:val="20"/>
              </w:rPr>
              <w:t>BE</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3 427 431</w:t>
            </w:r>
          </w:p>
        </w:tc>
        <w:tc>
          <w:tcPr>
            <w:tcW w:w="809" w:type="dxa"/>
            <w:tcBorders>
              <w:top w:val="nil"/>
              <w:left w:val="nil"/>
              <w:bottom w:val="nil"/>
              <w:right w:val="nil"/>
            </w:tcBorders>
            <w:shd w:val="clear" w:color="auto" w:fill="auto"/>
            <w:noWrap/>
          </w:tcPr>
          <w:p>
            <w:pPr>
              <w:jc w:val="center"/>
              <w:rPr>
                <w:b/>
                <w:noProof/>
                <w:sz w:val="20"/>
              </w:rPr>
            </w:pPr>
            <w:r>
              <w:rPr>
                <w:b/>
                <w:noProof/>
                <w:sz w:val="20"/>
              </w:rPr>
              <w:t>LU</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2 999 679</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keepLines/>
              <w:jc w:val="center"/>
              <w:rPr>
                <w:b/>
                <w:noProof/>
                <w:sz w:val="20"/>
              </w:rPr>
            </w:pPr>
            <w:r>
              <w:rPr>
                <w:b/>
                <w:noProof/>
                <w:sz w:val="20"/>
              </w:rPr>
              <w:t>BG</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1 515 290</w:t>
            </w:r>
          </w:p>
        </w:tc>
        <w:tc>
          <w:tcPr>
            <w:tcW w:w="809" w:type="dxa"/>
            <w:tcBorders>
              <w:top w:val="nil"/>
              <w:left w:val="nil"/>
              <w:bottom w:val="nil"/>
              <w:right w:val="nil"/>
            </w:tcBorders>
            <w:shd w:val="clear" w:color="auto" w:fill="auto"/>
            <w:noWrap/>
          </w:tcPr>
          <w:p>
            <w:pPr>
              <w:jc w:val="center"/>
              <w:rPr>
                <w:b/>
                <w:noProof/>
                <w:sz w:val="20"/>
              </w:rPr>
            </w:pPr>
            <w:r>
              <w:rPr>
                <w:b/>
                <w:noProof/>
                <w:sz w:val="20"/>
              </w:rPr>
              <w:t>HU</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1 214 768</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rPr>
            </w:pPr>
            <w:r>
              <w:rPr>
                <w:b/>
                <w:noProof/>
                <w:sz w:val="20"/>
              </w:rPr>
              <w:t>CZ</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2 998 256</w:t>
            </w:r>
          </w:p>
        </w:tc>
        <w:tc>
          <w:tcPr>
            <w:tcW w:w="809" w:type="dxa"/>
            <w:tcBorders>
              <w:top w:val="nil"/>
              <w:left w:val="nil"/>
              <w:bottom w:val="nil"/>
              <w:right w:val="nil"/>
            </w:tcBorders>
            <w:shd w:val="clear" w:color="auto" w:fill="auto"/>
            <w:noWrap/>
          </w:tcPr>
          <w:p>
            <w:pPr>
              <w:jc w:val="center"/>
              <w:rPr>
                <w:b/>
                <w:noProof/>
                <w:sz w:val="20"/>
              </w:rPr>
            </w:pPr>
            <w:r>
              <w:rPr>
                <w:b/>
                <w:noProof/>
                <w:sz w:val="20"/>
              </w:rPr>
              <w:t>MT</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320 388</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rPr>
            </w:pPr>
            <w:r>
              <w:rPr>
                <w:b/>
                <w:noProof/>
                <w:sz w:val="20"/>
              </w:rPr>
              <w:t>DK</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6 889 492</w:t>
            </w:r>
          </w:p>
        </w:tc>
        <w:tc>
          <w:tcPr>
            <w:tcW w:w="809" w:type="dxa"/>
            <w:tcBorders>
              <w:top w:val="nil"/>
              <w:left w:val="nil"/>
              <w:bottom w:val="nil"/>
              <w:right w:val="nil"/>
            </w:tcBorders>
            <w:shd w:val="clear" w:color="auto" w:fill="auto"/>
            <w:noWrap/>
          </w:tcPr>
          <w:p>
            <w:pPr>
              <w:jc w:val="center"/>
              <w:rPr>
                <w:b/>
                <w:noProof/>
                <w:sz w:val="20"/>
              </w:rPr>
            </w:pPr>
            <w:r>
              <w:rPr>
                <w:b/>
                <w:noProof/>
                <w:sz w:val="20"/>
              </w:rPr>
              <w:t>NL</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1 151 037</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rPr>
            </w:pPr>
            <w:r>
              <w:rPr>
                <w:b/>
                <w:noProof/>
                <w:sz w:val="20"/>
              </w:rPr>
              <w:t>DE</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8 754 255</w:t>
            </w:r>
          </w:p>
        </w:tc>
        <w:tc>
          <w:tcPr>
            <w:tcW w:w="809" w:type="dxa"/>
            <w:tcBorders>
              <w:top w:val="nil"/>
              <w:left w:val="nil"/>
              <w:bottom w:val="nil"/>
              <w:right w:val="nil"/>
            </w:tcBorders>
            <w:shd w:val="clear" w:color="auto" w:fill="auto"/>
            <w:noWrap/>
          </w:tcPr>
          <w:p>
            <w:pPr>
              <w:jc w:val="center"/>
              <w:rPr>
                <w:b/>
                <w:noProof/>
                <w:sz w:val="20"/>
              </w:rPr>
            </w:pPr>
            <w:r>
              <w:rPr>
                <w:b/>
                <w:noProof/>
                <w:sz w:val="20"/>
              </w:rPr>
              <w:t>AT</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418 805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rPr>
            </w:pPr>
            <w:r>
              <w:rPr>
                <w:b/>
                <w:noProof/>
                <w:sz w:val="20"/>
              </w:rPr>
              <w:t>EE</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368 634</w:t>
            </w:r>
          </w:p>
        </w:tc>
        <w:tc>
          <w:tcPr>
            <w:tcW w:w="809" w:type="dxa"/>
            <w:tcBorders>
              <w:top w:val="nil"/>
              <w:left w:val="nil"/>
              <w:bottom w:val="nil"/>
              <w:right w:val="nil"/>
            </w:tcBorders>
            <w:shd w:val="clear" w:color="auto" w:fill="auto"/>
            <w:noWrap/>
          </w:tcPr>
          <w:p>
            <w:pPr>
              <w:jc w:val="center"/>
              <w:rPr>
                <w:b/>
                <w:noProof/>
                <w:sz w:val="20"/>
              </w:rPr>
            </w:pPr>
            <w:r>
              <w:rPr>
                <w:b/>
                <w:noProof/>
                <w:sz w:val="20"/>
              </w:rPr>
              <w:t>PL</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2 257 310</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color w:val="000000"/>
                <w:sz w:val="20"/>
              </w:rPr>
            </w:pPr>
            <w:r>
              <w:rPr>
                <w:b/>
                <w:noProof/>
                <w:color w:val="000000"/>
                <w:sz w:val="20"/>
              </w:rPr>
              <w:t>IE</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5 640 096</w:t>
            </w:r>
          </w:p>
        </w:tc>
        <w:tc>
          <w:tcPr>
            <w:tcW w:w="809" w:type="dxa"/>
            <w:tcBorders>
              <w:top w:val="nil"/>
              <w:left w:val="nil"/>
              <w:bottom w:val="nil"/>
              <w:right w:val="nil"/>
            </w:tcBorders>
            <w:shd w:val="clear" w:color="auto" w:fill="auto"/>
            <w:noWrap/>
          </w:tcPr>
          <w:p>
            <w:pPr>
              <w:jc w:val="center"/>
              <w:rPr>
                <w:b/>
                <w:noProof/>
                <w:sz w:val="20"/>
              </w:rPr>
            </w:pPr>
            <w:r>
              <w:rPr>
                <w:b/>
                <w:noProof/>
                <w:sz w:val="20"/>
              </w:rPr>
              <w:t>PT</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1 399 728</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color w:val="000000"/>
                <w:sz w:val="20"/>
              </w:rPr>
            </w:pPr>
            <w:r>
              <w:rPr>
                <w:b/>
                <w:noProof/>
                <w:color w:val="000000"/>
                <w:sz w:val="20"/>
              </w:rPr>
              <w:t>EL</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2 191 253</w:t>
            </w:r>
          </w:p>
        </w:tc>
        <w:tc>
          <w:tcPr>
            <w:tcW w:w="809" w:type="dxa"/>
            <w:tcBorders>
              <w:top w:val="nil"/>
              <w:left w:val="nil"/>
              <w:bottom w:val="nil"/>
              <w:right w:val="nil"/>
            </w:tcBorders>
            <w:shd w:val="clear" w:color="auto" w:fill="auto"/>
            <w:noWrap/>
          </w:tcPr>
          <w:p>
            <w:pPr>
              <w:jc w:val="center"/>
              <w:rPr>
                <w:b/>
                <w:noProof/>
                <w:sz w:val="20"/>
              </w:rPr>
            </w:pPr>
            <w:r>
              <w:rPr>
                <w:b/>
                <w:noProof/>
                <w:sz w:val="20"/>
              </w:rPr>
              <w:t>RO</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2 993 513</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color w:val="000000"/>
                <w:sz w:val="20"/>
              </w:rPr>
            </w:pPr>
            <w:r>
              <w:rPr>
                <w:b/>
                <w:noProof/>
                <w:color w:val="000000"/>
                <w:sz w:val="20"/>
              </w:rPr>
              <w:t>ES</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- 651 779</w:t>
            </w:r>
          </w:p>
        </w:tc>
        <w:tc>
          <w:tcPr>
            <w:tcW w:w="809" w:type="dxa"/>
            <w:tcBorders>
              <w:top w:val="nil"/>
              <w:left w:val="nil"/>
              <w:bottom w:val="nil"/>
              <w:right w:val="nil"/>
            </w:tcBorders>
            <w:shd w:val="clear" w:color="auto" w:fill="auto"/>
            <w:noWrap/>
          </w:tcPr>
          <w:p>
            <w:pPr>
              <w:jc w:val="center"/>
              <w:rPr>
                <w:b/>
                <w:noProof/>
                <w:sz w:val="20"/>
              </w:rPr>
            </w:pPr>
            <w:r>
              <w:rPr>
                <w:b/>
                <w:noProof/>
                <w:sz w:val="20"/>
              </w:rPr>
              <w:t>SI</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916 682</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color w:val="000000"/>
                <w:sz w:val="20"/>
              </w:rPr>
            </w:pPr>
            <w:r>
              <w:rPr>
                <w:b/>
                <w:noProof/>
                <w:color w:val="000000"/>
                <w:sz w:val="20"/>
              </w:rPr>
              <w:t>FR</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18 525 521</w:t>
            </w:r>
          </w:p>
        </w:tc>
        <w:tc>
          <w:tcPr>
            <w:tcW w:w="809" w:type="dxa"/>
            <w:tcBorders>
              <w:top w:val="nil"/>
              <w:left w:val="nil"/>
              <w:bottom w:val="nil"/>
              <w:right w:val="nil"/>
            </w:tcBorders>
            <w:shd w:val="clear" w:color="auto" w:fill="auto"/>
            <w:noWrap/>
          </w:tcPr>
          <w:p>
            <w:pPr>
              <w:jc w:val="center"/>
              <w:rPr>
                <w:b/>
                <w:noProof/>
                <w:sz w:val="20"/>
              </w:rPr>
            </w:pPr>
            <w:r>
              <w:rPr>
                <w:b/>
                <w:noProof/>
                <w:sz w:val="20"/>
              </w:rPr>
              <w:t>SK</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2 214 808</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color w:val="000000"/>
                <w:sz w:val="20"/>
              </w:rPr>
            </w:pPr>
            <w:r>
              <w:rPr>
                <w:b/>
                <w:noProof/>
                <w:color w:val="000000"/>
                <w:sz w:val="20"/>
              </w:rPr>
              <w:t>HR</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824 776</w:t>
            </w:r>
          </w:p>
        </w:tc>
        <w:tc>
          <w:tcPr>
            <w:tcW w:w="809" w:type="dxa"/>
            <w:tcBorders>
              <w:top w:val="nil"/>
              <w:left w:val="nil"/>
              <w:bottom w:val="nil"/>
              <w:right w:val="nil"/>
            </w:tcBorders>
            <w:shd w:val="clear" w:color="auto" w:fill="auto"/>
            <w:noWrap/>
          </w:tcPr>
          <w:p>
            <w:pPr>
              <w:jc w:val="center"/>
              <w:rPr>
                <w:b/>
                <w:noProof/>
                <w:sz w:val="20"/>
              </w:rPr>
            </w:pPr>
            <w:r>
              <w:rPr>
                <w:b/>
                <w:noProof/>
                <w:sz w:val="20"/>
              </w:rPr>
              <w:t>FI</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4 965 839</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rPr>
            </w:pPr>
            <w:r>
              <w:rPr>
                <w:b/>
                <w:noProof/>
                <w:sz w:val="20"/>
              </w:rPr>
              <w:t>IT</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25 072 902</w:t>
            </w:r>
          </w:p>
        </w:tc>
        <w:tc>
          <w:tcPr>
            <w:tcW w:w="809" w:type="dxa"/>
            <w:tcBorders>
              <w:top w:val="nil"/>
              <w:left w:val="nil"/>
              <w:bottom w:val="nil"/>
              <w:right w:val="nil"/>
            </w:tcBorders>
            <w:shd w:val="clear" w:color="auto" w:fill="auto"/>
            <w:noWrap/>
          </w:tcPr>
          <w:p>
            <w:pPr>
              <w:jc w:val="center"/>
              <w:rPr>
                <w:b/>
                <w:noProof/>
                <w:sz w:val="20"/>
              </w:rPr>
            </w:pPr>
            <w:r>
              <w:rPr>
                <w:b/>
                <w:noProof/>
                <w:sz w:val="20"/>
              </w:rPr>
              <w:t>SE</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565 841</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rPr>
            </w:pPr>
            <w:r>
              <w:rPr>
                <w:b/>
                <w:noProof/>
                <w:sz w:val="20"/>
              </w:rPr>
              <w:t>CY</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228 695</w:t>
            </w:r>
          </w:p>
        </w:tc>
        <w:tc>
          <w:tcPr>
            <w:tcW w:w="809" w:type="dxa"/>
            <w:tcBorders>
              <w:top w:val="nil"/>
              <w:left w:val="nil"/>
              <w:bottom w:val="nil"/>
              <w:right w:val="nil"/>
            </w:tcBorders>
            <w:shd w:val="clear" w:color="auto" w:fill="auto"/>
            <w:noWrap/>
          </w:tcPr>
          <w:p>
            <w:pPr>
              <w:jc w:val="center"/>
              <w:rPr>
                <w:b/>
                <w:noProof/>
                <w:sz w:val="20"/>
              </w:rPr>
            </w:pPr>
          </w:p>
        </w:tc>
        <w:tc>
          <w:tcPr>
            <w:tcW w:w="1479" w:type="dxa"/>
            <w:tcBorders>
              <w:top w:val="nil"/>
              <w:left w:val="nil"/>
              <w:bottom w:val="nil"/>
              <w:right w:val="single" w:sz="8" w:space="0" w:color="auto"/>
            </w:tcBorders>
            <w:shd w:val="clear" w:color="auto" w:fill="auto"/>
            <w:noWrap/>
            <w:vAlign w:val="center"/>
          </w:tcPr>
          <w:p>
            <w:pPr>
              <w:jc w:val="right"/>
              <w:rPr>
                <w:noProof/>
                <w:sz w:val="20"/>
              </w:rPr>
            </w:pPr>
          </w:p>
        </w:tc>
      </w:tr>
      <w:tr>
        <w:trPr>
          <w:trHeight w:val="270"/>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rPr>
            </w:pPr>
            <w:r>
              <w:rPr>
                <w:b/>
                <w:noProof/>
                <w:sz w:val="20"/>
              </w:rPr>
              <w:t>LV</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81 908</w:t>
            </w:r>
          </w:p>
        </w:tc>
        <w:tc>
          <w:tcPr>
            <w:tcW w:w="809" w:type="dxa"/>
            <w:tcBorders>
              <w:top w:val="nil"/>
              <w:left w:val="nil"/>
              <w:bottom w:val="nil"/>
              <w:right w:val="nil"/>
            </w:tcBorders>
            <w:shd w:val="clear" w:color="auto" w:fill="auto"/>
            <w:noWrap/>
          </w:tcPr>
          <w:p>
            <w:pPr>
              <w:jc w:val="center"/>
              <w:rPr>
                <w:b/>
                <w:noProof/>
                <w:sz w:val="20"/>
              </w:rPr>
            </w:pPr>
            <w:r>
              <w:rPr>
                <w:b/>
                <w:noProof/>
                <w:sz w:val="20"/>
              </w:rPr>
              <w:t>UK</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- 98 402 760</w:t>
            </w:r>
          </w:p>
        </w:tc>
      </w:tr>
      <w:tr>
        <w:trPr>
          <w:trHeight w:val="270"/>
          <w:jc w:val="center"/>
        </w:trPr>
        <w:tc>
          <w:tcPr>
            <w:tcW w:w="549" w:type="dxa"/>
            <w:tcBorders>
              <w:top w:val="nil"/>
              <w:left w:val="single" w:sz="8" w:space="0" w:color="auto"/>
              <w:bottom w:val="single" w:sz="8" w:space="0" w:color="auto"/>
              <w:right w:val="nil"/>
            </w:tcBorders>
            <w:shd w:val="clear" w:color="auto" w:fill="auto"/>
            <w:noWrap/>
            <w:vAlign w:val="center"/>
          </w:tcPr>
          <w:p>
            <w:pPr>
              <w:jc w:val="center"/>
              <w:rPr>
                <w:b/>
                <w:noProof/>
                <w:sz w:val="20"/>
              </w:rPr>
            </w:pPr>
            <w:r>
              <w:rPr>
                <w:b/>
                <w:noProof/>
                <w:sz w:val="20"/>
              </w:rPr>
              <w:t>LT</w:t>
            </w:r>
          </w:p>
        </w:tc>
        <w:tc>
          <w:tcPr>
            <w:tcW w:w="1383" w:type="dxa"/>
            <w:tcBorders>
              <w:top w:val="nil"/>
              <w:left w:val="nil"/>
              <w:bottom w:val="single" w:sz="8" w:space="0" w:color="auto"/>
              <w:right w:val="nil"/>
            </w:tcBorders>
            <w:shd w:val="clear" w:color="auto" w:fill="auto"/>
            <w:noWrap/>
            <w:vAlign w:val="center"/>
          </w:tcPr>
          <w:p>
            <w:pPr>
              <w:jc w:val="right"/>
              <w:rPr>
                <w:noProof/>
                <w:sz w:val="20"/>
              </w:rPr>
            </w:pPr>
            <w:r>
              <w:rPr>
                <w:noProof/>
                <w:sz w:val="20"/>
              </w:rPr>
              <w:t>1 117 632</w:t>
            </w:r>
          </w:p>
        </w:tc>
        <w:tc>
          <w:tcPr>
            <w:tcW w:w="809" w:type="dxa"/>
            <w:tcBorders>
              <w:top w:val="single" w:sz="8" w:space="0" w:color="auto"/>
              <w:left w:val="single" w:sz="8" w:space="0" w:color="auto"/>
              <w:bottom w:val="single" w:sz="8" w:space="0" w:color="auto"/>
              <w:right w:val="nil"/>
            </w:tcBorders>
            <w:shd w:val="clear" w:color="auto" w:fill="auto"/>
            <w:noWrap/>
          </w:tcPr>
          <w:p>
            <w:pPr>
              <w:jc w:val="center"/>
              <w:rPr>
                <w:b/>
                <w:noProof/>
                <w:sz w:val="20"/>
              </w:rPr>
            </w:pPr>
            <w:r>
              <w:rPr>
                <w:b/>
                <w:noProof/>
                <w:sz w:val="20"/>
              </w:rPr>
              <w:t>Total</w:t>
            </w:r>
          </w:p>
        </w:tc>
        <w:tc>
          <w:tcPr>
            <w:tcW w:w="1479" w:type="dxa"/>
            <w:tcBorders>
              <w:top w:val="single" w:sz="8" w:space="0" w:color="auto"/>
              <w:left w:val="nil"/>
              <w:bottom w:val="single" w:sz="8" w:space="0" w:color="auto"/>
              <w:right w:val="single" w:sz="8" w:space="0" w:color="auto"/>
            </w:tcBorders>
            <w:shd w:val="clear" w:color="auto" w:fill="auto"/>
            <w:noWrap/>
          </w:tcPr>
          <w:p>
            <w:pPr>
              <w:jc w:val="right"/>
              <w:rPr>
                <w:b/>
                <w:noProof/>
                <w:sz w:val="20"/>
              </w:rPr>
            </w:pPr>
            <w:r>
              <w:rPr>
                <w:b/>
                <w:noProof/>
                <w:sz w:val="20"/>
              </w:rPr>
              <w:t>0</w:t>
            </w:r>
          </w:p>
        </w:tc>
      </w:tr>
    </w:tbl>
    <w:p>
      <w:pPr>
        <w:tabs>
          <w:tab w:val="left" w:pos="851"/>
        </w:tabs>
        <w:rPr>
          <w:bCs/>
          <w:noProof/>
          <w:szCs w:val="28"/>
          <w:u w:val="single"/>
          <w:lang w:eastAsia="de-DE"/>
        </w:rPr>
      </w:pPr>
    </w:p>
    <w:p>
      <w:pPr>
        <w:rPr>
          <w:bCs/>
          <w:noProof/>
          <w:szCs w:val="28"/>
          <w:u w:val="single"/>
          <w:lang w:eastAsia="de-DE"/>
        </w:rPr>
      </w:pPr>
      <w:r>
        <w:rPr>
          <w:bCs/>
          <w:noProof/>
          <w:szCs w:val="28"/>
          <w:u w:val="single"/>
          <w:lang w:eastAsia="de-DE"/>
        </w:rPr>
        <w:br w:type="page"/>
      </w:r>
    </w:p>
    <w:p>
      <w:pPr>
        <w:tabs>
          <w:tab w:val="left" w:pos="851"/>
        </w:tabs>
        <w:rPr>
          <w:bCs/>
          <w:noProof/>
          <w:szCs w:val="28"/>
          <w:u w:val="single"/>
          <w:lang w:eastAsia="de-DE"/>
        </w:rPr>
      </w:pPr>
      <w:r>
        <w:rPr>
          <w:bCs/>
          <w:noProof/>
          <w:szCs w:val="28"/>
          <w:u w:val="single"/>
          <w:lang w:eastAsia="de-DE"/>
        </w:rPr>
        <w:t>3.3.3.2</w:t>
      </w:r>
      <w:r>
        <w:rPr>
          <w:bCs/>
          <w:noProof/>
          <w:szCs w:val="28"/>
          <w:u w:val="single"/>
          <w:lang w:eastAsia="de-DE"/>
        </w:rPr>
        <w:tab/>
        <w:t>2016 UK correction (chapter 15)</w:t>
      </w:r>
    </w:p>
    <w:bookmarkEnd w:id="72"/>
    <w:p>
      <w:pPr>
        <w:spacing w:before="120" w:after="120"/>
        <w:jc w:val="both"/>
        <w:rPr>
          <w:noProof/>
        </w:rPr>
      </w:pPr>
      <w:r>
        <w:rPr>
          <w:noProof/>
        </w:rPr>
        <w:t xml:space="preserve">The </w:t>
      </w:r>
      <w:r>
        <w:rPr>
          <w:i/>
          <w:noProof/>
        </w:rPr>
        <w:t>1</w:t>
      </w:r>
      <w:r>
        <w:rPr>
          <w:i/>
          <w:noProof/>
          <w:vertAlign w:val="superscript"/>
        </w:rPr>
        <w:t xml:space="preserve">st </w:t>
      </w:r>
      <w:r>
        <w:rPr>
          <w:i/>
          <w:noProof/>
        </w:rPr>
        <w:t>update</w:t>
      </w:r>
      <w:r>
        <w:rPr>
          <w:noProof/>
        </w:rPr>
        <w:t xml:space="preserve"> of the 2016 UK correction corresponds to EUR 4 932 590 878 and is EUR 305 859 810 million lower than the amount entered in Budget 2017 (EUR 5 238 450 688).</w:t>
      </w:r>
    </w:p>
    <w:p>
      <w:pPr>
        <w:spacing w:before="120" w:after="240"/>
        <w:jc w:val="both"/>
        <w:rPr>
          <w:noProof/>
        </w:rPr>
      </w:pPr>
      <w:r>
        <w:rPr>
          <w:noProof/>
        </w:rPr>
        <w:t>This amount is to be financed along the revised 2017 GNI bases of the present DAB. The budgeting of this amount in chapter 15 is summarised below:</w:t>
      </w:r>
    </w:p>
    <w:tbl>
      <w:tblPr>
        <w:tblW w:w="4540" w:type="dxa"/>
        <w:jc w:val="center"/>
        <w:tblLook w:val="0000" w:firstRow="0" w:lastRow="0" w:firstColumn="0" w:lastColumn="0" w:noHBand="0" w:noVBand="0"/>
      </w:tblPr>
      <w:tblGrid>
        <w:gridCol w:w="549"/>
        <w:gridCol w:w="1666"/>
        <w:gridCol w:w="793"/>
        <w:gridCol w:w="1532"/>
      </w:tblGrid>
      <w:tr>
        <w:trPr>
          <w:jc w:val="center"/>
        </w:trPr>
        <w:tc>
          <w:tcPr>
            <w:tcW w:w="4540" w:type="dxa"/>
            <w:gridSpan w:val="4"/>
            <w:tcBorders>
              <w:top w:val="single" w:sz="8" w:space="0" w:color="auto"/>
              <w:left w:val="single" w:sz="8" w:space="0" w:color="auto"/>
              <w:bottom w:val="single" w:sz="8" w:space="0" w:color="auto"/>
              <w:right w:val="single" w:sz="8" w:space="0" w:color="000000"/>
            </w:tcBorders>
            <w:shd w:val="clear" w:color="auto" w:fill="E0E0E0"/>
            <w:vAlign w:val="bottom"/>
          </w:tcPr>
          <w:p>
            <w:pPr>
              <w:keepNext/>
              <w:jc w:val="center"/>
              <w:rPr>
                <w:b/>
                <w:bCs/>
                <w:noProof/>
                <w:sz w:val="20"/>
              </w:rPr>
            </w:pPr>
            <w:r>
              <w:rPr>
                <w:b/>
                <w:bCs/>
                <w:noProof/>
                <w:sz w:val="20"/>
              </w:rPr>
              <w:t>2016 UK correction – chapter 15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BE</w:t>
            </w:r>
          </w:p>
        </w:tc>
        <w:tc>
          <w:tcPr>
            <w:tcW w:w="1666" w:type="dxa"/>
            <w:tcBorders>
              <w:top w:val="nil"/>
              <w:left w:val="nil"/>
              <w:bottom w:val="nil"/>
              <w:right w:val="nil"/>
            </w:tcBorders>
            <w:shd w:val="clear" w:color="auto" w:fill="auto"/>
            <w:noWrap/>
          </w:tcPr>
          <w:p>
            <w:pPr>
              <w:jc w:val="right"/>
              <w:rPr>
                <w:noProof/>
                <w:sz w:val="20"/>
                <w:highlight w:val="yellow"/>
              </w:rPr>
            </w:pPr>
            <w:r>
              <w:rPr>
                <w:noProof/>
                <w:sz w:val="20"/>
              </w:rPr>
              <w:t>240 885 677</w:t>
            </w:r>
          </w:p>
        </w:tc>
        <w:tc>
          <w:tcPr>
            <w:tcW w:w="793" w:type="dxa"/>
            <w:tcBorders>
              <w:top w:val="nil"/>
              <w:left w:val="nil"/>
              <w:bottom w:val="nil"/>
              <w:right w:val="nil"/>
            </w:tcBorders>
            <w:shd w:val="clear" w:color="auto" w:fill="auto"/>
            <w:noWrap/>
            <w:vAlign w:val="center"/>
          </w:tcPr>
          <w:p>
            <w:pPr>
              <w:jc w:val="center"/>
              <w:rPr>
                <w:b/>
                <w:bCs/>
                <w:noProof/>
                <w:sz w:val="20"/>
              </w:rPr>
            </w:pPr>
            <w:r>
              <w:rPr>
                <w:b/>
                <w:bCs/>
                <w:noProof/>
                <w:sz w:val="20"/>
              </w:rPr>
              <w:t>LU</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20 836 132</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BG</w:t>
            </w:r>
          </w:p>
        </w:tc>
        <w:tc>
          <w:tcPr>
            <w:tcW w:w="1666" w:type="dxa"/>
            <w:tcBorders>
              <w:top w:val="nil"/>
              <w:left w:val="nil"/>
              <w:bottom w:val="nil"/>
              <w:right w:val="nil"/>
            </w:tcBorders>
            <w:shd w:val="clear" w:color="auto" w:fill="auto"/>
            <w:noWrap/>
          </w:tcPr>
          <w:p>
            <w:pPr>
              <w:jc w:val="right"/>
              <w:rPr>
                <w:noProof/>
                <w:sz w:val="20"/>
              </w:rPr>
            </w:pPr>
            <w:r>
              <w:rPr>
                <w:noProof/>
                <w:sz w:val="20"/>
              </w:rPr>
              <w:t xml:space="preserve"> 26 978 571</w:t>
            </w:r>
          </w:p>
        </w:tc>
        <w:tc>
          <w:tcPr>
            <w:tcW w:w="793" w:type="dxa"/>
            <w:tcBorders>
              <w:top w:val="nil"/>
              <w:left w:val="nil"/>
              <w:bottom w:val="nil"/>
              <w:right w:val="nil"/>
            </w:tcBorders>
            <w:shd w:val="clear" w:color="auto" w:fill="auto"/>
            <w:noWrap/>
            <w:vAlign w:val="center"/>
          </w:tcPr>
          <w:p>
            <w:pPr>
              <w:jc w:val="center"/>
              <w:rPr>
                <w:b/>
                <w:bCs/>
                <w:noProof/>
                <w:sz w:val="20"/>
              </w:rPr>
            </w:pPr>
            <w:r>
              <w:rPr>
                <w:b/>
                <w:bCs/>
                <w:noProof/>
                <w:sz w:val="20"/>
              </w:rPr>
              <w:t>HU</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65 314 890</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CZ</w:t>
            </w:r>
          </w:p>
        </w:tc>
        <w:tc>
          <w:tcPr>
            <w:tcW w:w="1666" w:type="dxa"/>
            <w:tcBorders>
              <w:top w:val="nil"/>
              <w:left w:val="nil"/>
              <w:bottom w:val="nil"/>
              <w:right w:val="nil"/>
            </w:tcBorders>
            <w:shd w:val="clear" w:color="auto" w:fill="auto"/>
            <w:noWrap/>
          </w:tcPr>
          <w:p>
            <w:pPr>
              <w:jc w:val="right"/>
              <w:rPr>
                <w:noProof/>
                <w:sz w:val="20"/>
              </w:rPr>
            </w:pPr>
            <w:r>
              <w:rPr>
                <w:noProof/>
                <w:sz w:val="20"/>
              </w:rPr>
              <w:t>95 503 724</w:t>
            </w:r>
          </w:p>
        </w:tc>
        <w:tc>
          <w:tcPr>
            <w:tcW w:w="793" w:type="dxa"/>
            <w:tcBorders>
              <w:top w:val="nil"/>
              <w:left w:val="nil"/>
              <w:bottom w:val="nil"/>
              <w:right w:val="nil"/>
            </w:tcBorders>
            <w:shd w:val="clear" w:color="auto" w:fill="auto"/>
            <w:noWrap/>
            <w:vAlign w:val="center"/>
          </w:tcPr>
          <w:p>
            <w:pPr>
              <w:jc w:val="center"/>
              <w:rPr>
                <w:b/>
                <w:bCs/>
                <w:noProof/>
                <w:sz w:val="20"/>
              </w:rPr>
            </w:pPr>
            <w:r>
              <w:rPr>
                <w:b/>
                <w:bCs/>
                <w:noProof/>
                <w:sz w:val="20"/>
              </w:rPr>
              <w:t>MT</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5 503 126</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DK</w:t>
            </w:r>
          </w:p>
        </w:tc>
        <w:tc>
          <w:tcPr>
            <w:tcW w:w="1666" w:type="dxa"/>
            <w:tcBorders>
              <w:top w:val="nil"/>
              <w:left w:val="nil"/>
              <w:bottom w:val="nil"/>
              <w:right w:val="nil"/>
            </w:tcBorders>
            <w:shd w:val="clear" w:color="auto" w:fill="auto"/>
            <w:noWrap/>
          </w:tcPr>
          <w:p>
            <w:pPr>
              <w:jc w:val="right"/>
              <w:rPr>
                <w:noProof/>
                <w:sz w:val="20"/>
              </w:rPr>
            </w:pPr>
            <w:r>
              <w:rPr>
                <w:noProof/>
                <w:sz w:val="20"/>
              </w:rPr>
              <w:t>164 411 683</w:t>
            </w:r>
          </w:p>
        </w:tc>
        <w:tc>
          <w:tcPr>
            <w:tcW w:w="793" w:type="dxa"/>
            <w:tcBorders>
              <w:top w:val="nil"/>
              <w:left w:val="nil"/>
              <w:bottom w:val="nil"/>
              <w:right w:val="nil"/>
            </w:tcBorders>
            <w:shd w:val="clear" w:color="auto" w:fill="auto"/>
            <w:noWrap/>
            <w:vAlign w:val="center"/>
          </w:tcPr>
          <w:p>
            <w:pPr>
              <w:jc w:val="center"/>
              <w:rPr>
                <w:b/>
                <w:bCs/>
                <w:noProof/>
                <w:sz w:val="20"/>
              </w:rPr>
            </w:pPr>
            <w:r>
              <w:rPr>
                <w:b/>
                <w:bCs/>
                <w:noProof/>
                <w:sz w:val="20"/>
              </w:rPr>
              <w:t>NL</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68 442 765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DE</w:t>
            </w:r>
          </w:p>
        </w:tc>
        <w:tc>
          <w:tcPr>
            <w:tcW w:w="1666" w:type="dxa"/>
            <w:tcBorders>
              <w:top w:val="nil"/>
              <w:left w:val="nil"/>
              <w:bottom w:val="nil"/>
              <w:right w:val="nil"/>
            </w:tcBorders>
            <w:shd w:val="clear" w:color="auto" w:fill="auto"/>
            <w:noWrap/>
          </w:tcPr>
          <w:p>
            <w:pPr>
              <w:jc w:val="right"/>
              <w:rPr>
                <w:noProof/>
                <w:sz w:val="20"/>
              </w:rPr>
            </w:pPr>
            <w:r>
              <w:rPr>
                <w:noProof/>
                <w:sz w:val="20"/>
              </w:rPr>
              <w:t>316 145 831</w:t>
            </w:r>
          </w:p>
        </w:tc>
        <w:tc>
          <w:tcPr>
            <w:tcW w:w="793" w:type="dxa"/>
            <w:tcBorders>
              <w:top w:val="nil"/>
              <w:left w:val="nil"/>
              <w:bottom w:val="nil"/>
              <w:right w:val="nil"/>
            </w:tcBorders>
            <w:shd w:val="clear" w:color="auto" w:fill="auto"/>
            <w:noWrap/>
            <w:vAlign w:val="center"/>
          </w:tcPr>
          <w:p>
            <w:pPr>
              <w:jc w:val="center"/>
              <w:rPr>
                <w:b/>
                <w:bCs/>
                <w:noProof/>
                <w:sz w:val="20"/>
              </w:rPr>
            </w:pPr>
            <w:r>
              <w:rPr>
                <w:b/>
                <w:bCs/>
                <w:noProof/>
                <w:sz w:val="20"/>
              </w:rPr>
              <w:t>AT</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34 625 113</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EE</w:t>
            </w:r>
          </w:p>
        </w:tc>
        <w:tc>
          <w:tcPr>
            <w:tcW w:w="1666" w:type="dxa"/>
            <w:tcBorders>
              <w:top w:val="nil"/>
              <w:left w:val="nil"/>
              <w:bottom w:val="nil"/>
              <w:right w:val="nil"/>
            </w:tcBorders>
            <w:shd w:val="clear" w:color="auto" w:fill="auto"/>
            <w:noWrap/>
          </w:tcPr>
          <w:p>
            <w:pPr>
              <w:jc w:val="right"/>
              <w:rPr>
                <w:noProof/>
                <w:sz w:val="20"/>
              </w:rPr>
            </w:pPr>
            <w:r>
              <w:rPr>
                <w:noProof/>
                <w:sz w:val="20"/>
              </w:rPr>
              <w:t>12 138 174</w:t>
            </w:r>
          </w:p>
        </w:tc>
        <w:tc>
          <w:tcPr>
            <w:tcW w:w="793" w:type="dxa"/>
            <w:tcBorders>
              <w:top w:val="nil"/>
              <w:left w:val="nil"/>
              <w:bottom w:val="nil"/>
              <w:right w:val="nil"/>
            </w:tcBorders>
            <w:shd w:val="clear" w:color="auto" w:fill="auto"/>
            <w:noWrap/>
            <w:vAlign w:val="center"/>
          </w:tcPr>
          <w:p>
            <w:pPr>
              <w:jc w:val="center"/>
              <w:rPr>
                <w:b/>
                <w:bCs/>
                <w:noProof/>
                <w:sz w:val="20"/>
              </w:rPr>
            </w:pPr>
            <w:r>
              <w:rPr>
                <w:b/>
                <w:bCs/>
                <w:noProof/>
                <w:sz w:val="20"/>
              </w:rPr>
              <w:t>PL</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236 407 577</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color w:val="000000"/>
                <w:sz w:val="20"/>
              </w:rPr>
            </w:pPr>
            <w:r>
              <w:rPr>
                <w:b/>
                <w:noProof/>
                <w:color w:val="000000"/>
                <w:sz w:val="20"/>
              </w:rPr>
              <w:t>IE</w:t>
            </w:r>
          </w:p>
        </w:tc>
        <w:tc>
          <w:tcPr>
            <w:tcW w:w="1666" w:type="dxa"/>
            <w:tcBorders>
              <w:top w:val="nil"/>
              <w:left w:val="nil"/>
              <w:bottom w:val="nil"/>
              <w:right w:val="nil"/>
            </w:tcBorders>
            <w:shd w:val="clear" w:color="auto" w:fill="auto"/>
            <w:noWrap/>
          </w:tcPr>
          <w:p>
            <w:pPr>
              <w:jc w:val="right"/>
              <w:rPr>
                <w:noProof/>
                <w:sz w:val="20"/>
              </w:rPr>
            </w:pPr>
            <w:r>
              <w:rPr>
                <w:noProof/>
                <w:sz w:val="20"/>
              </w:rPr>
              <w:t>129 388 779</w:t>
            </w:r>
          </w:p>
        </w:tc>
        <w:tc>
          <w:tcPr>
            <w:tcW w:w="793" w:type="dxa"/>
            <w:tcBorders>
              <w:top w:val="nil"/>
              <w:left w:val="nil"/>
              <w:bottom w:val="nil"/>
              <w:right w:val="nil"/>
            </w:tcBorders>
            <w:shd w:val="clear" w:color="auto" w:fill="auto"/>
            <w:noWrap/>
            <w:vAlign w:val="center"/>
          </w:tcPr>
          <w:p>
            <w:pPr>
              <w:jc w:val="center"/>
              <w:rPr>
                <w:b/>
                <w:bCs/>
                <w:noProof/>
                <w:sz w:val="20"/>
              </w:rPr>
            </w:pPr>
            <w:r>
              <w:rPr>
                <w:b/>
                <w:bCs/>
                <w:noProof/>
                <w:sz w:val="20"/>
              </w:rPr>
              <w:t>PT</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104 586 612</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color w:val="000000"/>
                <w:sz w:val="20"/>
              </w:rPr>
            </w:pPr>
            <w:r>
              <w:rPr>
                <w:b/>
                <w:noProof/>
                <w:color w:val="000000"/>
                <w:sz w:val="20"/>
              </w:rPr>
              <w:t>EL</w:t>
            </w:r>
          </w:p>
        </w:tc>
        <w:tc>
          <w:tcPr>
            <w:tcW w:w="1666" w:type="dxa"/>
            <w:tcBorders>
              <w:top w:val="nil"/>
              <w:left w:val="nil"/>
              <w:bottom w:val="nil"/>
              <w:right w:val="nil"/>
            </w:tcBorders>
            <w:shd w:val="clear" w:color="auto" w:fill="auto"/>
            <w:noWrap/>
          </w:tcPr>
          <w:p>
            <w:pPr>
              <w:jc w:val="right"/>
              <w:rPr>
                <w:noProof/>
                <w:sz w:val="20"/>
              </w:rPr>
            </w:pPr>
            <w:r>
              <w:rPr>
                <w:noProof/>
                <w:sz w:val="20"/>
              </w:rPr>
              <w:t>101 600 542</w:t>
            </w:r>
          </w:p>
        </w:tc>
        <w:tc>
          <w:tcPr>
            <w:tcW w:w="793" w:type="dxa"/>
            <w:tcBorders>
              <w:top w:val="nil"/>
              <w:left w:val="nil"/>
              <w:bottom w:val="nil"/>
              <w:right w:val="nil"/>
            </w:tcBorders>
            <w:shd w:val="clear" w:color="auto" w:fill="auto"/>
            <w:noWrap/>
            <w:vAlign w:val="center"/>
          </w:tcPr>
          <w:p>
            <w:pPr>
              <w:jc w:val="center"/>
              <w:rPr>
                <w:b/>
                <w:bCs/>
                <w:noProof/>
                <w:sz w:val="20"/>
              </w:rPr>
            </w:pPr>
            <w:r>
              <w:rPr>
                <w:b/>
                <w:bCs/>
                <w:noProof/>
                <w:sz w:val="20"/>
              </w:rPr>
              <w:t>RO</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97 812 744</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color w:val="000000"/>
                <w:sz w:val="20"/>
              </w:rPr>
            </w:pPr>
            <w:r>
              <w:rPr>
                <w:b/>
                <w:noProof/>
                <w:color w:val="000000"/>
                <w:sz w:val="20"/>
              </w:rPr>
              <w:t>ES</w:t>
            </w:r>
          </w:p>
        </w:tc>
        <w:tc>
          <w:tcPr>
            <w:tcW w:w="1666" w:type="dxa"/>
            <w:tcBorders>
              <w:top w:val="nil"/>
              <w:left w:val="nil"/>
              <w:bottom w:val="nil"/>
              <w:right w:val="nil"/>
            </w:tcBorders>
            <w:shd w:val="clear" w:color="auto" w:fill="auto"/>
            <w:noWrap/>
          </w:tcPr>
          <w:p>
            <w:pPr>
              <w:jc w:val="right"/>
              <w:rPr>
                <w:noProof/>
                <w:sz w:val="20"/>
              </w:rPr>
            </w:pPr>
            <w:r>
              <w:rPr>
                <w:noProof/>
                <w:sz w:val="20"/>
              </w:rPr>
              <w:t>647 356 946</w:t>
            </w:r>
          </w:p>
        </w:tc>
        <w:tc>
          <w:tcPr>
            <w:tcW w:w="793" w:type="dxa"/>
            <w:tcBorders>
              <w:top w:val="nil"/>
              <w:left w:val="nil"/>
              <w:bottom w:val="nil"/>
              <w:right w:val="nil"/>
            </w:tcBorders>
            <w:shd w:val="clear" w:color="auto" w:fill="auto"/>
            <w:noWrap/>
            <w:vAlign w:val="center"/>
          </w:tcPr>
          <w:p>
            <w:pPr>
              <w:jc w:val="center"/>
              <w:rPr>
                <w:b/>
                <w:bCs/>
                <w:noProof/>
                <w:sz w:val="20"/>
              </w:rPr>
            </w:pPr>
            <w:r>
              <w:rPr>
                <w:b/>
                <w:bCs/>
                <w:noProof/>
                <w:sz w:val="20"/>
              </w:rPr>
              <w:t>SI</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22 872 318</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color w:val="000000"/>
                <w:sz w:val="20"/>
              </w:rPr>
            </w:pPr>
            <w:r>
              <w:rPr>
                <w:b/>
                <w:noProof/>
                <w:color w:val="000000"/>
                <w:sz w:val="20"/>
              </w:rPr>
              <w:t xml:space="preserve">FR </w:t>
            </w:r>
          </w:p>
        </w:tc>
        <w:tc>
          <w:tcPr>
            <w:tcW w:w="1666" w:type="dxa"/>
            <w:tcBorders>
              <w:top w:val="nil"/>
              <w:left w:val="nil"/>
              <w:bottom w:val="nil"/>
              <w:right w:val="nil"/>
            </w:tcBorders>
            <w:shd w:val="clear" w:color="auto" w:fill="auto"/>
            <w:noWrap/>
          </w:tcPr>
          <w:p>
            <w:pPr>
              <w:jc w:val="right"/>
              <w:rPr>
                <w:noProof/>
                <w:sz w:val="20"/>
              </w:rPr>
            </w:pPr>
            <w:r>
              <w:rPr>
                <w:noProof/>
                <w:sz w:val="20"/>
              </w:rPr>
              <w:t>1 299 398 854</w:t>
            </w:r>
          </w:p>
        </w:tc>
        <w:tc>
          <w:tcPr>
            <w:tcW w:w="793" w:type="dxa"/>
            <w:tcBorders>
              <w:top w:val="nil"/>
              <w:left w:val="nil"/>
              <w:bottom w:val="nil"/>
              <w:right w:val="nil"/>
            </w:tcBorders>
            <w:shd w:val="clear" w:color="auto" w:fill="auto"/>
            <w:noWrap/>
            <w:vAlign w:val="center"/>
          </w:tcPr>
          <w:p>
            <w:pPr>
              <w:jc w:val="center"/>
              <w:rPr>
                <w:b/>
                <w:bCs/>
                <w:noProof/>
                <w:sz w:val="20"/>
              </w:rPr>
            </w:pPr>
            <w:r>
              <w:rPr>
                <w:b/>
                <w:bCs/>
                <w:noProof/>
                <w:sz w:val="20"/>
              </w:rPr>
              <w:t>SK</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46 015 401</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color w:val="000000"/>
                <w:sz w:val="20"/>
              </w:rPr>
            </w:pPr>
            <w:r>
              <w:rPr>
                <w:b/>
                <w:noProof/>
                <w:color w:val="000000"/>
                <w:sz w:val="20"/>
              </w:rPr>
              <w:t>HR</w:t>
            </w:r>
          </w:p>
        </w:tc>
        <w:tc>
          <w:tcPr>
            <w:tcW w:w="1666" w:type="dxa"/>
            <w:tcBorders>
              <w:top w:val="nil"/>
              <w:left w:val="nil"/>
              <w:bottom w:val="nil"/>
              <w:right w:val="nil"/>
            </w:tcBorders>
            <w:shd w:val="clear" w:color="auto" w:fill="auto"/>
            <w:noWrap/>
          </w:tcPr>
          <w:p>
            <w:pPr>
              <w:jc w:val="right"/>
              <w:rPr>
                <w:noProof/>
                <w:sz w:val="20"/>
              </w:rPr>
            </w:pPr>
            <w:r>
              <w:rPr>
                <w:noProof/>
                <w:sz w:val="20"/>
              </w:rPr>
              <w:t>25 885 784</w:t>
            </w:r>
          </w:p>
        </w:tc>
        <w:tc>
          <w:tcPr>
            <w:tcW w:w="793" w:type="dxa"/>
            <w:tcBorders>
              <w:top w:val="nil"/>
              <w:left w:val="nil"/>
              <w:bottom w:val="nil"/>
              <w:right w:val="nil"/>
            </w:tcBorders>
            <w:shd w:val="clear" w:color="auto" w:fill="auto"/>
            <w:noWrap/>
            <w:vAlign w:val="center"/>
          </w:tcPr>
          <w:p>
            <w:pPr>
              <w:jc w:val="center"/>
              <w:rPr>
                <w:b/>
                <w:bCs/>
                <w:noProof/>
                <w:sz w:val="20"/>
              </w:rPr>
            </w:pPr>
            <w:r>
              <w:rPr>
                <w:b/>
                <w:bCs/>
                <w:noProof/>
                <w:sz w:val="20"/>
              </w:rPr>
              <w:t>FI</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123 414 177</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IT</w:t>
            </w:r>
          </w:p>
        </w:tc>
        <w:tc>
          <w:tcPr>
            <w:tcW w:w="1666" w:type="dxa"/>
            <w:tcBorders>
              <w:top w:val="nil"/>
              <w:left w:val="nil"/>
              <w:bottom w:val="nil"/>
              <w:right w:val="nil"/>
            </w:tcBorders>
            <w:shd w:val="clear" w:color="auto" w:fill="auto"/>
            <w:noWrap/>
          </w:tcPr>
          <w:p>
            <w:pPr>
              <w:jc w:val="right"/>
              <w:rPr>
                <w:noProof/>
                <w:sz w:val="20"/>
              </w:rPr>
            </w:pPr>
            <w:r>
              <w:rPr>
                <w:noProof/>
                <w:sz w:val="20"/>
              </w:rPr>
              <w:t>953 387 216</w:t>
            </w:r>
          </w:p>
        </w:tc>
        <w:tc>
          <w:tcPr>
            <w:tcW w:w="793" w:type="dxa"/>
            <w:tcBorders>
              <w:top w:val="nil"/>
              <w:left w:val="nil"/>
              <w:bottom w:val="nil"/>
              <w:right w:val="nil"/>
            </w:tcBorders>
            <w:shd w:val="clear" w:color="auto" w:fill="auto"/>
            <w:noWrap/>
            <w:vAlign w:val="center"/>
          </w:tcPr>
          <w:p>
            <w:pPr>
              <w:jc w:val="center"/>
              <w:rPr>
                <w:b/>
                <w:bCs/>
                <w:noProof/>
                <w:sz w:val="20"/>
              </w:rPr>
            </w:pPr>
            <w:r>
              <w:rPr>
                <w:b/>
                <w:bCs/>
                <w:noProof/>
                <w:sz w:val="20"/>
              </w:rPr>
              <w:t>SE</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46 937 429</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CY</w:t>
            </w:r>
          </w:p>
        </w:tc>
        <w:tc>
          <w:tcPr>
            <w:tcW w:w="1666" w:type="dxa"/>
            <w:tcBorders>
              <w:top w:val="nil"/>
              <w:left w:val="nil"/>
              <w:bottom w:val="nil"/>
              <w:right w:val="nil"/>
            </w:tcBorders>
            <w:shd w:val="clear" w:color="auto" w:fill="auto"/>
            <w:noWrap/>
          </w:tcPr>
          <w:p>
            <w:pPr>
              <w:jc w:val="right"/>
              <w:rPr>
                <w:noProof/>
                <w:sz w:val="20"/>
              </w:rPr>
            </w:pPr>
            <w:r>
              <w:rPr>
                <w:noProof/>
                <w:sz w:val="20"/>
              </w:rPr>
              <w:t>10 012 925</w:t>
            </w:r>
          </w:p>
        </w:tc>
        <w:tc>
          <w:tcPr>
            <w:tcW w:w="793" w:type="dxa"/>
            <w:vMerge w:val="restart"/>
            <w:tcBorders>
              <w:top w:val="nil"/>
              <w:left w:val="nil"/>
              <w:right w:val="nil"/>
            </w:tcBorders>
            <w:shd w:val="clear" w:color="auto" w:fill="auto"/>
            <w:noWrap/>
            <w:vAlign w:val="center"/>
          </w:tcPr>
          <w:p>
            <w:pPr>
              <w:jc w:val="center"/>
              <w:rPr>
                <w:b/>
                <w:bCs/>
                <w:noProof/>
                <w:sz w:val="20"/>
              </w:rPr>
            </w:pPr>
            <w:r>
              <w:rPr>
                <w:b/>
                <w:bCs/>
                <w:noProof/>
                <w:sz w:val="20"/>
              </w:rPr>
              <w:t>UK</w:t>
            </w:r>
          </w:p>
        </w:tc>
        <w:tc>
          <w:tcPr>
            <w:tcW w:w="1532" w:type="dxa"/>
            <w:vMerge w:val="restart"/>
            <w:tcBorders>
              <w:top w:val="nil"/>
              <w:left w:val="nil"/>
              <w:right w:val="single" w:sz="8" w:space="0" w:color="auto"/>
            </w:tcBorders>
            <w:shd w:val="clear" w:color="auto" w:fill="auto"/>
            <w:noWrap/>
            <w:vAlign w:val="center"/>
          </w:tcPr>
          <w:p>
            <w:pPr>
              <w:jc w:val="center"/>
              <w:rPr>
                <w:noProof/>
                <w:sz w:val="20"/>
              </w:rPr>
            </w:pPr>
            <w:r>
              <w:rPr>
                <w:noProof/>
                <w:sz w:val="20"/>
              </w:rPr>
              <w:t>- 4 932 590 878</w:t>
            </w:r>
          </w:p>
        </w:tc>
      </w:tr>
      <w:tr>
        <w:trPr>
          <w:trHeight w:val="270"/>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LV</w:t>
            </w:r>
          </w:p>
        </w:tc>
        <w:tc>
          <w:tcPr>
            <w:tcW w:w="1666" w:type="dxa"/>
            <w:tcBorders>
              <w:top w:val="nil"/>
              <w:left w:val="nil"/>
              <w:bottom w:val="nil"/>
              <w:right w:val="nil"/>
            </w:tcBorders>
            <w:shd w:val="clear" w:color="auto" w:fill="auto"/>
            <w:noWrap/>
          </w:tcPr>
          <w:p>
            <w:pPr>
              <w:jc w:val="right"/>
              <w:rPr>
                <w:noProof/>
                <w:sz w:val="20"/>
              </w:rPr>
            </w:pPr>
            <w:r>
              <w:rPr>
                <w:noProof/>
                <w:sz w:val="20"/>
              </w:rPr>
              <w:t>14 788 961</w:t>
            </w:r>
          </w:p>
        </w:tc>
        <w:tc>
          <w:tcPr>
            <w:tcW w:w="793" w:type="dxa"/>
            <w:vMerge/>
            <w:tcBorders>
              <w:left w:val="nil"/>
              <w:bottom w:val="nil"/>
              <w:right w:val="nil"/>
            </w:tcBorders>
            <w:shd w:val="clear" w:color="auto" w:fill="auto"/>
            <w:noWrap/>
            <w:vAlign w:val="center"/>
          </w:tcPr>
          <w:p>
            <w:pPr>
              <w:jc w:val="center"/>
              <w:rPr>
                <w:b/>
                <w:bCs/>
                <w:noProof/>
                <w:sz w:val="20"/>
              </w:rPr>
            </w:pPr>
          </w:p>
        </w:tc>
        <w:tc>
          <w:tcPr>
            <w:tcW w:w="1532" w:type="dxa"/>
            <w:vMerge/>
            <w:tcBorders>
              <w:left w:val="nil"/>
              <w:bottom w:val="nil"/>
              <w:right w:val="single" w:sz="8" w:space="0" w:color="auto"/>
            </w:tcBorders>
            <w:shd w:val="clear" w:color="auto" w:fill="auto"/>
            <w:noWrap/>
            <w:vAlign w:val="bottom"/>
          </w:tcPr>
          <w:p>
            <w:pPr>
              <w:jc w:val="right"/>
              <w:rPr>
                <w:noProof/>
                <w:sz w:val="20"/>
              </w:rPr>
            </w:pPr>
          </w:p>
        </w:tc>
      </w:tr>
      <w:tr>
        <w:trPr>
          <w:trHeight w:val="193"/>
          <w:jc w:val="center"/>
        </w:trPr>
        <w:tc>
          <w:tcPr>
            <w:tcW w:w="549" w:type="dxa"/>
            <w:tcBorders>
              <w:top w:val="nil"/>
              <w:left w:val="single" w:sz="8" w:space="0" w:color="auto"/>
              <w:bottom w:val="single" w:sz="8" w:space="0" w:color="auto"/>
              <w:right w:val="nil"/>
            </w:tcBorders>
            <w:shd w:val="clear" w:color="auto" w:fill="auto"/>
            <w:noWrap/>
            <w:vAlign w:val="center"/>
          </w:tcPr>
          <w:p>
            <w:pPr>
              <w:jc w:val="center"/>
              <w:rPr>
                <w:b/>
                <w:noProof/>
                <w:sz w:val="20"/>
              </w:rPr>
            </w:pPr>
            <w:r>
              <w:rPr>
                <w:b/>
                <w:noProof/>
                <w:sz w:val="20"/>
              </w:rPr>
              <w:t>LT</w:t>
            </w:r>
          </w:p>
        </w:tc>
        <w:tc>
          <w:tcPr>
            <w:tcW w:w="1666" w:type="dxa"/>
            <w:tcBorders>
              <w:top w:val="nil"/>
              <w:left w:val="nil"/>
              <w:bottom w:val="single" w:sz="8" w:space="0" w:color="auto"/>
              <w:right w:val="nil"/>
            </w:tcBorders>
            <w:shd w:val="clear" w:color="auto" w:fill="auto"/>
            <w:noWrap/>
          </w:tcPr>
          <w:p>
            <w:pPr>
              <w:jc w:val="right"/>
              <w:rPr>
                <w:noProof/>
                <w:sz w:val="20"/>
              </w:rPr>
            </w:pPr>
            <w:r>
              <w:rPr>
                <w:noProof/>
                <w:sz w:val="20"/>
              </w:rPr>
              <w:t>21 938 927</w:t>
            </w:r>
          </w:p>
        </w:tc>
        <w:tc>
          <w:tcPr>
            <w:tcW w:w="793" w:type="dxa"/>
            <w:tcBorders>
              <w:top w:val="single" w:sz="8" w:space="0" w:color="auto"/>
              <w:left w:val="single" w:sz="8" w:space="0" w:color="auto"/>
              <w:bottom w:val="single" w:sz="8" w:space="0" w:color="auto"/>
              <w:right w:val="nil"/>
            </w:tcBorders>
            <w:shd w:val="clear" w:color="auto" w:fill="auto"/>
            <w:noWrap/>
            <w:vAlign w:val="center"/>
          </w:tcPr>
          <w:p>
            <w:pPr>
              <w:jc w:val="center"/>
              <w:rPr>
                <w:b/>
                <w:bCs/>
                <w:noProof/>
                <w:sz w:val="20"/>
              </w:rPr>
            </w:pPr>
            <w:r>
              <w:rPr>
                <w:b/>
                <w:bCs/>
                <w:noProof/>
                <w:sz w:val="20"/>
              </w:rPr>
              <w:t xml:space="preserve">Total </w:t>
            </w:r>
          </w:p>
        </w:tc>
        <w:tc>
          <w:tcPr>
            <w:tcW w:w="1532" w:type="dxa"/>
            <w:tcBorders>
              <w:top w:val="single" w:sz="8" w:space="0" w:color="auto"/>
              <w:left w:val="nil"/>
              <w:bottom w:val="single" w:sz="8" w:space="0" w:color="auto"/>
              <w:right w:val="single" w:sz="8" w:space="0" w:color="auto"/>
            </w:tcBorders>
            <w:shd w:val="clear" w:color="auto" w:fill="auto"/>
            <w:noWrap/>
            <w:vAlign w:val="bottom"/>
          </w:tcPr>
          <w:p>
            <w:pPr>
              <w:jc w:val="right"/>
              <w:rPr>
                <w:b/>
                <w:bCs/>
                <w:noProof/>
                <w:sz w:val="20"/>
              </w:rPr>
            </w:pPr>
            <w:r>
              <w:rPr>
                <w:b/>
                <w:bCs/>
                <w:noProof/>
                <w:sz w:val="20"/>
              </w:rPr>
              <w:t>0</w:t>
            </w:r>
          </w:p>
        </w:tc>
      </w:tr>
    </w:tbl>
    <w:p>
      <w:pPr>
        <w:keepNext/>
        <w:tabs>
          <w:tab w:val="left" w:pos="850"/>
        </w:tabs>
        <w:spacing w:before="360" w:after="120"/>
        <w:ind w:left="850" w:hanging="850"/>
        <w:jc w:val="both"/>
        <w:outlineLvl w:val="1"/>
        <w:rPr>
          <w:rFonts w:eastAsia="Calibri"/>
          <w:b/>
          <w:noProof/>
          <w:lang w:eastAsia="de-DE"/>
        </w:rPr>
      </w:pPr>
      <w:bookmarkStart w:id="73" w:name="_Toc494994381"/>
      <w:r>
        <w:rPr>
          <w:rFonts w:eastAsia="Calibri"/>
          <w:b/>
          <w:noProof/>
          <w:lang w:eastAsia="de-DE"/>
        </w:rPr>
        <w:t>3.4</w:t>
      </w:r>
      <w:r>
        <w:rPr>
          <w:rFonts w:eastAsia="Calibri"/>
          <w:b/>
          <w:noProof/>
          <w:lang w:eastAsia="de-DE"/>
        </w:rPr>
        <w:tab/>
        <w:t>Fines</w:t>
      </w:r>
      <w:bookmarkEnd w:id="63"/>
      <w:bookmarkEnd w:id="73"/>
    </w:p>
    <w:p>
      <w:pPr>
        <w:spacing w:before="120" w:after="120"/>
        <w:jc w:val="both"/>
        <w:rPr>
          <w:rFonts w:eastAsia="Calibri"/>
          <w:noProof/>
          <w:lang w:eastAsia="en-US"/>
        </w:rPr>
      </w:pPr>
      <w:r>
        <w:rPr>
          <w:rFonts w:eastAsia="Calibri"/>
          <w:noProof/>
          <w:lang w:eastAsia="en-US"/>
        </w:rPr>
        <w:t>At the end of September 2017, an amount of EUR 3 209,7 million of fines (principal) has become definitive. According to Article 83 of the Financial Regulation, definitive fines "</w:t>
      </w:r>
      <w:r>
        <w:rPr>
          <w:rFonts w:eastAsia="Calibri"/>
          <w:i/>
          <w:noProof/>
          <w:lang w:eastAsia="en-US"/>
        </w:rPr>
        <w:t>shall be recorded as soon as possible and at the latest in the year following the exhaustion of all legal remedies</w:t>
      </w:r>
      <w:r>
        <w:rPr>
          <w:rFonts w:eastAsia="Calibri"/>
          <w:noProof/>
          <w:lang w:eastAsia="en-US"/>
        </w:rPr>
        <w:t xml:space="preserve">". </w:t>
      </w:r>
    </w:p>
    <w:p>
      <w:pPr>
        <w:spacing w:before="120" w:after="120"/>
        <w:jc w:val="both"/>
        <w:rPr>
          <w:noProof/>
        </w:rPr>
      </w:pPr>
      <w:r>
        <w:rPr>
          <w:rFonts w:eastAsia="Calibri"/>
          <w:noProof/>
          <w:lang w:eastAsia="en-US"/>
        </w:rPr>
        <w:t>This amount exceeds the level of fines that was initially estimated in the budget 2017, i.e. EUR 1 100,0 million. The difference, EUR 2 209,7 million will</w:t>
      </w:r>
      <w:r>
        <w:rPr>
          <w:noProof/>
        </w:rPr>
        <w:t xml:space="preserve"> reduce accordingly the own resources contributions from Member States to the EU budget.</w:t>
      </w:r>
    </w:p>
    <w:p>
      <w:pPr>
        <w:spacing w:before="120" w:after="120"/>
        <w:jc w:val="both"/>
        <w:rPr>
          <w:rFonts w:eastAsia="Calibri"/>
          <w:noProof/>
          <w:lang w:eastAsia="en-US"/>
        </w:rPr>
      </w:pPr>
      <w:r>
        <w:rPr>
          <w:noProof/>
        </w:rPr>
        <w:t>The below table gives the breakdown of fines by case.</w:t>
      </w:r>
    </w:p>
    <w:tbl>
      <w:tblPr>
        <w:tblW w:w="7783" w:type="dxa"/>
        <w:jc w:val="center"/>
        <w:tblLook w:val="04A0" w:firstRow="1" w:lastRow="0" w:firstColumn="1" w:lastColumn="0" w:noHBand="0" w:noVBand="1"/>
      </w:tblPr>
      <w:tblGrid>
        <w:gridCol w:w="1416"/>
        <w:gridCol w:w="3669"/>
        <w:gridCol w:w="1309"/>
        <w:gridCol w:w="1389"/>
      </w:tblGrid>
      <w:tr>
        <w:trPr>
          <w:trHeight w:val="300"/>
          <w:jc w:val="center"/>
        </w:trPr>
        <w:tc>
          <w:tcPr>
            <w:tcW w:w="7783" w:type="dxa"/>
            <w:gridSpan w:val="4"/>
            <w:tcBorders>
              <w:top w:val="nil"/>
              <w:left w:val="nil"/>
              <w:bottom w:val="single" w:sz="4" w:space="0" w:color="auto"/>
              <w:right w:val="nil"/>
            </w:tcBorders>
            <w:shd w:val="clear" w:color="auto" w:fill="auto"/>
            <w:noWrap/>
            <w:vAlign w:val="bottom"/>
            <w:hideMark/>
          </w:tcPr>
          <w:p>
            <w:pPr>
              <w:jc w:val="right"/>
              <w:rPr>
                <w:i/>
                <w:iCs/>
                <w:noProof/>
                <w:color w:val="000000"/>
                <w:sz w:val="20"/>
                <w:szCs w:val="20"/>
              </w:rPr>
            </w:pPr>
            <w:r>
              <w:rPr>
                <w:i/>
                <w:iCs/>
                <w:noProof/>
                <w:color w:val="000000"/>
                <w:sz w:val="20"/>
                <w:szCs w:val="20"/>
              </w:rPr>
              <w:t>In EUR</w:t>
            </w:r>
          </w:p>
        </w:tc>
      </w:tr>
      <w:tr>
        <w:trPr>
          <w:trHeight w:val="227"/>
          <w:jc w:val="center"/>
        </w:trPr>
        <w:tc>
          <w:tcPr>
            <w:tcW w:w="1416" w:type="dxa"/>
            <w:tcBorders>
              <w:top w:val="nil"/>
              <w:left w:val="single" w:sz="4" w:space="0" w:color="auto"/>
              <w:bottom w:val="single" w:sz="4" w:space="0" w:color="auto"/>
              <w:right w:val="single" w:sz="4" w:space="0" w:color="auto"/>
            </w:tcBorders>
            <w:shd w:val="clear" w:color="000000" w:fill="D9D9D9"/>
            <w:noWrap/>
            <w:vAlign w:val="bottom"/>
            <w:hideMark/>
          </w:tcPr>
          <w:p>
            <w:pPr>
              <w:jc w:val="center"/>
              <w:rPr>
                <w:b/>
                <w:bCs/>
                <w:noProof/>
                <w:color w:val="000000"/>
                <w:sz w:val="20"/>
                <w:szCs w:val="20"/>
              </w:rPr>
            </w:pPr>
            <w:r>
              <w:rPr>
                <w:b/>
                <w:bCs/>
                <w:noProof/>
                <w:color w:val="000000"/>
                <w:sz w:val="20"/>
                <w:szCs w:val="20"/>
              </w:rPr>
              <w:t>Case Number</w:t>
            </w:r>
          </w:p>
        </w:tc>
        <w:tc>
          <w:tcPr>
            <w:tcW w:w="3669" w:type="dxa"/>
            <w:tcBorders>
              <w:top w:val="nil"/>
              <w:left w:val="nil"/>
              <w:bottom w:val="single" w:sz="4" w:space="0" w:color="auto"/>
              <w:right w:val="single" w:sz="4" w:space="0" w:color="auto"/>
            </w:tcBorders>
            <w:shd w:val="clear" w:color="000000" w:fill="D9D9D9"/>
            <w:noWrap/>
            <w:vAlign w:val="bottom"/>
            <w:hideMark/>
          </w:tcPr>
          <w:p>
            <w:pPr>
              <w:jc w:val="center"/>
              <w:rPr>
                <w:b/>
                <w:bCs/>
                <w:noProof/>
                <w:color w:val="000000"/>
                <w:sz w:val="20"/>
                <w:szCs w:val="20"/>
              </w:rPr>
            </w:pPr>
            <w:r>
              <w:rPr>
                <w:b/>
                <w:bCs/>
                <w:noProof/>
                <w:color w:val="000000"/>
                <w:sz w:val="20"/>
                <w:szCs w:val="20"/>
              </w:rPr>
              <w:t>Case title</w:t>
            </w:r>
          </w:p>
        </w:tc>
        <w:tc>
          <w:tcPr>
            <w:tcW w:w="1309" w:type="dxa"/>
            <w:tcBorders>
              <w:top w:val="nil"/>
              <w:left w:val="nil"/>
              <w:bottom w:val="single" w:sz="4" w:space="0" w:color="auto"/>
              <w:right w:val="single" w:sz="4" w:space="0" w:color="auto"/>
            </w:tcBorders>
            <w:shd w:val="clear" w:color="000000" w:fill="D9D9D9"/>
            <w:noWrap/>
            <w:vAlign w:val="bottom"/>
            <w:hideMark/>
          </w:tcPr>
          <w:p>
            <w:pPr>
              <w:jc w:val="center"/>
              <w:rPr>
                <w:b/>
                <w:bCs/>
                <w:noProof/>
                <w:color w:val="000000"/>
                <w:sz w:val="20"/>
                <w:szCs w:val="20"/>
              </w:rPr>
            </w:pPr>
            <w:r>
              <w:rPr>
                <w:b/>
                <w:bCs/>
                <w:noProof/>
                <w:color w:val="000000"/>
                <w:sz w:val="20"/>
                <w:szCs w:val="20"/>
              </w:rPr>
              <w:t>Policy Area</w:t>
            </w:r>
          </w:p>
        </w:tc>
        <w:tc>
          <w:tcPr>
            <w:tcW w:w="1389" w:type="dxa"/>
            <w:tcBorders>
              <w:top w:val="nil"/>
              <w:left w:val="nil"/>
              <w:bottom w:val="single" w:sz="4" w:space="0" w:color="auto"/>
              <w:right w:val="single" w:sz="4" w:space="0" w:color="auto"/>
            </w:tcBorders>
            <w:shd w:val="clear" w:color="000000" w:fill="D9D9D9"/>
            <w:noWrap/>
            <w:vAlign w:val="bottom"/>
            <w:hideMark/>
          </w:tcPr>
          <w:p>
            <w:pPr>
              <w:jc w:val="center"/>
              <w:rPr>
                <w:b/>
                <w:bCs/>
                <w:noProof/>
                <w:color w:val="000000"/>
                <w:sz w:val="20"/>
                <w:szCs w:val="20"/>
              </w:rPr>
            </w:pPr>
            <w:r>
              <w:rPr>
                <w:b/>
                <w:bCs/>
                <w:noProof/>
                <w:color w:val="000000"/>
                <w:sz w:val="20"/>
                <w:szCs w:val="20"/>
              </w:rPr>
              <w:t>Fines</w:t>
            </w:r>
          </w:p>
        </w:tc>
      </w:tr>
      <w:tr>
        <w:trPr>
          <w:trHeight w:val="227"/>
          <w:jc w:val="center"/>
        </w:trPr>
        <w:tc>
          <w:tcPr>
            <w:tcW w:w="1416" w:type="dxa"/>
            <w:tcBorders>
              <w:top w:val="nil"/>
              <w:left w:val="single" w:sz="4" w:space="0" w:color="auto"/>
              <w:bottom w:val="nil"/>
              <w:right w:val="single" w:sz="4" w:space="0" w:color="auto"/>
            </w:tcBorders>
            <w:shd w:val="clear" w:color="auto" w:fill="auto"/>
            <w:noWrap/>
            <w:vAlign w:val="bottom"/>
            <w:hideMark/>
          </w:tcPr>
          <w:p>
            <w:pPr>
              <w:jc w:val="center"/>
              <w:rPr>
                <w:noProof/>
                <w:color w:val="000000"/>
                <w:sz w:val="20"/>
                <w:szCs w:val="20"/>
              </w:rPr>
            </w:pPr>
            <w:r>
              <w:rPr>
                <w:noProof/>
                <w:color w:val="000000"/>
                <w:sz w:val="20"/>
                <w:szCs w:val="20"/>
              </w:rPr>
              <w:t>8228</w:t>
            </w:r>
          </w:p>
        </w:tc>
        <w:tc>
          <w:tcPr>
            <w:tcW w:w="3669" w:type="dxa"/>
            <w:tcBorders>
              <w:top w:val="nil"/>
              <w:left w:val="nil"/>
              <w:bottom w:val="nil"/>
              <w:right w:val="single" w:sz="4" w:space="0" w:color="auto"/>
            </w:tcBorders>
            <w:shd w:val="clear" w:color="auto" w:fill="auto"/>
            <w:noWrap/>
            <w:vAlign w:val="bottom"/>
            <w:hideMark/>
          </w:tcPr>
          <w:p>
            <w:pPr>
              <w:rPr>
                <w:noProof/>
                <w:color w:val="000000"/>
                <w:sz w:val="20"/>
                <w:szCs w:val="20"/>
              </w:rPr>
            </w:pPr>
            <w:r>
              <w:rPr>
                <w:noProof/>
                <w:color w:val="000000"/>
                <w:sz w:val="20"/>
                <w:szCs w:val="20"/>
              </w:rPr>
              <w:t>Facebook / WhatsApp (Art. 14.1 proc.)</w:t>
            </w:r>
          </w:p>
        </w:tc>
        <w:tc>
          <w:tcPr>
            <w:tcW w:w="1309" w:type="dxa"/>
            <w:tcBorders>
              <w:top w:val="nil"/>
              <w:left w:val="nil"/>
              <w:bottom w:val="nil"/>
              <w:right w:val="single" w:sz="4" w:space="0" w:color="auto"/>
            </w:tcBorders>
            <w:shd w:val="clear" w:color="auto" w:fill="auto"/>
            <w:noWrap/>
            <w:vAlign w:val="bottom"/>
            <w:hideMark/>
          </w:tcPr>
          <w:p>
            <w:pPr>
              <w:rPr>
                <w:noProof/>
                <w:color w:val="000000"/>
                <w:sz w:val="20"/>
                <w:szCs w:val="20"/>
              </w:rPr>
            </w:pPr>
            <w:r>
              <w:rPr>
                <w:noProof/>
                <w:color w:val="000000"/>
                <w:sz w:val="20"/>
                <w:szCs w:val="20"/>
              </w:rPr>
              <w:t>Merger</w:t>
            </w:r>
          </w:p>
        </w:tc>
        <w:tc>
          <w:tcPr>
            <w:tcW w:w="1389" w:type="dxa"/>
            <w:tcBorders>
              <w:top w:val="nil"/>
              <w:left w:val="nil"/>
              <w:bottom w:val="nil"/>
              <w:right w:val="single" w:sz="4" w:space="0" w:color="auto"/>
            </w:tcBorders>
            <w:shd w:val="clear" w:color="auto" w:fill="auto"/>
            <w:noWrap/>
            <w:vAlign w:val="bottom"/>
            <w:hideMark/>
          </w:tcPr>
          <w:p>
            <w:pPr>
              <w:jc w:val="right"/>
              <w:rPr>
                <w:noProof/>
                <w:color w:val="000000"/>
                <w:sz w:val="20"/>
                <w:szCs w:val="20"/>
              </w:rPr>
            </w:pPr>
            <w:r>
              <w:rPr>
                <w:noProof/>
                <w:color w:val="000000"/>
                <w:sz w:val="20"/>
                <w:szCs w:val="20"/>
              </w:rPr>
              <w:t>110 000 000</w:t>
            </w:r>
          </w:p>
        </w:tc>
      </w:tr>
      <w:tr>
        <w:trPr>
          <w:trHeight w:val="227"/>
          <w:jc w:val="center"/>
        </w:trPr>
        <w:tc>
          <w:tcPr>
            <w:tcW w:w="1416" w:type="dxa"/>
            <w:tcBorders>
              <w:top w:val="nil"/>
              <w:left w:val="single" w:sz="4" w:space="0" w:color="auto"/>
              <w:bottom w:val="nil"/>
              <w:right w:val="single" w:sz="4" w:space="0" w:color="auto"/>
            </w:tcBorders>
            <w:shd w:val="clear" w:color="auto" w:fill="auto"/>
            <w:noWrap/>
            <w:vAlign w:val="bottom"/>
            <w:hideMark/>
          </w:tcPr>
          <w:p>
            <w:pPr>
              <w:jc w:val="center"/>
              <w:rPr>
                <w:noProof/>
                <w:color w:val="000000"/>
                <w:sz w:val="20"/>
                <w:szCs w:val="20"/>
              </w:rPr>
            </w:pPr>
            <w:r>
              <w:rPr>
                <w:noProof/>
                <w:color w:val="000000"/>
                <w:sz w:val="20"/>
                <w:szCs w:val="20"/>
              </w:rPr>
              <w:t>38238</w:t>
            </w:r>
          </w:p>
        </w:tc>
        <w:tc>
          <w:tcPr>
            <w:tcW w:w="3669" w:type="dxa"/>
            <w:tcBorders>
              <w:top w:val="nil"/>
              <w:left w:val="nil"/>
              <w:bottom w:val="nil"/>
              <w:right w:val="single" w:sz="4" w:space="0" w:color="auto"/>
            </w:tcBorders>
            <w:shd w:val="clear" w:color="auto" w:fill="auto"/>
            <w:noWrap/>
            <w:vAlign w:val="bottom"/>
            <w:hideMark/>
          </w:tcPr>
          <w:p>
            <w:pPr>
              <w:rPr>
                <w:noProof/>
                <w:color w:val="000000"/>
                <w:sz w:val="20"/>
                <w:szCs w:val="20"/>
              </w:rPr>
            </w:pPr>
            <w:r>
              <w:rPr>
                <w:noProof/>
                <w:color w:val="000000"/>
                <w:sz w:val="20"/>
                <w:szCs w:val="20"/>
              </w:rPr>
              <w:t>Raw Tobacco (ES)</w:t>
            </w:r>
          </w:p>
        </w:tc>
        <w:tc>
          <w:tcPr>
            <w:tcW w:w="1309" w:type="dxa"/>
            <w:tcBorders>
              <w:top w:val="nil"/>
              <w:left w:val="nil"/>
              <w:bottom w:val="nil"/>
              <w:right w:val="single" w:sz="4" w:space="0" w:color="auto"/>
            </w:tcBorders>
            <w:shd w:val="clear" w:color="auto" w:fill="auto"/>
            <w:noWrap/>
            <w:vAlign w:val="bottom"/>
            <w:hideMark/>
          </w:tcPr>
          <w:p>
            <w:pPr>
              <w:rPr>
                <w:noProof/>
                <w:color w:val="000000"/>
                <w:sz w:val="20"/>
                <w:szCs w:val="20"/>
              </w:rPr>
            </w:pPr>
            <w:r>
              <w:rPr>
                <w:noProof/>
                <w:color w:val="000000"/>
                <w:sz w:val="20"/>
                <w:szCs w:val="20"/>
              </w:rPr>
              <w:t>Cartel</w:t>
            </w:r>
          </w:p>
        </w:tc>
        <w:tc>
          <w:tcPr>
            <w:tcW w:w="1389" w:type="dxa"/>
            <w:tcBorders>
              <w:top w:val="nil"/>
              <w:left w:val="nil"/>
              <w:bottom w:val="nil"/>
              <w:right w:val="single" w:sz="4" w:space="0" w:color="auto"/>
            </w:tcBorders>
            <w:shd w:val="clear" w:color="auto" w:fill="auto"/>
            <w:noWrap/>
            <w:vAlign w:val="bottom"/>
            <w:hideMark/>
          </w:tcPr>
          <w:p>
            <w:pPr>
              <w:jc w:val="right"/>
              <w:rPr>
                <w:noProof/>
                <w:color w:val="000000"/>
                <w:sz w:val="20"/>
                <w:szCs w:val="20"/>
              </w:rPr>
            </w:pPr>
            <w:r>
              <w:rPr>
                <w:noProof/>
                <w:color w:val="000000"/>
                <w:sz w:val="20"/>
                <w:szCs w:val="20"/>
              </w:rPr>
              <w:t>1 579 500</w:t>
            </w:r>
          </w:p>
        </w:tc>
      </w:tr>
      <w:tr>
        <w:trPr>
          <w:trHeight w:val="227"/>
          <w:jc w:val="center"/>
        </w:trPr>
        <w:tc>
          <w:tcPr>
            <w:tcW w:w="1416" w:type="dxa"/>
            <w:tcBorders>
              <w:top w:val="nil"/>
              <w:left w:val="single" w:sz="4" w:space="0" w:color="auto"/>
              <w:bottom w:val="nil"/>
              <w:right w:val="single" w:sz="4" w:space="0" w:color="auto"/>
            </w:tcBorders>
            <w:shd w:val="clear" w:color="auto" w:fill="auto"/>
            <w:noWrap/>
            <w:vAlign w:val="bottom"/>
            <w:hideMark/>
          </w:tcPr>
          <w:p>
            <w:pPr>
              <w:jc w:val="center"/>
              <w:rPr>
                <w:noProof/>
                <w:color w:val="000000"/>
                <w:sz w:val="20"/>
                <w:szCs w:val="20"/>
              </w:rPr>
            </w:pPr>
            <w:r>
              <w:rPr>
                <w:noProof/>
                <w:color w:val="000000"/>
                <w:sz w:val="20"/>
                <w:szCs w:val="20"/>
              </w:rPr>
              <w:t>38589</w:t>
            </w:r>
          </w:p>
        </w:tc>
        <w:tc>
          <w:tcPr>
            <w:tcW w:w="3669" w:type="dxa"/>
            <w:tcBorders>
              <w:top w:val="nil"/>
              <w:left w:val="nil"/>
              <w:bottom w:val="nil"/>
              <w:right w:val="single" w:sz="4" w:space="0" w:color="auto"/>
            </w:tcBorders>
            <w:shd w:val="clear" w:color="auto" w:fill="auto"/>
            <w:noWrap/>
            <w:vAlign w:val="bottom"/>
            <w:hideMark/>
          </w:tcPr>
          <w:p>
            <w:pPr>
              <w:rPr>
                <w:noProof/>
                <w:color w:val="000000"/>
                <w:sz w:val="20"/>
                <w:szCs w:val="20"/>
              </w:rPr>
            </w:pPr>
            <w:r>
              <w:rPr>
                <w:noProof/>
                <w:color w:val="000000"/>
                <w:sz w:val="20"/>
                <w:szCs w:val="20"/>
              </w:rPr>
              <w:t>Heat stabilisers</w:t>
            </w:r>
          </w:p>
        </w:tc>
        <w:tc>
          <w:tcPr>
            <w:tcW w:w="1309" w:type="dxa"/>
            <w:tcBorders>
              <w:top w:val="nil"/>
              <w:left w:val="nil"/>
              <w:bottom w:val="nil"/>
              <w:right w:val="single" w:sz="4" w:space="0" w:color="auto"/>
            </w:tcBorders>
            <w:shd w:val="clear" w:color="auto" w:fill="auto"/>
            <w:noWrap/>
            <w:vAlign w:val="bottom"/>
            <w:hideMark/>
          </w:tcPr>
          <w:p>
            <w:pPr>
              <w:rPr>
                <w:noProof/>
                <w:color w:val="000000"/>
                <w:sz w:val="20"/>
                <w:szCs w:val="20"/>
              </w:rPr>
            </w:pPr>
            <w:r>
              <w:rPr>
                <w:noProof/>
                <w:color w:val="000000"/>
                <w:sz w:val="20"/>
                <w:szCs w:val="20"/>
              </w:rPr>
              <w:t>Cartel</w:t>
            </w:r>
          </w:p>
        </w:tc>
        <w:tc>
          <w:tcPr>
            <w:tcW w:w="1389" w:type="dxa"/>
            <w:tcBorders>
              <w:top w:val="nil"/>
              <w:left w:val="nil"/>
              <w:bottom w:val="nil"/>
              <w:right w:val="single" w:sz="4" w:space="0" w:color="auto"/>
            </w:tcBorders>
            <w:shd w:val="clear" w:color="auto" w:fill="auto"/>
            <w:noWrap/>
            <w:vAlign w:val="bottom"/>
            <w:hideMark/>
          </w:tcPr>
          <w:p>
            <w:pPr>
              <w:jc w:val="right"/>
              <w:rPr>
                <w:noProof/>
                <w:color w:val="000000"/>
                <w:sz w:val="20"/>
                <w:szCs w:val="20"/>
              </w:rPr>
            </w:pPr>
            <w:r>
              <w:rPr>
                <w:noProof/>
                <w:color w:val="000000"/>
                <w:sz w:val="20"/>
                <w:szCs w:val="20"/>
              </w:rPr>
              <w:t>40 193 990</w:t>
            </w:r>
          </w:p>
        </w:tc>
      </w:tr>
      <w:tr>
        <w:trPr>
          <w:trHeight w:val="227"/>
          <w:jc w:val="center"/>
        </w:trPr>
        <w:tc>
          <w:tcPr>
            <w:tcW w:w="1416" w:type="dxa"/>
            <w:tcBorders>
              <w:top w:val="nil"/>
              <w:left w:val="single" w:sz="4" w:space="0" w:color="auto"/>
              <w:bottom w:val="nil"/>
              <w:right w:val="single" w:sz="4" w:space="0" w:color="auto"/>
            </w:tcBorders>
            <w:shd w:val="clear" w:color="auto" w:fill="auto"/>
            <w:noWrap/>
            <w:vAlign w:val="bottom"/>
            <w:hideMark/>
          </w:tcPr>
          <w:p>
            <w:pPr>
              <w:jc w:val="center"/>
              <w:rPr>
                <w:noProof/>
                <w:color w:val="000000"/>
                <w:sz w:val="20"/>
                <w:szCs w:val="20"/>
              </w:rPr>
            </w:pPr>
            <w:r>
              <w:rPr>
                <w:noProof/>
                <w:color w:val="000000"/>
                <w:sz w:val="20"/>
                <w:szCs w:val="20"/>
              </w:rPr>
              <w:t>38866</w:t>
            </w:r>
          </w:p>
        </w:tc>
        <w:tc>
          <w:tcPr>
            <w:tcW w:w="3669" w:type="dxa"/>
            <w:tcBorders>
              <w:top w:val="nil"/>
              <w:left w:val="nil"/>
              <w:bottom w:val="nil"/>
              <w:right w:val="single" w:sz="4" w:space="0" w:color="auto"/>
            </w:tcBorders>
            <w:shd w:val="clear" w:color="auto" w:fill="auto"/>
            <w:noWrap/>
            <w:vAlign w:val="bottom"/>
            <w:hideMark/>
          </w:tcPr>
          <w:p>
            <w:pPr>
              <w:rPr>
                <w:noProof/>
                <w:color w:val="000000"/>
                <w:sz w:val="20"/>
                <w:szCs w:val="20"/>
              </w:rPr>
            </w:pPr>
            <w:r>
              <w:rPr>
                <w:noProof/>
                <w:color w:val="000000"/>
                <w:sz w:val="20"/>
                <w:szCs w:val="20"/>
              </w:rPr>
              <w:t>Animal Feed Phosphates</w:t>
            </w:r>
          </w:p>
        </w:tc>
        <w:tc>
          <w:tcPr>
            <w:tcW w:w="1309" w:type="dxa"/>
            <w:tcBorders>
              <w:top w:val="nil"/>
              <w:left w:val="nil"/>
              <w:bottom w:val="nil"/>
              <w:right w:val="single" w:sz="4" w:space="0" w:color="auto"/>
            </w:tcBorders>
            <w:shd w:val="clear" w:color="auto" w:fill="auto"/>
            <w:noWrap/>
            <w:vAlign w:val="bottom"/>
            <w:hideMark/>
          </w:tcPr>
          <w:p>
            <w:pPr>
              <w:rPr>
                <w:noProof/>
                <w:color w:val="000000"/>
                <w:sz w:val="20"/>
                <w:szCs w:val="20"/>
              </w:rPr>
            </w:pPr>
            <w:r>
              <w:rPr>
                <w:noProof/>
                <w:color w:val="000000"/>
                <w:sz w:val="20"/>
                <w:szCs w:val="20"/>
              </w:rPr>
              <w:t>Cartel</w:t>
            </w:r>
          </w:p>
        </w:tc>
        <w:tc>
          <w:tcPr>
            <w:tcW w:w="1389" w:type="dxa"/>
            <w:tcBorders>
              <w:top w:val="nil"/>
              <w:left w:val="nil"/>
              <w:bottom w:val="nil"/>
              <w:right w:val="single" w:sz="4" w:space="0" w:color="auto"/>
            </w:tcBorders>
            <w:shd w:val="clear" w:color="auto" w:fill="auto"/>
            <w:noWrap/>
            <w:vAlign w:val="bottom"/>
            <w:hideMark/>
          </w:tcPr>
          <w:p>
            <w:pPr>
              <w:jc w:val="right"/>
              <w:rPr>
                <w:noProof/>
                <w:color w:val="000000"/>
                <w:sz w:val="20"/>
                <w:szCs w:val="20"/>
              </w:rPr>
            </w:pPr>
            <w:r>
              <w:rPr>
                <w:noProof/>
                <w:color w:val="000000"/>
                <w:sz w:val="20"/>
                <w:szCs w:val="20"/>
              </w:rPr>
              <w:t>59 850 000</w:t>
            </w:r>
          </w:p>
        </w:tc>
      </w:tr>
      <w:tr>
        <w:trPr>
          <w:trHeight w:val="227"/>
          <w:jc w:val="center"/>
        </w:trPr>
        <w:tc>
          <w:tcPr>
            <w:tcW w:w="1416" w:type="dxa"/>
            <w:tcBorders>
              <w:top w:val="nil"/>
              <w:left w:val="single" w:sz="4" w:space="0" w:color="auto"/>
              <w:bottom w:val="nil"/>
              <w:right w:val="single" w:sz="4" w:space="0" w:color="auto"/>
            </w:tcBorders>
            <w:shd w:val="clear" w:color="auto" w:fill="auto"/>
            <w:noWrap/>
            <w:vAlign w:val="bottom"/>
            <w:hideMark/>
          </w:tcPr>
          <w:p>
            <w:pPr>
              <w:jc w:val="center"/>
              <w:rPr>
                <w:noProof/>
                <w:color w:val="000000"/>
                <w:sz w:val="20"/>
                <w:szCs w:val="20"/>
              </w:rPr>
            </w:pPr>
            <w:r>
              <w:rPr>
                <w:noProof/>
                <w:color w:val="000000"/>
                <w:sz w:val="20"/>
                <w:szCs w:val="20"/>
              </w:rPr>
              <w:t>39092</w:t>
            </w:r>
          </w:p>
        </w:tc>
        <w:tc>
          <w:tcPr>
            <w:tcW w:w="3669" w:type="dxa"/>
            <w:tcBorders>
              <w:top w:val="nil"/>
              <w:left w:val="nil"/>
              <w:bottom w:val="nil"/>
              <w:right w:val="single" w:sz="4" w:space="0" w:color="auto"/>
            </w:tcBorders>
            <w:shd w:val="clear" w:color="auto" w:fill="auto"/>
            <w:noWrap/>
            <w:vAlign w:val="bottom"/>
            <w:hideMark/>
          </w:tcPr>
          <w:p>
            <w:pPr>
              <w:rPr>
                <w:noProof/>
                <w:color w:val="000000"/>
                <w:sz w:val="20"/>
                <w:szCs w:val="20"/>
              </w:rPr>
            </w:pPr>
            <w:r>
              <w:rPr>
                <w:noProof/>
                <w:color w:val="000000"/>
                <w:sz w:val="20"/>
                <w:szCs w:val="20"/>
              </w:rPr>
              <w:t>Bathroom fittings &amp; fixtures</w:t>
            </w:r>
          </w:p>
        </w:tc>
        <w:tc>
          <w:tcPr>
            <w:tcW w:w="1309" w:type="dxa"/>
            <w:tcBorders>
              <w:top w:val="nil"/>
              <w:left w:val="nil"/>
              <w:bottom w:val="nil"/>
              <w:right w:val="single" w:sz="4" w:space="0" w:color="auto"/>
            </w:tcBorders>
            <w:shd w:val="clear" w:color="auto" w:fill="auto"/>
            <w:noWrap/>
            <w:vAlign w:val="bottom"/>
            <w:hideMark/>
          </w:tcPr>
          <w:p>
            <w:pPr>
              <w:rPr>
                <w:noProof/>
                <w:color w:val="000000"/>
                <w:sz w:val="20"/>
                <w:szCs w:val="20"/>
              </w:rPr>
            </w:pPr>
            <w:r>
              <w:rPr>
                <w:noProof/>
                <w:color w:val="000000"/>
                <w:sz w:val="20"/>
                <w:szCs w:val="20"/>
              </w:rPr>
              <w:t>Cartel</w:t>
            </w:r>
          </w:p>
        </w:tc>
        <w:tc>
          <w:tcPr>
            <w:tcW w:w="1389" w:type="dxa"/>
            <w:tcBorders>
              <w:top w:val="nil"/>
              <w:left w:val="nil"/>
              <w:bottom w:val="nil"/>
              <w:right w:val="single" w:sz="4" w:space="0" w:color="auto"/>
            </w:tcBorders>
            <w:shd w:val="clear" w:color="auto" w:fill="auto"/>
            <w:noWrap/>
            <w:vAlign w:val="bottom"/>
            <w:hideMark/>
          </w:tcPr>
          <w:p>
            <w:pPr>
              <w:jc w:val="right"/>
              <w:rPr>
                <w:noProof/>
                <w:color w:val="000000"/>
                <w:sz w:val="20"/>
                <w:szCs w:val="20"/>
              </w:rPr>
            </w:pPr>
            <w:r>
              <w:rPr>
                <w:noProof/>
                <w:color w:val="000000"/>
                <w:sz w:val="20"/>
                <w:szCs w:val="20"/>
              </w:rPr>
              <w:t>139 191 989</w:t>
            </w:r>
          </w:p>
        </w:tc>
      </w:tr>
      <w:tr>
        <w:trPr>
          <w:trHeight w:val="227"/>
          <w:jc w:val="center"/>
        </w:trPr>
        <w:tc>
          <w:tcPr>
            <w:tcW w:w="1416" w:type="dxa"/>
            <w:tcBorders>
              <w:top w:val="nil"/>
              <w:left w:val="single" w:sz="4" w:space="0" w:color="auto"/>
              <w:bottom w:val="nil"/>
              <w:right w:val="single" w:sz="4" w:space="0" w:color="auto"/>
            </w:tcBorders>
            <w:shd w:val="clear" w:color="auto" w:fill="auto"/>
            <w:noWrap/>
            <w:vAlign w:val="bottom"/>
            <w:hideMark/>
          </w:tcPr>
          <w:p>
            <w:pPr>
              <w:jc w:val="center"/>
              <w:rPr>
                <w:noProof/>
                <w:color w:val="000000"/>
                <w:sz w:val="20"/>
                <w:szCs w:val="20"/>
              </w:rPr>
            </w:pPr>
            <w:r>
              <w:rPr>
                <w:noProof/>
                <w:color w:val="000000"/>
                <w:sz w:val="20"/>
                <w:szCs w:val="20"/>
              </w:rPr>
              <w:t>39181</w:t>
            </w:r>
          </w:p>
        </w:tc>
        <w:tc>
          <w:tcPr>
            <w:tcW w:w="3669" w:type="dxa"/>
            <w:tcBorders>
              <w:top w:val="nil"/>
              <w:left w:val="nil"/>
              <w:bottom w:val="nil"/>
              <w:right w:val="single" w:sz="4" w:space="0" w:color="auto"/>
            </w:tcBorders>
            <w:shd w:val="clear" w:color="auto" w:fill="auto"/>
            <w:noWrap/>
            <w:vAlign w:val="bottom"/>
            <w:hideMark/>
          </w:tcPr>
          <w:p>
            <w:pPr>
              <w:rPr>
                <w:noProof/>
                <w:color w:val="000000"/>
                <w:sz w:val="20"/>
                <w:szCs w:val="20"/>
              </w:rPr>
            </w:pPr>
            <w:r>
              <w:rPr>
                <w:noProof/>
                <w:color w:val="000000"/>
                <w:sz w:val="20"/>
                <w:szCs w:val="20"/>
              </w:rPr>
              <w:t>Candle waxes</w:t>
            </w:r>
          </w:p>
        </w:tc>
        <w:tc>
          <w:tcPr>
            <w:tcW w:w="1309" w:type="dxa"/>
            <w:tcBorders>
              <w:top w:val="nil"/>
              <w:left w:val="nil"/>
              <w:bottom w:val="nil"/>
              <w:right w:val="single" w:sz="4" w:space="0" w:color="auto"/>
            </w:tcBorders>
            <w:shd w:val="clear" w:color="auto" w:fill="auto"/>
            <w:noWrap/>
            <w:vAlign w:val="bottom"/>
            <w:hideMark/>
          </w:tcPr>
          <w:p>
            <w:pPr>
              <w:rPr>
                <w:noProof/>
                <w:color w:val="000000"/>
                <w:sz w:val="20"/>
                <w:szCs w:val="20"/>
              </w:rPr>
            </w:pPr>
            <w:r>
              <w:rPr>
                <w:noProof/>
                <w:color w:val="000000"/>
                <w:sz w:val="20"/>
                <w:szCs w:val="20"/>
              </w:rPr>
              <w:t>Cartel</w:t>
            </w:r>
          </w:p>
        </w:tc>
        <w:tc>
          <w:tcPr>
            <w:tcW w:w="1389" w:type="dxa"/>
            <w:tcBorders>
              <w:top w:val="nil"/>
              <w:left w:val="nil"/>
              <w:bottom w:val="nil"/>
              <w:right w:val="single" w:sz="4" w:space="0" w:color="auto"/>
            </w:tcBorders>
            <w:shd w:val="clear" w:color="auto" w:fill="auto"/>
            <w:noWrap/>
            <w:vAlign w:val="bottom"/>
            <w:hideMark/>
          </w:tcPr>
          <w:p>
            <w:pPr>
              <w:jc w:val="right"/>
              <w:rPr>
                <w:noProof/>
                <w:color w:val="000000"/>
                <w:sz w:val="20"/>
                <w:szCs w:val="20"/>
              </w:rPr>
            </w:pPr>
            <w:r>
              <w:rPr>
                <w:noProof/>
                <w:color w:val="000000"/>
                <w:sz w:val="20"/>
                <w:szCs w:val="20"/>
              </w:rPr>
              <w:t>36 000 000</w:t>
            </w:r>
          </w:p>
        </w:tc>
      </w:tr>
      <w:tr>
        <w:trPr>
          <w:trHeight w:val="227"/>
          <w:jc w:val="center"/>
        </w:trPr>
        <w:tc>
          <w:tcPr>
            <w:tcW w:w="1416" w:type="dxa"/>
            <w:tcBorders>
              <w:top w:val="nil"/>
              <w:left w:val="single" w:sz="4" w:space="0" w:color="auto"/>
              <w:bottom w:val="nil"/>
              <w:right w:val="single" w:sz="4" w:space="0" w:color="auto"/>
            </w:tcBorders>
            <w:shd w:val="clear" w:color="auto" w:fill="auto"/>
            <w:noWrap/>
            <w:vAlign w:val="bottom"/>
            <w:hideMark/>
          </w:tcPr>
          <w:p>
            <w:pPr>
              <w:jc w:val="center"/>
              <w:rPr>
                <w:noProof/>
                <w:color w:val="000000"/>
                <w:sz w:val="20"/>
                <w:szCs w:val="20"/>
              </w:rPr>
            </w:pPr>
            <w:r>
              <w:rPr>
                <w:noProof/>
                <w:color w:val="000000"/>
                <w:sz w:val="20"/>
                <w:szCs w:val="20"/>
              </w:rPr>
              <w:t>39437</w:t>
            </w:r>
          </w:p>
        </w:tc>
        <w:tc>
          <w:tcPr>
            <w:tcW w:w="3669" w:type="dxa"/>
            <w:tcBorders>
              <w:top w:val="nil"/>
              <w:left w:val="nil"/>
              <w:bottom w:val="nil"/>
              <w:right w:val="single" w:sz="4" w:space="0" w:color="auto"/>
            </w:tcBorders>
            <w:shd w:val="clear" w:color="auto" w:fill="auto"/>
            <w:noWrap/>
            <w:vAlign w:val="bottom"/>
            <w:hideMark/>
          </w:tcPr>
          <w:p>
            <w:pPr>
              <w:rPr>
                <w:noProof/>
                <w:color w:val="000000"/>
                <w:sz w:val="20"/>
                <w:szCs w:val="20"/>
              </w:rPr>
            </w:pPr>
            <w:r>
              <w:rPr>
                <w:noProof/>
                <w:color w:val="000000"/>
                <w:sz w:val="20"/>
                <w:szCs w:val="20"/>
              </w:rPr>
              <w:t>TV and computer monitor tubes</w:t>
            </w:r>
          </w:p>
        </w:tc>
        <w:tc>
          <w:tcPr>
            <w:tcW w:w="1309" w:type="dxa"/>
            <w:tcBorders>
              <w:top w:val="nil"/>
              <w:left w:val="nil"/>
              <w:bottom w:val="nil"/>
              <w:right w:val="single" w:sz="4" w:space="0" w:color="auto"/>
            </w:tcBorders>
            <w:shd w:val="clear" w:color="auto" w:fill="auto"/>
            <w:noWrap/>
            <w:vAlign w:val="bottom"/>
            <w:hideMark/>
          </w:tcPr>
          <w:p>
            <w:pPr>
              <w:rPr>
                <w:noProof/>
                <w:color w:val="000000"/>
                <w:sz w:val="20"/>
                <w:szCs w:val="20"/>
              </w:rPr>
            </w:pPr>
            <w:r>
              <w:rPr>
                <w:noProof/>
                <w:color w:val="000000"/>
                <w:sz w:val="20"/>
                <w:szCs w:val="20"/>
              </w:rPr>
              <w:t>Cartel</w:t>
            </w:r>
          </w:p>
        </w:tc>
        <w:tc>
          <w:tcPr>
            <w:tcW w:w="1389" w:type="dxa"/>
            <w:tcBorders>
              <w:top w:val="nil"/>
              <w:left w:val="nil"/>
              <w:bottom w:val="nil"/>
              <w:right w:val="single" w:sz="4" w:space="0" w:color="auto"/>
            </w:tcBorders>
            <w:shd w:val="clear" w:color="auto" w:fill="auto"/>
            <w:noWrap/>
            <w:vAlign w:val="bottom"/>
            <w:hideMark/>
          </w:tcPr>
          <w:p>
            <w:pPr>
              <w:jc w:val="right"/>
              <w:rPr>
                <w:noProof/>
                <w:color w:val="000000"/>
                <w:sz w:val="20"/>
                <w:szCs w:val="20"/>
              </w:rPr>
            </w:pPr>
            <w:r>
              <w:rPr>
                <w:noProof/>
                <w:color w:val="000000"/>
                <w:sz w:val="20"/>
                <w:szCs w:val="20"/>
              </w:rPr>
              <w:t>1 242 091 000</w:t>
            </w:r>
          </w:p>
        </w:tc>
      </w:tr>
      <w:tr>
        <w:trPr>
          <w:trHeight w:val="227"/>
          <w:jc w:val="center"/>
        </w:trPr>
        <w:tc>
          <w:tcPr>
            <w:tcW w:w="1416" w:type="dxa"/>
            <w:tcBorders>
              <w:top w:val="nil"/>
              <w:left w:val="single" w:sz="4" w:space="0" w:color="auto"/>
              <w:bottom w:val="nil"/>
              <w:right w:val="single" w:sz="4" w:space="0" w:color="auto"/>
            </w:tcBorders>
            <w:shd w:val="clear" w:color="auto" w:fill="auto"/>
            <w:noWrap/>
            <w:vAlign w:val="bottom"/>
            <w:hideMark/>
          </w:tcPr>
          <w:p>
            <w:pPr>
              <w:jc w:val="center"/>
              <w:rPr>
                <w:noProof/>
                <w:color w:val="000000"/>
                <w:sz w:val="20"/>
                <w:szCs w:val="20"/>
              </w:rPr>
            </w:pPr>
            <w:r>
              <w:rPr>
                <w:noProof/>
                <w:color w:val="000000"/>
                <w:sz w:val="20"/>
                <w:szCs w:val="20"/>
              </w:rPr>
              <w:t>39759</w:t>
            </w:r>
          </w:p>
        </w:tc>
        <w:tc>
          <w:tcPr>
            <w:tcW w:w="3669" w:type="dxa"/>
            <w:tcBorders>
              <w:top w:val="nil"/>
              <w:left w:val="nil"/>
              <w:bottom w:val="nil"/>
              <w:right w:val="single" w:sz="4" w:space="0" w:color="auto"/>
            </w:tcBorders>
            <w:shd w:val="clear" w:color="auto" w:fill="auto"/>
            <w:noWrap/>
            <w:vAlign w:val="bottom"/>
            <w:hideMark/>
          </w:tcPr>
          <w:p>
            <w:pPr>
              <w:rPr>
                <w:noProof/>
                <w:color w:val="000000"/>
                <w:sz w:val="20"/>
                <w:szCs w:val="20"/>
              </w:rPr>
            </w:pPr>
            <w:r>
              <w:rPr>
                <w:noProof/>
                <w:color w:val="000000"/>
                <w:sz w:val="20"/>
                <w:szCs w:val="20"/>
              </w:rPr>
              <w:t>ARA foreclosure</w:t>
            </w:r>
          </w:p>
        </w:tc>
        <w:tc>
          <w:tcPr>
            <w:tcW w:w="1309" w:type="dxa"/>
            <w:tcBorders>
              <w:top w:val="nil"/>
              <w:left w:val="nil"/>
              <w:bottom w:val="nil"/>
              <w:right w:val="single" w:sz="4" w:space="0" w:color="auto"/>
            </w:tcBorders>
            <w:shd w:val="clear" w:color="auto" w:fill="auto"/>
            <w:noWrap/>
            <w:vAlign w:val="bottom"/>
            <w:hideMark/>
          </w:tcPr>
          <w:p>
            <w:pPr>
              <w:rPr>
                <w:noProof/>
                <w:color w:val="000000"/>
                <w:sz w:val="20"/>
                <w:szCs w:val="20"/>
              </w:rPr>
            </w:pPr>
            <w:r>
              <w:rPr>
                <w:noProof/>
                <w:color w:val="000000"/>
                <w:sz w:val="20"/>
                <w:szCs w:val="20"/>
              </w:rPr>
              <w:t>Antitrust</w:t>
            </w:r>
          </w:p>
        </w:tc>
        <w:tc>
          <w:tcPr>
            <w:tcW w:w="1389" w:type="dxa"/>
            <w:tcBorders>
              <w:top w:val="nil"/>
              <w:left w:val="nil"/>
              <w:bottom w:val="nil"/>
              <w:right w:val="single" w:sz="4" w:space="0" w:color="auto"/>
            </w:tcBorders>
            <w:shd w:val="clear" w:color="auto" w:fill="auto"/>
            <w:noWrap/>
            <w:vAlign w:val="bottom"/>
            <w:hideMark/>
          </w:tcPr>
          <w:p>
            <w:pPr>
              <w:jc w:val="right"/>
              <w:rPr>
                <w:noProof/>
                <w:color w:val="000000"/>
                <w:sz w:val="20"/>
                <w:szCs w:val="20"/>
              </w:rPr>
            </w:pPr>
            <w:r>
              <w:rPr>
                <w:noProof/>
                <w:color w:val="000000"/>
                <w:sz w:val="20"/>
                <w:szCs w:val="20"/>
              </w:rPr>
              <w:t>6 015 000</w:t>
            </w:r>
          </w:p>
        </w:tc>
      </w:tr>
      <w:tr>
        <w:trPr>
          <w:trHeight w:val="227"/>
          <w:jc w:val="center"/>
        </w:trPr>
        <w:tc>
          <w:tcPr>
            <w:tcW w:w="1416" w:type="dxa"/>
            <w:tcBorders>
              <w:top w:val="nil"/>
              <w:left w:val="single" w:sz="4" w:space="0" w:color="auto"/>
              <w:bottom w:val="nil"/>
              <w:right w:val="single" w:sz="4" w:space="0" w:color="auto"/>
            </w:tcBorders>
            <w:shd w:val="clear" w:color="auto" w:fill="auto"/>
            <w:noWrap/>
            <w:vAlign w:val="bottom"/>
            <w:hideMark/>
          </w:tcPr>
          <w:p>
            <w:pPr>
              <w:jc w:val="center"/>
              <w:rPr>
                <w:noProof/>
                <w:color w:val="000000"/>
                <w:sz w:val="20"/>
                <w:szCs w:val="20"/>
              </w:rPr>
            </w:pPr>
            <w:r>
              <w:rPr>
                <w:noProof/>
                <w:color w:val="000000"/>
                <w:sz w:val="20"/>
                <w:szCs w:val="20"/>
              </w:rPr>
              <w:t>39824</w:t>
            </w:r>
          </w:p>
        </w:tc>
        <w:tc>
          <w:tcPr>
            <w:tcW w:w="3669" w:type="dxa"/>
            <w:tcBorders>
              <w:top w:val="nil"/>
              <w:left w:val="nil"/>
              <w:bottom w:val="nil"/>
              <w:right w:val="single" w:sz="4" w:space="0" w:color="auto"/>
            </w:tcBorders>
            <w:shd w:val="clear" w:color="auto" w:fill="auto"/>
            <w:noWrap/>
            <w:vAlign w:val="bottom"/>
            <w:hideMark/>
          </w:tcPr>
          <w:p>
            <w:pPr>
              <w:rPr>
                <w:noProof/>
                <w:color w:val="000000"/>
                <w:sz w:val="20"/>
                <w:szCs w:val="20"/>
              </w:rPr>
            </w:pPr>
            <w:r>
              <w:rPr>
                <w:noProof/>
                <w:color w:val="000000"/>
                <w:sz w:val="20"/>
                <w:szCs w:val="20"/>
              </w:rPr>
              <w:t>Trucks</w:t>
            </w:r>
          </w:p>
        </w:tc>
        <w:tc>
          <w:tcPr>
            <w:tcW w:w="1309" w:type="dxa"/>
            <w:tcBorders>
              <w:top w:val="nil"/>
              <w:left w:val="nil"/>
              <w:bottom w:val="nil"/>
              <w:right w:val="single" w:sz="4" w:space="0" w:color="auto"/>
            </w:tcBorders>
            <w:shd w:val="clear" w:color="auto" w:fill="auto"/>
            <w:noWrap/>
            <w:vAlign w:val="bottom"/>
            <w:hideMark/>
          </w:tcPr>
          <w:p>
            <w:pPr>
              <w:rPr>
                <w:noProof/>
                <w:color w:val="000000"/>
                <w:sz w:val="20"/>
                <w:szCs w:val="20"/>
              </w:rPr>
            </w:pPr>
            <w:r>
              <w:rPr>
                <w:noProof/>
                <w:color w:val="000000"/>
                <w:sz w:val="20"/>
                <w:szCs w:val="20"/>
              </w:rPr>
              <w:t>Cartel</w:t>
            </w:r>
          </w:p>
        </w:tc>
        <w:tc>
          <w:tcPr>
            <w:tcW w:w="1389" w:type="dxa"/>
            <w:tcBorders>
              <w:top w:val="nil"/>
              <w:left w:val="nil"/>
              <w:bottom w:val="nil"/>
              <w:right w:val="single" w:sz="4" w:space="0" w:color="auto"/>
            </w:tcBorders>
            <w:shd w:val="clear" w:color="auto" w:fill="auto"/>
            <w:noWrap/>
            <w:vAlign w:val="bottom"/>
            <w:hideMark/>
          </w:tcPr>
          <w:p>
            <w:pPr>
              <w:jc w:val="right"/>
              <w:rPr>
                <w:noProof/>
                <w:color w:val="000000"/>
                <w:sz w:val="20"/>
                <w:szCs w:val="20"/>
              </w:rPr>
            </w:pPr>
            <w:r>
              <w:rPr>
                <w:noProof/>
                <w:color w:val="000000"/>
                <w:sz w:val="20"/>
                <w:szCs w:val="20"/>
              </w:rPr>
              <w:t>1 165 054 000</w:t>
            </w:r>
          </w:p>
        </w:tc>
      </w:tr>
      <w:tr>
        <w:trPr>
          <w:trHeight w:val="227"/>
          <w:jc w:val="center"/>
        </w:trPr>
        <w:tc>
          <w:tcPr>
            <w:tcW w:w="1416" w:type="dxa"/>
            <w:tcBorders>
              <w:top w:val="nil"/>
              <w:left w:val="single" w:sz="4" w:space="0" w:color="auto"/>
              <w:bottom w:val="nil"/>
              <w:right w:val="single" w:sz="4" w:space="0" w:color="auto"/>
            </w:tcBorders>
            <w:shd w:val="clear" w:color="auto" w:fill="auto"/>
            <w:noWrap/>
            <w:vAlign w:val="bottom"/>
            <w:hideMark/>
          </w:tcPr>
          <w:p>
            <w:pPr>
              <w:jc w:val="center"/>
              <w:rPr>
                <w:noProof/>
                <w:color w:val="000000"/>
                <w:sz w:val="20"/>
                <w:szCs w:val="20"/>
              </w:rPr>
            </w:pPr>
            <w:r>
              <w:rPr>
                <w:noProof/>
                <w:color w:val="000000"/>
                <w:sz w:val="20"/>
                <w:szCs w:val="20"/>
              </w:rPr>
              <w:t>39904</w:t>
            </w:r>
          </w:p>
        </w:tc>
        <w:tc>
          <w:tcPr>
            <w:tcW w:w="3669" w:type="dxa"/>
            <w:tcBorders>
              <w:top w:val="nil"/>
              <w:left w:val="nil"/>
              <w:bottom w:val="nil"/>
              <w:right w:val="single" w:sz="4" w:space="0" w:color="auto"/>
            </w:tcBorders>
            <w:shd w:val="clear" w:color="auto" w:fill="auto"/>
            <w:noWrap/>
            <w:vAlign w:val="bottom"/>
            <w:hideMark/>
          </w:tcPr>
          <w:p>
            <w:pPr>
              <w:rPr>
                <w:noProof/>
                <w:color w:val="000000"/>
                <w:sz w:val="20"/>
                <w:szCs w:val="20"/>
              </w:rPr>
            </w:pPr>
            <w:r>
              <w:rPr>
                <w:noProof/>
                <w:color w:val="000000"/>
                <w:sz w:val="20"/>
                <w:szCs w:val="20"/>
              </w:rPr>
              <w:t>Rechargeable batteries</w:t>
            </w:r>
          </w:p>
        </w:tc>
        <w:tc>
          <w:tcPr>
            <w:tcW w:w="1309" w:type="dxa"/>
            <w:tcBorders>
              <w:top w:val="nil"/>
              <w:left w:val="nil"/>
              <w:bottom w:val="nil"/>
              <w:right w:val="single" w:sz="4" w:space="0" w:color="auto"/>
            </w:tcBorders>
            <w:shd w:val="clear" w:color="auto" w:fill="auto"/>
            <w:noWrap/>
            <w:vAlign w:val="bottom"/>
            <w:hideMark/>
          </w:tcPr>
          <w:p>
            <w:pPr>
              <w:rPr>
                <w:noProof/>
                <w:color w:val="000000"/>
                <w:sz w:val="20"/>
                <w:szCs w:val="20"/>
              </w:rPr>
            </w:pPr>
            <w:r>
              <w:rPr>
                <w:noProof/>
                <w:color w:val="000000"/>
                <w:sz w:val="20"/>
                <w:szCs w:val="20"/>
              </w:rPr>
              <w:t>Cartel</w:t>
            </w:r>
          </w:p>
        </w:tc>
        <w:tc>
          <w:tcPr>
            <w:tcW w:w="1389" w:type="dxa"/>
            <w:tcBorders>
              <w:top w:val="nil"/>
              <w:left w:val="nil"/>
              <w:bottom w:val="nil"/>
              <w:right w:val="single" w:sz="4" w:space="0" w:color="auto"/>
            </w:tcBorders>
            <w:shd w:val="clear" w:color="auto" w:fill="auto"/>
            <w:noWrap/>
            <w:vAlign w:val="bottom"/>
            <w:hideMark/>
          </w:tcPr>
          <w:p>
            <w:pPr>
              <w:jc w:val="right"/>
              <w:rPr>
                <w:noProof/>
                <w:color w:val="000000"/>
                <w:sz w:val="20"/>
                <w:szCs w:val="20"/>
              </w:rPr>
            </w:pPr>
            <w:r>
              <w:rPr>
                <w:noProof/>
                <w:color w:val="000000"/>
                <w:sz w:val="20"/>
                <w:szCs w:val="20"/>
              </w:rPr>
              <w:t>165 841 000</w:t>
            </w:r>
          </w:p>
        </w:tc>
      </w:tr>
      <w:tr>
        <w:trPr>
          <w:trHeight w:val="227"/>
          <w:jc w:val="center"/>
        </w:trPr>
        <w:tc>
          <w:tcPr>
            <w:tcW w:w="1416" w:type="dxa"/>
            <w:tcBorders>
              <w:top w:val="nil"/>
              <w:left w:val="single" w:sz="4" w:space="0" w:color="auto"/>
              <w:bottom w:val="nil"/>
              <w:right w:val="single" w:sz="4" w:space="0" w:color="auto"/>
            </w:tcBorders>
            <w:shd w:val="clear" w:color="auto" w:fill="auto"/>
            <w:noWrap/>
            <w:vAlign w:val="bottom"/>
            <w:hideMark/>
          </w:tcPr>
          <w:p>
            <w:pPr>
              <w:jc w:val="center"/>
              <w:rPr>
                <w:noProof/>
                <w:color w:val="000000"/>
                <w:sz w:val="20"/>
                <w:szCs w:val="20"/>
              </w:rPr>
            </w:pPr>
            <w:r>
              <w:rPr>
                <w:noProof/>
                <w:color w:val="000000"/>
                <w:sz w:val="20"/>
                <w:szCs w:val="20"/>
              </w:rPr>
              <w:t>39960</w:t>
            </w:r>
          </w:p>
        </w:tc>
        <w:tc>
          <w:tcPr>
            <w:tcW w:w="3669" w:type="dxa"/>
            <w:tcBorders>
              <w:top w:val="nil"/>
              <w:left w:val="nil"/>
              <w:bottom w:val="nil"/>
              <w:right w:val="single" w:sz="4" w:space="0" w:color="auto"/>
            </w:tcBorders>
            <w:shd w:val="clear" w:color="auto" w:fill="auto"/>
            <w:noWrap/>
            <w:vAlign w:val="bottom"/>
            <w:hideMark/>
          </w:tcPr>
          <w:p>
            <w:pPr>
              <w:rPr>
                <w:noProof/>
                <w:color w:val="000000"/>
                <w:sz w:val="20"/>
                <w:szCs w:val="20"/>
              </w:rPr>
            </w:pPr>
            <w:r>
              <w:rPr>
                <w:noProof/>
                <w:color w:val="000000"/>
                <w:sz w:val="20"/>
                <w:szCs w:val="20"/>
              </w:rPr>
              <w:t>Thermal systems</w:t>
            </w:r>
          </w:p>
        </w:tc>
        <w:tc>
          <w:tcPr>
            <w:tcW w:w="1309" w:type="dxa"/>
            <w:tcBorders>
              <w:top w:val="nil"/>
              <w:left w:val="nil"/>
              <w:bottom w:val="nil"/>
              <w:right w:val="single" w:sz="4" w:space="0" w:color="auto"/>
            </w:tcBorders>
            <w:shd w:val="clear" w:color="auto" w:fill="auto"/>
            <w:noWrap/>
            <w:vAlign w:val="bottom"/>
            <w:hideMark/>
          </w:tcPr>
          <w:p>
            <w:pPr>
              <w:rPr>
                <w:noProof/>
                <w:color w:val="000000"/>
                <w:sz w:val="20"/>
                <w:szCs w:val="20"/>
              </w:rPr>
            </w:pPr>
            <w:r>
              <w:rPr>
                <w:noProof/>
                <w:color w:val="000000"/>
                <w:sz w:val="20"/>
                <w:szCs w:val="20"/>
              </w:rPr>
              <w:t>Cartel</w:t>
            </w:r>
          </w:p>
        </w:tc>
        <w:tc>
          <w:tcPr>
            <w:tcW w:w="1389" w:type="dxa"/>
            <w:tcBorders>
              <w:top w:val="nil"/>
              <w:left w:val="nil"/>
              <w:bottom w:val="nil"/>
              <w:right w:val="single" w:sz="4" w:space="0" w:color="auto"/>
            </w:tcBorders>
            <w:shd w:val="clear" w:color="auto" w:fill="auto"/>
            <w:noWrap/>
            <w:vAlign w:val="bottom"/>
            <w:hideMark/>
          </w:tcPr>
          <w:p>
            <w:pPr>
              <w:jc w:val="right"/>
              <w:rPr>
                <w:noProof/>
                <w:color w:val="000000"/>
                <w:sz w:val="20"/>
                <w:szCs w:val="20"/>
              </w:rPr>
            </w:pPr>
            <w:r>
              <w:rPr>
                <w:noProof/>
                <w:color w:val="000000"/>
                <w:sz w:val="20"/>
                <w:szCs w:val="20"/>
              </w:rPr>
              <w:t>155 575 000</w:t>
            </w:r>
          </w:p>
        </w:tc>
      </w:tr>
      <w:tr>
        <w:trPr>
          <w:trHeight w:val="227"/>
          <w:jc w:val="center"/>
        </w:trPr>
        <w:tc>
          <w:tcPr>
            <w:tcW w:w="1416" w:type="dxa"/>
            <w:tcBorders>
              <w:top w:val="nil"/>
              <w:left w:val="single" w:sz="4" w:space="0" w:color="auto"/>
              <w:bottom w:val="nil"/>
              <w:right w:val="single" w:sz="4" w:space="0" w:color="auto"/>
            </w:tcBorders>
            <w:shd w:val="clear" w:color="auto" w:fill="auto"/>
            <w:noWrap/>
            <w:vAlign w:val="bottom"/>
            <w:hideMark/>
          </w:tcPr>
          <w:p>
            <w:pPr>
              <w:jc w:val="center"/>
              <w:rPr>
                <w:noProof/>
                <w:color w:val="000000"/>
                <w:sz w:val="20"/>
                <w:szCs w:val="20"/>
              </w:rPr>
            </w:pPr>
            <w:r>
              <w:rPr>
                <w:noProof/>
                <w:color w:val="000000"/>
                <w:sz w:val="20"/>
                <w:szCs w:val="20"/>
              </w:rPr>
              <w:t>39966</w:t>
            </w:r>
          </w:p>
        </w:tc>
        <w:tc>
          <w:tcPr>
            <w:tcW w:w="3669" w:type="dxa"/>
            <w:tcBorders>
              <w:top w:val="nil"/>
              <w:left w:val="nil"/>
              <w:bottom w:val="nil"/>
              <w:right w:val="single" w:sz="4" w:space="0" w:color="auto"/>
            </w:tcBorders>
            <w:shd w:val="clear" w:color="auto" w:fill="auto"/>
            <w:noWrap/>
            <w:vAlign w:val="bottom"/>
            <w:hideMark/>
          </w:tcPr>
          <w:p>
            <w:pPr>
              <w:rPr>
                <w:noProof/>
                <w:color w:val="000000"/>
                <w:sz w:val="20"/>
                <w:szCs w:val="20"/>
              </w:rPr>
            </w:pPr>
            <w:r>
              <w:rPr>
                <w:noProof/>
                <w:color w:val="000000"/>
                <w:sz w:val="20"/>
                <w:szCs w:val="20"/>
              </w:rPr>
              <w:t>Gas Insulated Switchgear re-adoption</w:t>
            </w:r>
          </w:p>
        </w:tc>
        <w:tc>
          <w:tcPr>
            <w:tcW w:w="1309" w:type="dxa"/>
            <w:tcBorders>
              <w:top w:val="nil"/>
              <w:left w:val="nil"/>
              <w:bottom w:val="nil"/>
              <w:right w:val="single" w:sz="4" w:space="0" w:color="auto"/>
            </w:tcBorders>
            <w:shd w:val="clear" w:color="auto" w:fill="auto"/>
            <w:noWrap/>
            <w:vAlign w:val="bottom"/>
            <w:hideMark/>
          </w:tcPr>
          <w:p>
            <w:pPr>
              <w:rPr>
                <w:noProof/>
                <w:color w:val="000000"/>
                <w:sz w:val="20"/>
                <w:szCs w:val="20"/>
              </w:rPr>
            </w:pPr>
            <w:r>
              <w:rPr>
                <w:noProof/>
                <w:color w:val="000000"/>
                <w:sz w:val="20"/>
                <w:szCs w:val="20"/>
              </w:rPr>
              <w:t>Cartel</w:t>
            </w:r>
          </w:p>
        </w:tc>
        <w:tc>
          <w:tcPr>
            <w:tcW w:w="1389" w:type="dxa"/>
            <w:tcBorders>
              <w:top w:val="nil"/>
              <w:left w:val="nil"/>
              <w:bottom w:val="nil"/>
              <w:right w:val="single" w:sz="4" w:space="0" w:color="auto"/>
            </w:tcBorders>
            <w:shd w:val="clear" w:color="auto" w:fill="auto"/>
            <w:noWrap/>
            <w:vAlign w:val="bottom"/>
            <w:hideMark/>
          </w:tcPr>
          <w:p>
            <w:pPr>
              <w:jc w:val="right"/>
              <w:rPr>
                <w:noProof/>
                <w:color w:val="000000"/>
                <w:sz w:val="20"/>
                <w:szCs w:val="20"/>
              </w:rPr>
            </w:pPr>
            <w:r>
              <w:rPr>
                <w:noProof/>
                <w:color w:val="000000"/>
                <w:sz w:val="20"/>
                <w:szCs w:val="20"/>
              </w:rPr>
              <w:t>61 443 000</w:t>
            </w:r>
          </w:p>
        </w:tc>
      </w:tr>
      <w:tr>
        <w:trPr>
          <w:trHeight w:val="227"/>
          <w:jc w:val="center"/>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pPr>
              <w:jc w:val="center"/>
              <w:rPr>
                <w:noProof/>
                <w:color w:val="000000"/>
                <w:sz w:val="20"/>
                <w:szCs w:val="20"/>
              </w:rPr>
            </w:pPr>
            <w:r>
              <w:rPr>
                <w:noProof/>
                <w:color w:val="000000"/>
                <w:sz w:val="20"/>
                <w:szCs w:val="20"/>
              </w:rPr>
              <w:t>40028</w:t>
            </w:r>
          </w:p>
        </w:tc>
        <w:tc>
          <w:tcPr>
            <w:tcW w:w="3669" w:type="dxa"/>
            <w:tcBorders>
              <w:top w:val="nil"/>
              <w:left w:val="nil"/>
              <w:bottom w:val="single" w:sz="4" w:space="0" w:color="auto"/>
              <w:right w:val="single" w:sz="4" w:space="0" w:color="auto"/>
            </w:tcBorders>
            <w:shd w:val="clear" w:color="auto" w:fill="auto"/>
            <w:noWrap/>
            <w:vAlign w:val="bottom"/>
            <w:hideMark/>
          </w:tcPr>
          <w:p>
            <w:pPr>
              <w:rPr>
                <w:noProof/>
                <w:color w:val="000000"/>
                <w:sz w:val="20"/>
                <w:szCs w:val="20"/>
              </w:rPr>
            </w:pPr>
            <w:r>
              <w:rPr>
                <w:noProof/>
                <w:color w:val="000000"/>
                <w:sz w:val="20"/>
                <w:szCs w:val="20"/>
              </w:rPr>
              <w:t>Alternators and Starters</w:t>
            </w:r>
          </w:p>
        </w:tc>
        <w:tc>
          <w:tcPr>
            <w:tcW w:w="1309" w:type="dxa"/>
            <w:tcBorders>
              <w:top w:val="nil"/>
              <w:left w:val="nil"/>
              <w:bottom w:val="single" w:sz="4" w:space="0" w:color="auto"/>
              <w:right w:val="single" w:sz="4" w:space="0" w:color="auto"/>
            </w:tcBorders>
            <w:shd w:val="clear" w:color="auto" w:fill="auto"/>
            <w:noWrap/>
            <w:vAlign w:val="bottom"/>
            <w:hideMark/>
          </w:tcPr>
          <w:p>
            <w:pPr>
              <w:rPr>
                <w:noProof/>
                <w:color w:val="000000"/>
                <w:sz w:val="20"/>
                <w:szCs w:val="20"/>
              </w:rPr>
            </w:pPr>
            <w:r>
              <w:rPr>
                <w:noProof/>
                <w:color w:val="000000"/>
                <w:sz w:val="20"/>
                <w:szCs w:val="20"/>
              </w:rPr>
              <w:t>Cartel</w:t>
            </w:r>
          </w:p>
        </w:tc>
        <w:tc>
          <w:tcPr>
            <w:tcW w:w="1389" w:type="dxa"/>
            <w:tcBorders>
              <w:top w:val="nil"/>
              <w:left w:val="nil"/>
              <w:bottom w:val="single" w:sz="4" w:space="0" w:color="auto"/>
              <w:right w:val="single" w:sz="4" w:space="0" w:color="auto"/>
            </w:tcBorders>
            <w:shd w:val="clear" w:color="auto" w:fill="auto"/>
            <w:noWrap/>
            <w:vAlign w:val="bottom"/>
            <w:hideMark/>
          </w:tcPr>
          <w:p>
            <w:pPr>
              <w:jc w:val="right"/>
              <w:rPr>
                <w:noProof/>
                <w:color w:val="000000"/>
                <w:sz w:val="20"/>
                <w:szCs w:val="20"/>
              </w:rPr>
            </w:pPr>
            <w:r>
              <w:rPr>
                <w:noProof/>
                <w:color w:val="000000"/>
                <w:sz w:val="20"/>
                <w:szCs w:val="20"/>
              </w:rPr>
              <w:t>26 860 000</w:t>
            </w:r>
          </w:p>
        </w:tc>
      </w:tr>
      <w:tr>
        <w:trPr>
          <w:trHeight w:val="227"/>
          <w:jc w:val="center"/>
        </w:trPr>
        <w:tc>
          <w:tcPr>
            <w:tcW w:w="1416" w:type="dxa"/>
            <w:tcBorders>
              <w:top w:val="nil"/>
              <w:left w:val="single" w:sz="4" w:space="0" w:color="auto"/>
              <w:bottom w:val="single" w:sz="4" w:space="0" w:color="auto"/>
              <w:right w:val="nil"/>
            </w:tcBorders>
            <w:shd w:val="clear" w:color="000000" w:fill="D9D9D9"/>
            <w:noWrap/>
            <w:vAlign w:val="center"/>
            <w:hideMark/>
          </w:tcPr>
          <w:p>
            <w:pPr>
              <w:rPr>
                <w:b/>
                <w:bCs/>
                <w:noProof/>
                <w:color w:val="000000"/>
                <w:sz w:val="20"/>
                <w:szCs w:val="20"/>
              </w:rPr>
            </w:pPr>
            <w:r>
              <w:rPr>
                <w:b/>
                <w:bCs/>
                <w:noProof/>
                <w:color w:val="000000"/>
                <w:sz w:val="20"/>
                <w:szCs w:val="20"/>
              </w:rPr>
              <w:t>Total</w:t>
            </w:r>
          </w:p>
        </w:tc>
        <w:tc>
          <w:tcPr>
            <w:tcW w:w="3669" w:type="dxa"/>
            <w:tcBorders>
              <w:top w:val="nil"/>
              <w:left w:val="nil"/>
              <w:bottom w:val="single" w:sz="4" w:space="0" w:color="auto"/>
              <w:right w:val="nil"/>
            </w:tcBorders>
            <w:shd w:val="clear" w:color="000000" w:fill="D9D9D9"/>
            <w:noWrap/>
            <w:vAlign w:val="bottom"/>
            <w:hideMark/>
          </w:tcPr>
          <w:p>
            <w:pPr>
              <w:rPr>
                <w:b/>
                <w:bCs/>
                <w:noProof/>
                <w:color w:val="000000"/>
                <w:sz w:val="20"/>
                <w:szCs w:val="20"/>
              </w:rPr>
            </w:pPr>
            <w:r>
              <w:rPr>
                <w:b/>
                <w:bCs/>
                <w:noProof/>
                <w:color w:val="000000"/>
                <w:sz w:val="20"/>
                <w:szCs w:val="20"/>
              </w:rPr>
              <w:t> </w:t>
            </w:r>
          </w:p>
        </w:tc>
        <w:tc>
          <w:tcPr>
            <w:tcW w:w="1309" w:type="dxa"/>
            <w:tcBorders>
              <w:top w:val="nil"/>
              <w:left w:val="nil"/>
              <w:bottom w:val="single" w:sz="4" w:space="0" w:color="auto"/>
              <w:right w:val="nil"/>
            </w:tcBorders>
            <w:shd w:val="clear" w:color="000000" w:fill="D9D9D9"/>
            <w:noWrap/>
            <w:vAlign w:val="bottom"/>
            <w:hideMark/>
          </w:tcPr>
          <w:p>
            <w:pPr>
              <w:rPr>
                <w:b/>
                <w:bCs/>
                <w:noProof/>
                <w:color w:val="000000"/>
                <w:sz w:val="20"/>
                <w:szCs w:val="20"/>
              </w:rPr>
            </w:pPr>
            <w:r>
              <w:rPr>
                <w:b/>
                <w:bCs/>
                <w:noProof/>
                <w:color w:val="000000"/>
                <w:sz w:val="20"/>
                <w:szCs w:val="20"/>
              </w:rPr>
              <w:t> </w:t>
            </w:r>
          </w:p>
        </w:tc>
        <w:tc>
          <w:tcPr>
            <w:tcW w:w="1389" w:type="dxa"/>
            <w:tcBorders>
              <w:top w:val="nil"/>
              <w:left w:val="nil"/>
              <w:bottom w:val="single" w:sz="4" w:space="0" w:color="auto"/>
              <w:right w:val="single" w:sz="4" w:space="0" w:color="auto"/>
            </w:tcBorders>
            <w:shd w:val="clear" w:color="000000" w:fill="D9D9D9"/>
            <w:noWrap/>
            <w:vAlign w:val="bottom"/>
            <w:hideMark/>
          </w:tcPr>
          <w:p>
            <w:pPr>
              <w:jc w:val="right"/>
              <w:rPr>
                <w:b/>
                <w:bCs/>
                <w:noProof/>
                <w:color w:val="000000"/>
                <w:sz w:val="20"/>
                <w:szCs w:val="20"/>
              </w:rPr>
            </w:pPr>
            <w:r>
              <w:rPr>
                <w:b/>
                <w:bCs/>
                <w:noProof/>
                <w:color w:val="000000"/>
                <w:sz w:val="20"/>
                <w:szCs w:val="20"/>
              </w:rPr>
              <w:t>3 209 694 479</w:t>
            </w:r>
          </w:p>
        </w:tc>
      </w:tr>
    </w:tbl>
    <w:p>
      <w:pPr>
        <w:spacing w:before="120" w:after="120"/>
        <w:jc w:val="both"/>
        <w:rPr>
          <w:noProof/>
        </w:rPr>
      </w:pPr>
    </w:p>
    <w:p>
      <w:pPr>
        <w:pStyle w:val="ManualHeading1"/>
        <w:pageBreakBefore/>
      </w:pPr>
      <w:bookmarkStart w:id="74" w:name="_Toc494994382"/>
      <w:r>
        <w:t>4.</w:t>
      </w:r>
      <w:r>
        <w:tab/>
        <w:t>Summary table by MFF heading</w:t>
      </w:r>
      <w:bookmarkEnd w:id="74"/>
    </w:p>
    <w:tbl>
      <w:tblPr>
        <w:tblW w:w="11020" w:type="dxa"/>
        <w:jc w:val="center"/>
        <w:tblInd w:w="93" w:type="dxa"/>
        <w:tblLook w:val="04A0" w:firstRow="1" w:lastRow="0" w:firstColumn="1" w:lastColumn="0" w:noHBand="0" w:noVBand="1"/>
      </w:tblPr>
      <w:tblGrid>
        <w:gridCol w:w="356"/>
        <w:gridCol w:w="2660"/>
        <w:gridCol w:w="1328"/>
        <w:gridCol w:w="1485"/>
        <w:gridCol w:w="1189"/>
        <w:gridCol w:w="1189"/>
        <w:gridCol w:w="1328"/>
        <w:gridCol w:w="1485"/>
      </w:tblGrid>
      <w:tr>
        <w:trPr>
          <w:trHeight w:val="210"/>
          <w:jc w:val="center"/>
        </w:trPr>
        <w:tc>
          <w:tcPr>
            <w:tcW w:w="2940" w:type="dxa"/>
            <w:gridSpan w:val="2"/>
            <w:vMerge w:val="restart"/>
            <w:tcBorders>
              <w:top w:val="single" w:sz="4" w:space="0" w:color="auto"/>
              <w:left w:val="single" w:sz="4" w:space="0" w:color="auto"/>
              <w:bottom w:val="nil"/>
              <w:right w:val="single" w:sz="4" w:space="0" w:color="000000"/>
            </w:tcBorders>
            <w:shd w:val="clear" w:color="000000" w:fill="D9D9D9"/>
            <w:vAlign w:val="center"/>
            <w:hideMark/>
          </w:tcPr>
          <w:bookmarkEnd w:id="2"/>
          <w:bookmarkEnd w:id="3"/>
          <w:bookmarkEnd w:id="4"/>
          <w:bookmarkEnd w:id="5"/>
          <w:bookmarkEnd w:id="6"/>
          <w:bookmarkEnd w:id="7"/>
          <w:bookmarkEnd w:id="12"/>
          <w:bookmarkEnd w:id="13"/>
          <w:bookmarkEnd w:id="14"/>
          <w:bookmarkEnd w:id="15"/>
          <w:p>
            <w:pPr>
              <w:jc w:val="center"/>
              <w:rPr>
                <w:b/>
                <w:bCs/>
                <w:noProof/>
                <w:color w:val="000000"/>
                <w:sz w:val="14"/>
                <w:szCs w:val="14"/>
              </w:rPr>
            </w:pPr>
            <w:r>
              <w:rPr>
                <w:b/>
                <w:bCs/>
                <w:noProof/>
                <w:color w:val="000000"/>
                <w:sz w:val="14"/>
                <w:szCs w:val="14"/>
              </w:rPr>
              <w:t>Heading</w:t>
            </w:r>
          </w:p>
        </w:tc>
        <w:tc>
          <w:tcPr>
            <w:tcW w:w="2840"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4"/>
                <w:szCs w:val="14"/>
              </w:rPr>
            </w:pPr>
            <w:r>
              <w:rPr>
                <w:b/>
                <w:bCs/>
                <w:noProof/>
                <w:color w:val="000000"/>
                <w:sz w:val="14"/>
                <w:szCs w:val="14"/>
              </w:rPr>
              <w:t>Budget 2017</w:t>
            </w:r>
          </w:p>
        </w:tc>
        <w:tc>
          <w:tcPr>
            <w:tcW w:w="2400"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pPr>
              <w:jc w:val="center"/>
              <w:rPr>
                <w:b/>
                <w:bCs/>
                <w:noProof/>
                <w:color w:val="000000"/>
                <w:sz w:val="14"/>
                <w:szCs w:val="14"/>
              </w:rPr>
            </w:pPr>
            <w:r>
              <w:rPr>
                <w:b/>
                <w:bCs/>
                <w:noProof/>
                <w:color w:val="000000"/>
                <w:sz w:val="14"/>
                <w:szCs w:val="14"/>
              </w:rPr>
              <w:t>Draft Amending Budget 6/2017</w:t>
            </w:r>
          </w:p>
        </w:tc>
        <w:tc>
          <w:tcPr>
            <w:tcW w:w="2840"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4"/>
                <w:szCs w:val="14"/>
              </w:rPr>
            </w:pPr>
            <w:r>
              <w:rPr>
                <w:b/>
                <w:bCs/>
                <w:noProof/>
                <w:color w:val="000000"/>
                <w:sz w:val="14"/>
                <w:szCs w:val="14"/>
              </w:rPr>
              <w:t>Budget 2017</w:t>
            </w:r>
          </w:p>
        </w:tc>
      </w:tr>
      <w:tr>
        <w:trPr>
          <w:trHeight w:val="210"/>
          <w:jc w:val="center"/>
        </w:trPr>
        <w:tc>
          <w:tcPr>
            <w:tcW w:w="2940" w:type="dxa"/>
            <w:gridSpan w:val="2"/>
            <w:vMerge/>
            <w:tcBorders>
              <w:top w:val="single" w:sz="4" w:space="0" w:color="auto"/>
              <w:left w:val="single" w:sz="4" w:space="0" w:color="auto"/>
              <w:bottom w:val="nil"/>
              <w:right w:val="single" w:sz="4" w:space="0" w:color="000000"/>
            </w:tcBorders>
            <w:vAlign w:val="center"/>
            <w:hideMark/>
          </w:tcPr>
          <w:p>
            <w:pPr>
              <w:rPr>
                <w:b/>
                <w:bCs/>
                <w:noProof/>
                <w:color w:val="000000"/>
                <w:sz w:val="14"/>
                <w:szCs w:val="14"/>
              </w:rPr>
            </w:pPr>
          </w:p>
        </w:tc>
        <w:tc>
          <w:tcPr>
            <w:tcW w:w="2840"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4"/>
                <w:szCs w:val="14"/>
              </w:rPr>
            </w:pPr>
            <w:r>
              <w:rPr>
                <w:b/>
                <w:bCs/>
                <w:noProof/>
                <w:color w:val="000000"/>
                <w:sz w:val="14"/>
                <w:szCs w:val="14"/>
              </w:rPr>
              <w:t>(incl. AB 1-4 &amp; DAB 5/2017)</w:t>
            </w:r>
          </w:p>
        </w:tc>
        <w:tc>
          <w:tcPr>
            <w:tcW w:w="2400" w:type="dxa"/>
            <w:gridSpan w:val="2"/>
            <w:vMerge/>
            <w:tcBorders>
              <w:top w:val="single" w:sz="4" w:space="0" w:color="auto"/>
              <w:left w:val="single" w:sz="4" w:space="0" w:color="auto"/>
              <w:bottom w:val="single" w:sz="4" w:space="0" w:color="000000"/>
              <w:right w:val="single" w:sz="4" w:space="0" w:color="000000"/>
            </w:tcBorders>
            <w:vAlign w:val="center"/>
            <w:hideMark/>
          </w:tcPr>
          <w:p>
            <w:pPr>
              <w:rPr>
                <w:b/>
                <w:bCs/>
                <w:noProof/>
                <w:color w:val="000000"/>
                <w:sz w:val="14"/>
                <w:szCs w:val="14"/>
              </w:rPr>
            </w:pPr>
          </w:p>
        </w:tc>
        <w:tc>
          <w:tcPr>
            <w:tcW w:w="2840"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4"/>
                <w:szCs w:val="14"/>
              </w:rPr>
            </w:pPr>
            <w:r>
              <w:rPr>
                <w:b/>
                <w:bCs/>
                <w:noProof/>
                <w:color w:val="000000"/>
                <w:sz w:val="14"/>
                <w:szCs w:val="14"/>
              </w:rPr>
              <w:t>(incl. AB 1-4 &amp; DAB 5-6/2017)</w:t>
            </w:r>
          </w:p>
        </w:tc>
      </w:tr>
      <w:tr>
        <w:trPr>
          <w:trHeight w:val="210"/>
          <w:jc w:val="center"/>
        </w:trPr>
        <w:tc>
          <w:tcPr>
            <w:tcW w:w="2940" w:type="dxa"/>
            <w:gridSpan w:val="2"/>
            <w:vMerge/>
            <w:tcBorders>
              <w:top w:val="single" w:sz="4" w:space="0" w:color="auto"/>
              <w:left w:val="single" w:sz="4" w:space="0" w:color="auto"/>
              <w:bottom w:val="nil"/>
              <w:right w:val="single" w:sz="4" w:space="0" w:color="000000"/>
            </w:tcBorders>
            <w:vAlign w:val="center"/>
            <w:hideMark/>
          </w:tcPr>
          <w:p>
            <w:pPr>
              <w:rPr>
                <w:b/>
                <w:bCs/>
                <w:noProof/>
                <w:color w:val="000000"/>
                <w:sz w:val="14"/>
                <w:szCs w:val="14"/>
              </w:rPr>
            </w:pPr>
          </w:p>
        </w:tc>
        <w:tc>
          <w:tcPr>
            <w:tcW w:w="1340" w:type="dxa"/>
            <w:tcBorders>
              <w:top w:val="nil"/>
              <w:left w:val="nil"/>
              <w:bottom w:val="nil"/>
              <w:right w:val="single" w:sz="4" w:space="0" w:color="auto"/>
            </w:tcBorders>
            <w:shd w:val="clear" w:color="000000" w:fill="D9D9D9"/>
            <w:vAlign w:val="center"/>
            <w:hideMark/>
          </w:tcPr>
          <w:p>
            <w:pPr>
              <w:jc w:val="center"/>
              <w:rPr>
                <w:b/>
                <w:bCs/>
                <w:noProof/>
                <w:color w:val="000000"/>
                <w:sz w:val="14"/>
                <w:szCs w:val="14"/>
              </w:rPr>
            </w:pPr>
            <w:r>
              <w:rPr>
                <w:b/>
                <w:bCs/>
                <w:noProof/>
                <w:color w:val="000000"/>
                <w:sz w:val="14"/>
                <w:szCs w:val="14"/>
              </w:rPr>
              <w:t>CA</w:t>
            </w:r>
          </w:p>
        </w:tc>
        <w:tc>
          <w:tcPr>
            <w:tcW w:w="150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bCs/>
                <w:noProof/>
                <w:color w:val="000000"/>
                <w:sz w:val="14"/>
                <w:szCs w:val="14"/>
              </w:rPr>
              <w:t>PA</w:t>
            </w:r>
          </w:p>
        </w:tc>
        <w:tc>
          <w:tcPr>
            <w:tcW w:w="120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bCs/>
                <w:noProof/>
                <w:color w:val="000000"/>
                <w:sz w:val="14"/>
                <w:szCs w:val="14"/>
              </w:rPr>
              <w:t>CA</w:t>
            </w:r>
          </w:p>
        </w:tc>
        <w:tc>
          <w:tcPr>
            <w:tcW w:w="120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bCs/>
                <w:noProof/>
                <w:color w:val="000000"/>
                <w:sz w:val="14"/>
                <w:szCs w:val="14"/>
              </w:rPr>
              <w:t>PA</w:t>
            </w:r>
          </w:p>
        </w:tc>
        <w:tc>
          <w:tcPr>
            <w:tcW w:w="134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bCs/>
                <w:noProof/>
                <w:color w:val="000000"/>
                <w:sz w:val="14"/>
                <w:szCs w:val="14"/>
              </w:rPr>
              <w:t>CA</w:t>
            </w:r>
          </w:p>
        </w:tc>
        <w:tc>
          <w:tcPr>
            <w:tcW w:w="150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bCs/>
                <w:noProof/>
                <w:color w:val="000000"/>
                <w:sz w:val="14"/>
                <w:szCs w:val="14"/>
              </w:rPr>
              <w:t>PA</w:t>
            </w:r>
          </w:p>
        </w:tc>
      </w:tr>
      <w:tr>
        <w:trPr>
          <w:trHeight w:val="225"/>
          <w:jc w:val="center"/>
        </w:trPr>
        <w:tc>
          <w:tcPr>
            <w:tcW w:w="260" w:type="dxa"/>
            <w:tcBorders>
              <w:top w:val="single" w:sz="4" w:space="0" w:color="auto"/>
              <w:left w:val="single" w:sz="4" w:space="0" w:color="auto"/>
              <w:bottom w:val="dotted" w:sz="4" w:space="0" w:color="auto"/>
              <w:right w:val="nil"/>
            </w:tcBorders>
            <w:shd w:val="clear" w:color="auto" w:fill="auto"/>
            <w:vAlign w:val="center"/>
            <w:hideMark/>
          </w:tcPr>
          <w:p>
            <w:pPr>
              <w:rPr>
                <w:b/>
                <w:bCs/>
                <w:noProof/>
                <w:color w:val="000000"/>
                <w:sz w:val="14"/>
                <w:szCs w:val="14"/>
              </w:rPr>
            </w:pPr>
            <w:r>
              <w:rPr>
                <w:b/>
                <w:bCs/>
                <w:noProof/>
                <w:color w:val="000000"/>
                <w:sz w:val="14"/>
                <w:szCs w:val="14"/>
              </w:rPr>
              <w:t>1.</w:t>
            </w:r>
          </w:p>
        </w:tc>
        <w:tc>
          <w:tcPr>
            <w:tcW w:w="2680" w:type="dxa"/>
            <w:tcBorders>
              <w:top w:val="single" w:sz="4" w:space="0" w:color="auto"/>
              <w:left w:val="nil"/>
              <w:bottom w:val="dotted" w:sz="4" w:space="0" w:color="auto"/>
              <w:right w:val="single" w:sz="4" w:space="0" w:color="auto"/>
            </w:tcBorders>
            <w:shd w:val="clear" w:color="auto" w:fill="auto"/>
            <w:vAlign w:val="center"/>
            <w:hideMark/>
          </w:tcPr>
          <w:p>
            <w:pPr>
              <w:rPr>
                <w:b/>
                <w:bCs/>
                <w:noProof/>
                <w:color w:val="000000"/>
                <w:sz w:val="14"/>
                <w:szCs w:val="14"/>
              </w:rPr>
            </w:pPr>
            <w:r>
              <w:rPr>
                <w:b/>
                <w:bCs/>
                <w:noProof/>
                <w:color w:val="000000"/>
                <w:sz w:val="14"/>
                <w:szCs w:val="14"/>
              </w:rPr>
              <w:t>Smart and inclusive growth</w:t>
            </w:r>
          </w:p>
        </w:tc>
        <w:tc>
          <w:tcPr>
            <w:tcW w:w="1340" w:type="dxa"/>
            <w:tcBorders>
              <w:top w:val="single" w:sz="4" w:space="0" w:color="auto"/>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75 398 754 456</w:t>
            </w:r>
          </w:p>
        </w:tc>
        <w:tc>
          <w:tcPr>
            <w:tcW w:w="15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55 284 563 532</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-5 890 744 211</w:t>
            </w:r>
          </w:p>
        </w:tc>
        <w:tc>
          <w:tcPr>
            <w:tcW w:w="134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75 398 754 456</w:t>
            </w:r>
          </w:p>
        </w:tc>
        <w:tc>
          <w:tcPr>
            <w:tcW w:w="15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49 393 819 321</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under global margin for commitments</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1 939 100 000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1 939 100 000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 xml:space="preserve">Ceiling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73 512 000 000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73 512 000 000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4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52 345 544</w:t>
            </w:r>
          </w:p>
        </w:tc>
        <w:tc>
          <w:tcPr>
            <w:tcW w:w="15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4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52 345 544</w:t>
            </w:r>
          </w:p>
        </w:tc>
        <w:tc>
          <w:tcPr>
            <w:tcW w:w="15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noProof/>
                <w:color w:val="000000"/>
                <w:sz w:val="14"/>
                <w:szCs w:val="14"/>
              </w:rPr>
            </w:pPr>
            <w:r>
              <w:rPr>
                <w:noProof/>
                <w:color w:val="000000"/>
                <w:sz w:val="14"/>
                <w:szCs w:val="14"/>
              </w:rPr>
              <w:t>1a</w:t>
            </w:r>
          </w:p>
        </w:tc>
        <w:tc>
          <w:tcPr>
            <w:tcW w:w="2680" w:type="dxa"/>
            <w:tcBorders>
              <w:top w:val="nil"/>
              <w:left w:val="nil"/>
              <w:bottom w:val="dotted" w:sz="4" w:space="0" w:color="auto"/>
              <w:right w:val="single" w:sz="4" w:space="0" w:color="auto"/>
            </w:tcBorders>
            <w:shd w:val="clear" w:color="auto" w:fill="auto"/>
            <w:vAlign w:val="center"/>
            <w:hideMark/>
          </w:tcPr>
          <w:p>
            <w:pPr>
              <w:rPr>
                <w:noProof/>
                <w:color w:val="000000"/>
                <w:sz w:val="14"/>
                <w:szCs w:val="14"/>
              </w:rPr>
            </w:pPr>
            <w:r>
              <w:rPr>
                <w:noProof/>
                <w:color w:val="000000"/>
                <w:sz w:val="14"/>
                <w:szCs w:val="14"/>
              </w:rPr>
              <w:t>Competitiveness for growth and jobs</w:t>
            </w:r>
          </w:p>
        </w:tc>
        <w:tc>
          <w:tcPr>
            <w:tcW w:w="134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21 312 155 821</w:t>
            </w:r>
          </w:p>
        </w:tc>
        <w:tc>
          <w:tcPr>
            <w:tcW w:w="15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19 320 944 503</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21 312 155 821</w:t>
            </w:r>
          </w:p>
        </w:tc>
        <w:tc>
          <w:tcPr>
            <w:tcW w:w="15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19 320 944 503</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under global margin for commitments</w:t>
            </w:r>
          </w:p>
        </w:tc>
        <w:tc>
          <w:tcPr>
            <w:tcW w:w="134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1 439 100 000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1 439 100 000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Ceiling</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19 925 000 000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19 925 000 000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4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51 944 179</w:t>
            </w:r>
          </w:p>
        </w:tc>
        <w:tc>
          <w:tcPr>
            <w:tcW w:w="15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4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51 944 179</w:t>
            </w:r>
          </w:p>
        </w:tc>
        <w:tc>
          <w:tcPr>
            <w:tcW w:w="15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noProof/>
                <w:color w:val="000000"/>
                <w:sz w:val="14"/>
                <w:szCs w:val="14"/>
              </w:rPr>
            </w:pPr>
            <w:r>
              <w:rPr>
                <w:noProof/>
                <w:color w:val="000000"/>
                <w:sz w:val="14"/>
                <w:szCs w:val="14"/>
              </w:rPr>
              <w:t xml:space="preserve">1b </w:t>
            </w:r>
          </w:p>
        </w:tc>
        <w:tc>
          <w:tcPr>
            <w:tcW w:w="2680" w:type="dxa"/>
            <w:tcBorders>
              <w:top w:val="nil"/>
              <w:left w:val="nil"/>
              <w:bottom w:val="dotted" w:sz="4" w:space="0" w:color="auto"/>
              <w:right w:val="single" w:sz="4" w:space="0" w:color="auto"/>
            </w:tcBorders>
            <w:shd w:val="clear" w:color="auto" w:fill="auto"/>
            <w:vAlign w:val="center"/>
            <w:hideMark/>
          </w:tcPr>
          <w:p>
            <w:pPr>
              <w:rPr>
                <w:noProof/>
                <w:color w:val="000000"/>
                <w:sz w:val="14"/>
                <w:szCs w:val="14"/>
              </w:rPr>
            </w:pPr>
            <w:r>
              <w:rPr>
                <w:noProof/>
                <w:color w:val="000000"/>
                <w:sz w:val="14"/>
                <w:szCs w:val="14"/>
              </w:rPr>
              <w:t>Economic  social and territorial cohesion</w:t>
            </w:r>
          </w:p>
        </w:tc>
        <w:tc>
          <w:tcPr>
            <w:tcW w:w="134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54 086 598 635</w:t>
            </w:r>
          </w:p>
        </w:tc>
        <w:tc>
          <w:tcPr>
            <w:tcW w:w="15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35 963 619 029</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-5 890 744 211</w:t>
            </w:r>
          </w:p>
        </w:tc>
        <w:tc>
          <w:tcPr>
            <w:tcW w:w="134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54 086 598 635</w:t>
            </w:r>
          </w:p>
        </w:tc>
        <w:tc>
          <w:tcPr>
            <w:tcW w:w="15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30 072 874 818</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under global margin for commitments</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500 000 000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500 000 000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Ceiling</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53 587 000 000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53 587 000 000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4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401 365</w:t>
            </w:r>
          </w:p>
        </w:tc>
        <w:tc>
          <w:tcPr>
            <w:tcW w:w="15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4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401 365</w:t>
            </w:r>
          </w:p>
        </w:tc>
        <w:tc>
          <w:tcPr>
            <w:tcW w:w="15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bCs/>
                <w:noProof/>
                <w:color w:val="000000"/>
                <w:sz w:val="14"/>
                <w:szCs w:val="14"/>
              </w:rPr>
              <w:t>2.</w:t>
            </w:r>
          </w:p>
        </w:tc>
        <w:tc>
          <w:tcPr>
            <w:tcW w:w="268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bCs/>
                <w:noProof/>
                <w:color w:val="000000"/>
                <w:sz w:val="14"/>
                <w:szCs w:val="14"/>
              </w:rPr>
              <w:t>Sustainable growth: natural resources</w:t>
            </w:r>
          </w:p>
        </w:tc>
        <w:tc>
          <w:tcPr>
            <w:tcW w:w="134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58 584 443 884</w:t>
            </w:r>
          </w:p>
        </w:tc>
        <w:tc>
          <w:tcPr>
            <w:tcW w:w="15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54 913 969 537</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- 15 333 790</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- 793 028 790</w:t>
            </w:r>
          </w:p>
        </w:tc>
        <w:tc>
          <w:tcPr>
            <w:tcW w:w="134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58 569 110 094</w:t>
            </w:r>
          </w:p>
        </w:tc>
        <w:tc>
          <w:tcPr>
            <w:tcW w:w="15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54 120 940 747</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Ceiling</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60 191 000 000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60 191 000 000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offset against Contingency margin</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- 575 000 000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- 575 000 000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4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1 031 556 116</w:t>
            </w:r>
          </w:p>
        </w:tc>
        <w:tc>
          <w:tcPr>
            <w:tcW w:w="15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4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1 046 889 906</w:t>
            </w:r>
          </w:p>
        </w:tc>
        <w:tc>
          <w:tcPr>
            <w:tcW w:w="15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34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rPr>
                <w:noProof/>
                <w:color w:val="000000"/>
                <w:sz w:val="14"/>
                <w:szCs w:val="14"/>
              </w:rPr>
            </w:pPr>
            <w:r>
              <w:rPr>
                <w:noProof/>
                <w:color w:val="000000"/>
                <w:sz w:val="14"/>
                <w:szCs w:val="14"/>
              </w:rPr>
              <w:t>Of which: European Agricultural Guarantee Fund (EAGF) — Market related expenditure and direct payments</w:t>
            </w:r>
          </w:p>
        </w:tc>
        <w:tc>
          <w:tcPr>
            <w:tcW w:w="134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42 612 572 079</w:t>
            </w:r>
          </w:p>
        </w:tc>
        <w:tc>
          <w:tcPr>
            <w:tcW w:w="15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42 562 967 974</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- 1 900 000</w:t>
            </w:r>
          </w:p>
        </w:tc>
        <w:tc>
          <w:tcPr>
            <w:tcW w:w="12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- 1 900 000</w:t>
            </w:r>
          </w:p>
        </w:tc>
        <w:tc>
          <w:tcPr>
            <w:tcW w:w="134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42 610 672 079</w:t>
            </w:r>
          </w:p>
        </w:tc>
        <w:tc>
          <w:tcPr>
            <w:tcW w:w="150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42 561 067 974</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Sub-ceiling</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44 146 000 000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44 146 000 000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bCs/>
                <w:noProof/>
                <w:color w:val="000000"/>
                <w:sz w:val="14"/>
                <w:szCs w:val="14"/>
              </w:rPr>
              <w:t>3.</w:t>
            </w:r>
          </w:p>
        </w:tc>
        <w:tc>
          <w:tcPr>
            <w:tcW w:w="268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bCs/>
                <w:noProof/>
                <w:color w:val="000000"/>
                <w:sz w:val="14"/>
                <w:szCs w:val="14"/>
              </w:rPr>
              <w:t>Security and citizenship</w:t>
            </w:r>
          </w:p>
        </w:tc>
        <w:tc>
          <w:tcPr>
            <w:tcW w:w="134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4 284 030 960</w:t>
            </w:r>
          </w:p>
        </w:tc>
        <w:tc>
          <w:tcPr>
            <w:tcW w:w="15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3 511 957 287</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- 287 650 000</w:t>
            </w:r>
          </w:p>
        </w:tc>
        <w:tc>
          <w:tcPr>
            <w:tcW w:w="134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4 284 030 960</w:t>
            </w:r>
          </w:p>
        </w:tc>
        <w:tc>
          <w:tcPr>
            <w:tcW w:w="15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3 224 307 287</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under Flexibility Instrument</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530 000 000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530 000 000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under Contingency margin</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1 176 030 960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1 176 030 960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Ceiling</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2 578 000 000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2 578 000 000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4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5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4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5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bCs/>
                <w:noProof/>
                <w:color w:val="000000"/>
                <w:sz w:val="14"/>
                <w:szCs w:val="14"/>
              </w:rPr>
              <w:t>4.</w:t>
            </w:r>
          </w:p>
        </w:tc>
        <w:tc>
          <w:tcPr>
            <w:tcW w:w="268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bCs/>
                <w:noProof/>
                <w:color w:val="000000"/>
                <w:sz w:val="14"/>
                <w:szCs w:val="14"/>
              </w:rPr>
              <w:t>Global Europe</w:t>
            </w:r>
          </w:p>
        </w:tc>
        <w:tc>
          <w:tcPr>
            <w:tcW w:w="134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10 437 120 000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9 758 081 178</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- 702 237 209</w:t>
            </w:r>
          </w:p>
        </w:tc>
        <w:tc>
          <w:tcPr>
            <w:tcW w:w="134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10 437 120 000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9 055 843 969</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under Flexibility Instrument</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275 000 000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275 000 000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under Contingency margin</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730 120 000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730 120 000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Ceiling</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9 432 000 000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9 432 000 000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4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5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4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w:t>
            </w:r>
          </w:p>
        </w:tc>
        <w:tc>
          <w:tcPr>
            <w:tcW w:w="15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bCs/>
                <w:noProof/>
                <w:color w:val="000000"/>
                <w:sz w:val="14"/>
                <w:szCs w:val="14"/>
              </w:rPr>
              <w:t>5.</w:t>
            </w:r>
          </w:p>
        </w:tc>
        <w:tc>
          <w:tcPr>
            <w:tcW w:w="268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bCs/>
                <w:noProof/>
                <w:color w:val="000000"/>
                <w:sz w:val="14"/>
                <w:szCs w:val="14"/>
              </w:rPr>
              <w:t>Administration</w:t>
            </w:r>
          </w:p>
        </w:tc>
        <w:tc>
          <w:tcPr>
            <w:tcW w:w="134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9 394 513 816</w:t>
            </w:r>
          </w:p>
        </w:tc>
        <w:tc>
          <w:tcPr>
            <w:tcW w:w="15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9 394 599 816</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9 394 513 816</w:t>
            </w:r>
          </w:p>
        </w:tc>
        <w:tc>
          <w:tcPr>
            <w:tcW w:w="15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9 394 599 816</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Ceiling</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9 918 000 000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9 918 000 000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offset against Contingency margin</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- 507 268 804</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- 507 268 804</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16 217 380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16 217 380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360"/>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rPr>
                <w:noProof/>
                <w:color w:val="000000"/>
                <w:sz w:val="14"/>
                <w:szCs w:val="14"/>
              </w:rPr>
            </w:pPr>
            <w:r>
              <w:rPr>
                <w:noProof/>
                <w:color w:val="000000"/>
                <w:sz w:val="14"/>
                <w:szCs w:val="14"/>
              </w:rPr>
              <w:t>Of which: Administrative expenditure of the institutions</w:t>
            </w:r>
          </w:p>
        </w:tc>
        <w:tc>
          <w:tcPr>
            <w:tcW w:w="134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7 418 902 660</w:t>
            </w:r>
          </w:p>
        </w:tc>
        <w:tc>
          <w:tcPr>
            <w:tcW w:w="150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7 418 988 660</w:t>
            </w:r>
          </w:p>
        </w:tc>
        <w:tc>
          <w:tcPr>
            <w:tcW w:w="120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20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 </w:t>
            </w:r>
          </w:p>
        </w:tc>
        <w:tc>
          <w:tcPr>
            <w:tcW w:w="134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7 418 902 660</w:t>
            </w:r>
          </w:p>
        </w:tc>
        <w:tc>
          <w:tcPr>
            <w:tcW w:w="150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szCs w:val="14"/>
              </w:rPr>
              <w:t>7 418 988 660</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Sub-ceiling</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8 007 000 000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8 007 000 000</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Of which offset against Contingency margin</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- 507 268 804</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- 507 268 804</w:t>
            </w:r>
          </w:p>
        </w:tc>
        <w:tc>
          <w:tcPr>
            <w:tcW w:w="150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iCs/>
                <w:noProof/>
                <w:color w:val="000000"/>
                <w:sz w:val="14"/>
                <w:szCs w:val="14"/>
              </w:rPr>
              <w:t>Margin</w:t>
            </w:r>
          </w:p>
        </w:tc>
        <w:tc>
          <w:tcPr>
            <w:tcW w:w="134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80 828 536</w:t>
            </w:r>
          </w:p>
        </w:tc>
        <w:tc>
          <w:tcPr>
            <w:tcW w:w="15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2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c>
          <w:tcPr>
            <w:tcW w:w="134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xml:space="preserve"> 80 828 536</w:t>
            </w:r>
          </w:p>
        </w:tc>
        <w:tc>
          <w:tcPr>
            <w:tcW w:w="150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iCs/>
                <w:noProof/>
                <w:color w:val="000000"/>
                <w:sz w:val="14"/>
                <w:szCs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bCs/>
                <w:noProof/>
                <w:color w:val="000000"/>
                <w:sz w:val="14"/>
                <w:szCs w:val="14"/>
              </w:rPr>
              <w:t> </w:t>
            </w:r>
          </w:p>
        </w:tc>
        <w:tc>
          <w:tcPr>
            <w:tcW w:w="268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bCs/>
                <w:noProof/>
                <w:color w:val="000000"/>
                <w:sz w:val="14"/>
                <w:szCs w:val="14"/>
              </w:rPr>
              <w:t>Negative reserve</w:t>
            </w:r>
          </w:p>
        </w:tc>
        <w:tc>
          <w:tcPr>
            <w:tcW w:w="134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w:t>
            </w:r>
          </w:p>
        </w:tc>
        <w:tc>
          <w:tcPr>
            <w:tcW w:w="15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2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w:t>
            </w:r>
          </w:p>
        </w:tc>
        <w:tc>
          <w:tcPr>
            <w:tcW w:w="134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w:t>
            </w:r>
          </w:p>
        </w:tc>
        <w:tc>
          <w:tcPr>
            <w:tcW w:w="150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xml:space="preserve">   </w:t>
            </w:r>
          </w:p>
        </w:tc>
      </w:tr>
      <w:tr>
        <w:trPr>
          <w:trHeight w:val="225"/>
          <w:jc w:val="center"/>
        </w:trPr>
        <w:tc>
          <w:tcPr>
            <w:tcW w:w="2940" w:type="dxa"/>
            <w:gridSpan w:val="2"/>
            <w:tcBorders>
              <w:top w:val="single" w:sz="4" w:space="0" w:color="auto"/>
              <w:left w:val="single" w:sz="4" w:space="0" w:color="auto"/>
              <w:bottom w:val="dotted" w:sz="4" w:space="0" w:color="auto"/>
              <w:right w:val="single" w:sz="4" w:space="0" w:color="000000"/>
            </w:tcBorders>
            <w:shd w:val="clear" w:color="000000" w:fill="D9D9D9"/>
            <w:vAlign w:val="center"/>
            <w:hideMark/>
          </w:tcPr>
          <w:p>
            <w:pPr>
              <w:jc w:val="right"/>
              <w:rPr>
                <w:b/>
                <w:bCs/>
                <w:noProof/>
                <w:color w:val="000000"/>
                <w:sz w:val="14"/>
                <w:szCs w:val="14"/>
              </w:rPr>
            </w:pPr>
            <w:r>
              <w:rPr>
                <w:b/>
                <w:bCs/>
                <w:noProof/>
                <w:color w:val="000000"/>
                <w:sz w:val="14"/>
                <w:szCs w:val="14"/>
              </w:rPr>
              <w:t>Total</w:t>
            </w:r>
          </w:p>
        </w:tc>
        <w:tc>
          <w:tcPr>
            <w:tcW w:w="134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158 098 863 116</w:t>
            </w:r>
          </w:p>
        </w:tc>
        <w:tc>
          <w:tcPr>
            <w:tcW w:w="150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132 863 171 350</w:t>
            </w:r>
          </w:p>
        </w:tc>
        <w:tc>
          <w:tcPr>
            <w:tcW w:w="120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- 15 333 790</w:t>
            </w:r>
          </w:p>
        </w:tc>
        <w:tc>
          <w:tcPr>
            <w:tcW w:w="120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-7 673 660 210</w:t>
            </w:r>
          </w:p>
        </w:tc>
        <w:tc>
          <w:tcPr>
            <w:tcW w:w="134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158 083 529 326</w:t>
            </w:r>
          </w:p>
        </w:tc>
        <w:tc>
          <w:tcPr>
            <w:tcW w:w="150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125 189 511 140</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bCs/>
                <w:i/>
                <w:iCs/>
                <w:noProof/>
                <w:color w:val="000000"/>
                <w:sz w:val="14"/>
                <w:szCs w:val="14"/>
              </w:rPr>
              <w:t>Of which under Flexibility Instrument</w:t>
            </w:r>
          </w:p>
        </w:tc>
        <w:tc>
          <w:tcPr>
            <w:tcW w:w="134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805 000 000</w:t>
            </w:r>
          </w:p>
        </w:tc>
        <w:tc>
          <w:tcPr>
            <w:tcW w:w="15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1 256 093 985</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34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805 000 000</w:t>
            </w:r>
          </w:p>
        </w:tc>
        <w:tc>
          <w:tcPr>
            <w:tcW w:w="15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1 256 093 985</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bCs/>
                <w:i/>
                <w:iCs/>
                <w:noProof/>
                <w:color w:val="000000"/>
                <w:sz w:val="14"/>
                <w:szCs w:val="14"/>
              </w:rPr>
              <w:t>Of which under global margin for commitments</w:t>
            </w:r>
          </w:p>
        </w:tc>
        <w:tc>
          <w:tcPr>
            <w:tcW w:w="134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1 939 100 000</w:t>
            </w:r>
          </w:p>
        </w:tc>
        <w:tc>
          <w:tcPr>
            <w:tcW w:w="15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34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1 939 100 000</w:t>
            </w:r>
          </w:p>
        </w:tc>
        <w:tc>
          <w:tcPr>
            <w:tcW w:w="15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bCs/>
                <w:i/>
                <w:iCs/>
                <w:noProof/>
                <w:color w:val="000000"/>
                <w:sz w:val="14"/>
                <w:szCs w:val="14"/>
              </w:rPr>
              <w:t>Of which under Contingency margin</w:t>
            </w:r>
          </w:p>
        </w:tc>
        <w:tc>
          <w:tcPr>
            <w:tcW w:w="134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1 906 150 960</w:t>
            </w:r>
          </w:p>
        </w:tc>
        <w:tc>
          <w:tcPr>
            <w:tcW w:w="15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34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1 906 150 960</w:t>
            </w:r>
          </w:p>
        </w:tc>
        <w:tc>
          <w:tcPr>
            <w:tcW w:w="15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bCs/>
                <w:i/>
                <w:iCs/>
                <w:noProof/>
                <w:color w:val="000000"/>
                <w:sz w:val="14"/>
                <w:szCs w:val="14"/>
              </w:rPr>
              <w:t>Ceiling</w:t>
            </w:r>
          </w:p>
        </w:tc>
        <w:tc>
          <w:tcPr>
            <w:tcW w:w="134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155 631 000 000</w:t>
            </w:r>
          </w:p>
        </w:tc>
        <w:tc>
          <w:tcPr>
            <w:tcW w:w="15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142 906 000 000</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34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155 631 000 000</w:t>
            </w:r>
          </w:p>
        </w:tc>
        <w:tc>
          <w:tcPr>
            <w:tcW w:w="15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142 906 000 000</w:t>
            </w:r>
          </w:p>
        </w:tc>
      </w:tr>
      <w:tr>
        <w:trPr>
          <w:trHeight w:val="225"/>
          <w:jc w:val="center"/>
        </w:trPr>
        <w:tc>
          <w:tcPr>
            <w:tcW w:w="294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bCs/>
                <w:i/>
                <w:iCs/>
                <w:noProof/>
                <w:color w:val="000000"/>
                <w:sz w:val="14"/>
                <w:szCs w:val="14"/>
              </w:rPr>
              <w:t>Of which offset against Contingency margin</w:t>
            </w:r>
          </w:p>
        </w:tc>
        <w:tc>
          <w:tcPr>
            <w:tcW w:w="134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-1 082 268 804</w:t>
            </w:r>
          </w:p>
        </w:tc>
        <w:tc>
          <w:tcPr>
            <w:tcW w:w="15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-2 818 233 715</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xml:space="preserve">   </w:t>
            </w:r>
          </w:p>
        </w:tc>
        <w:tc>
          <w:tcPr>
            <w:tcW w:w="12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34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-1 082 268 804</w:t>
            </w:r>
          </w:p>
        </w:tc>
        <w:tc>
          <w:tcPr>
            <w:tcW w:w="150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-2 818 233 715</w:t>
            </w:r>
          </w:p>
        </w:tc>
      </w:tr>
      <w:tr>
        <w:trPr>
          <w:trHeight w:val="225"/>
          <w:jc w:val="center"/>
        </w:trPr>
        <w:tc>
          <w:tcPr>
            <w:tcW w:w="2940" w:type="dxa"/>
            <w:gridSpan w:val="2"/>
            <w:tcBorders>
              <w:top w:val="dotted" w:sz="4" w:space="0" w:color="auto"/>
              <w:left w:val="single" w:sz="4" w:space="0" w:color="auto"/>
              <w:bottom w:val="nil"/>
              <w:right w:val="single" w:sz="4" w:space="0" w:color="000000"/>
            </w:tcBorders>
            <w:shd w:val="clear" w:color="000000" w:fill="D9D9D9"/>
            <w:vAlign w:val="center"/>
            <w:hideMark/>
          </w:tcPr>
          <w:p>
            <w:pPr>
              <w:jc w:val="right"/>
              <w:rPr>
                <w:b/>
                <w:bCs/>
                <w:i/>
                <w:iCs/>
                <w:noProof/>
                <w:color w:val="000000"/>
                <w:sz w:val="14"/>
                <w:szCs w:val="14"/>
              </w:rPr>
            </w:pPr>
            <w:r>
              <w:rPr>
                <w:b/>
                <w:bCs/>
                <w:i/>
                <w:iCs/>
                <w:noProof/>
                <w:color w:val="000000"/>
                <w:sz w:val="14"/>
                <w:szCs w:val="14"/>
              </w:rPr>
              <w:t>Margin</w:t>
            </w:r>
          </w:p>
        </w:tc>
        <w:tc>
          <w:tcPr>
            <w:tcW w:w="134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1 100 119 040</w:t>
            </w:r>
          </w:p>
        </w:tc>
        <w:tc>
          <w:tcPr>
            <w:tcW w:w="150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8 480 688 920</w:t>
            </w:r>
          </w:p>
        </w:tc>
        <w:tc>
          <w:tcPr>
            <w:tcW w:w="120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20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 </w:t>
            </w:r>
          </w:p>
        </w:tc>
        <w:tc>
          <w:tcPr>
            <w:tcW w:w="134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1 115 452 830</w:t>
            </w:r>
          </w:p>
        </w:tc>
        <w:tc>
          <w:tcPr>
            <w:tcW w:w="150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bCs/>
                <w:i/>
                <w:iCs/>
                <w:noProof/>
                <w:color w:val="000000"/>
                <w:sz w:val="14"/>
                <w:szCs w:val="14"/>
              </w:rPr>
              <w:t>16 154 349 130</w:t>
            </w:r>
          </w:p>
        </w:tc>
      </w:tr>
      <w:tr>
        <w:trPr>
          <w:trHeight w:val="225"/>
          <w:jc w:val="center"/>
        </w:trPr>
        <w:tc>
          <w:tcPr>
            <w:tcW w:w="260" w:type="dxa"/>
            <w:tcBorders>
              <w:top w:val="single" w:sz="4" w:space="0" w:color="auto"/>
              <w:left w:val="single" w:sz="4" w:space="0" w:color="auto"/>
              <w:bottom w:val="single" w:sz="4" w:space="0" w:color="auto"/>
              <w:right w:val="nil"/>
            </w:tcBorders>
            <w:shd w:val="clear" w:color="auto" w:fill="auto"/>
            <w:vAlign w:val="center"/>
            <w:hideMark/>
          </w:tcPr>
          <w:p>
            <w:pPr>
              <w:rPr>
                <w:b/>
                <w:bCs/>
                <w:noProof/>
                <w:color w:val="000000"/>
                <w:sz w:val="14"/>
                <w:szCs w:val="14"/>
              </w:rPr>
            </w:pPr>
            <w:r>
              <w:rPr>
                <w:b/>
                <w:bCs/>
                <w:noProof/>
                <w:color w:val="000000"/>
                <w:sz w:val="14"/>
                <w:szCs w:val="14"/>
              </w:rPr>
              <w:t> </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pPr>
              <w:rPr>
                <w:b/>
                <w:bCs/>
                <w:noProof/>
                <w:color w:val="000000"/>
                <w:sz w:val="14"/>
                <w:szCs w:val="14"/>
              </w:rPr>
            </w:pPr>
            <w:r>
              <w:rPr>
                <w:b/>
                <w:bCs/>
                <w:noProof/>
                <w:color w:val="000000"/>
                <w:sz w:val="14"/>
                <w:szCs w:val="14"/>
              </w:rPr>
              <w:t>Other special Instruments</w:t>
            </w:r>
          </w:p>
        </w:tc>
        <w:tc>
          <w:tcPr>
            <w:tcW w:w="134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1 793 924 013</w:t>
            </w:r>
          </w:p>
        </w:tc>
        <w:tc>
          <w:tcPr>
            <w:tcW w:w="150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1 627 200 013</w:t>
            </w:r>
          </w:p>
        </w:tc>
        <w:tc>
          <w:tcPr>
            <w:tcW w:w="120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- 46 000 000</w:t>
            </w:r>
          </w:p>
        </w:tc>
        <w:tc>
          <w:tcPr>
            <w:tcW w:w="120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- 46 000 000</w:t>
            </w:r>
          </w:p>
        </w:tc>
        <w:tc>
          <w:tcPr>
            <w:tcW w:w="134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1 747 924 013</w:t>
            </w:r>
          </w:p>
        </w:tc>
        <w:tc>
          <w:tcPr>
            <w:tcW w:w="150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bCs/>
                <w:noProof/>
                <w:color w:val="000000"/>
                <w:sz w:val="14"/>
                <w:szCs w:val="14"/>
              </w:rPr>
              <w:t>1 581 200 013</w:t>
            </w:r>
          </w:p>
        </w:tc>
      </w:tr>
      <w:tr>
        <w:trPr>
          <w:trHeight w:val="225"/>
          <w:jc w:val="center"/>
        </w:trPr>
        <w:tc>
          <w:tcPr>
            <w:tcW w:w="2940" w:type="dxa"/>
            <w:gridSpan w:val="2"/>
            <w:tcBorders>
              <w:top w:val="nil"/>
              <w:left w:val="single" w:sz="4" w:space="0" w:color="auto"/>
              <w:bottom w:val="single" w:sz="4" w:space="0" w:color="auto"/>
              <w:right w:val="single" w:sz="4" w:space="0" w:color="000000"/>
            </w:tcBorders>
            <w:shd w:val="clear" w:color="000000" w:fill="D9D9D9"/>
            <w:vAlign w:val="center"/>
            <w:hideMark/>
          </w:tcPr>
          <w:p>
            <w:pPr>
              <w:jc w:val="right"/>
              <w:rPr>
                <w:b/>
                <w:bCs/>
                <w:noProof/>
                <w:color w:val="000000"/>
                <w:sz w:val="14"/>
                <w:szCs w:val="14"/>
              </w:rPr>
            </w:pPr>
            <w:r>
              <w:rPr>
                <w:b/>
                <w:bCs/>
                <w:noProof/>
                <w:color w:val="000000"/>
                <w:sz w:val="14"/>
                <w:szCs w:val="14"/>
              </w:rPr>
              <w:t>Grand Total</w:t>
            </w:r>
          </w:p>
        </w:tc>
        <w:tc>
          <w:tcPr>
            <w:tcW w:w="134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159 892 787 129</w:t>
            </w:r>
          </w:p>
        </w:tc>
        <w:tc>
          <w:tcPr>
            <w:tcW w:w="150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134 490 371 363</w:t>
            </w:r>
          </w:p>
        </w:tc>
        <w:tc>
          <w:tcPr>
            <w:tcW w:w="120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- 61 333 790</w:t>
            </w:r>
          </w:p>
        </w:tc>
        <w:tc>
          <w:tcPr>
            <w:tcW w:w="120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-7 719 660 210</w:t>
            </w:r>
          </w:p>
        </w:tc>
        <w:tc>
          <w:tcPr>
            <w:tcW w:w="134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159 831 453 339</w:t>
            </w:r>
          </w:p>
        </w:tc>
        <w:tc>
          <w:tcPr>
            <w:tcW w:w="150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bCs/>
                <w:noProof/>
                <w:color w:val="000000"/>
                <w:sz w:val="14"/>
                <w:szCs w:val="14"/>
              </w:rPr>
              <w:t>126 770 711 153</w:t>
            </w:r>
          </w:p>
        </w:tc>
      </w:tr>
    </w:tbl>
    <w:p>
      <w:pPr>
        <w:rPr>
          <w:noProof/>
        </w:rPr>
      </w:pPr>
    </w:p>
    <w:sectPr>
      <w:headerReference w:type="even" r:id="rId29"/>
      <w:headerReference w:type="default" r:id="rId30"/>
      <w:footerReference w:type="even" r:id="rId31"/>
      <w:footerReference w:type="default" r:id="rId32"/>
      <w:headerReference w:type="first" r:id="rId33"/>
      <w:footerReference w:type="first" r:id="rId34"/>
      <w:pgSz w:w="11907" w:h="16839"/>
      <w:pgMar w:top="1021" w:right="1347"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61986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79546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97051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lang w:val="pl-PL"/>
        </w:rPr>
      </w:pPr>
      <w:r>
        <w:rPr>
          <w:rStyle w:val="FootnoteReference"/>
        </w:rPr>
        <w:footnoteRef/>
      </w:r>
      <w:r>
        <w:rPr>
          <w:sz w:val="19"/>
          <w:szCs w:val="19"/>
          <w:lang w:val="pl-PL"/>
        </w:rPr>
        <w:tab/>
      </w:r>
      <w:r>
        <w:rPr>
          <w:sz w:val="18"/>
          <w:szCs w:val="18"/>
          <w:lang w:val="pl-PL"/>
        </w:rPr>
        <w:t>OJ L 298, 26.10.2012, p. 1.</w:t>
      </w:r>
    </w:p>
  </w:footnote>
  <w:footnote w:id="3">
    <w:p>
      <w:pPr>
        <w:pStyle w:val="FootnoteText"/>
        <w:rPr>
          <w:lang w:val="pl-PL"/>
        </w:rPr>
      </w:pPr>
      <w:r>
        <w:rPr>
          <w:rStyle w:val="FootnoteReference"/>
        </w:rPr>
        <w:footnoteRef/>
      </w:r>
      <w:r>
        <w:rPr>
          <w:lang w:val="pl-PL"/>
        </w:rPr>
        <w:tab/>
      </w:r>
      <w:r>
        <w:rPr>
          <w:sz w:val="18"/>
          <w:szCs w:val="18"/>
          <w:lang w:val="pl-PL"/>
        </w:rPr>
        <w:t>OJ L 51, 28.2.2017.</w:t>
      </w:r>
    </w:p>
  </w:footnote>
  <w:footnote w:id="4">
    <w:p>
      <w:pPr>
        <w:pStyle w:val="FootnoteText"/>
        <w:rPr>
          <w:lang w:val="pl-PL"/>
        </w:rPr>
      </w:pPr>
      <w:r>
        <w:rPr>
          <w:rStyle w:val="FootnoteReference"/>
        </w:rPr>
        <w:footnoteRef/>
      </w:r>
      <w:r>
        <w:rPr>
          <w:sz w:val="18"/>
          <w:szCs w:val="18"/>
          <w:lang w:val="pl-PL"/>
        </w:rPr>
        <w:t xml:space="preserve"> </w:t>
      </w:r>
      <w:r>
        <w:rPr>
          <w:sz w:val="18"/>
          <w:szCs w:val="18"/>
          <w:lang w:val="pl-PL"/>
        </w:rPr>
        <w:tab/>
        <w:t>OJ L 136, 24.5.2017.</w:t>
      </w:r>
    </w:p>
  </w:footnote>
  <w:footnote w:id="5">
    <w:p>
      <w:pPr>
        <w:pStyle w:val="FootnoteText"/>
      </w:pPr>
      <w:r>
        <w:rPr>
          <w:rStyle w:val="FootnoteReference"/>
        </w:rPr>
        <w:footnoteRef/>
      </w:r>
      <w:r>
        <w:rPr>
          <w:sz w:val="18"/>
          <w:szCs w:val="18"/>
        </w:rPr>
        <w:t xml:space="preserve"> </w:t>
      </w:r>
      <w:r>
        <w:rPr>
          <w:sz w:val="18"/>
          <w:szCs w:val="18"/>
        </w:rPr>
        <w:tab/>
        <w:t>OJ L 227, 1.9.2017.</w:t>
      </w:r>
    </w:p>
  </w:footnote>
  <w:footnote w:id="6">
    <w:p>
      <w:pPr>
        <w:pStyle w:val="FootnoteText"/>
      </w:pPr>
      <w:r>
        <w:rPr>
          <w:rStyle w:val="FootnoteReference"/>
        </w:rPr>
        <w:footnoteRef/>
      </w:r>
      <w:r>
        <w:rPr>
          <w:sz w:val="18"/>
          <w:szCs w:val="18"/>
        </w:rPr>
        <w:t xml:space="preserve"> </w:t>
      </w:r>
      <w:r>
        <w:rPr>
          <w:sz w:val="18"/>
          <w:szCs w:val="18"/>
        </w:rPr>
        <w:tab/>
        <w:t>COM(2017) 288, 30.5.2017 (awaiting publication in the Official Journal).</w:t>
      </w:r>
    </w:p>
  </w:footnote>
  <w:footnote w:id="7">
    <w:p>
      <w:pPr>
        <w:pStyle w:val="FootnoteText"/>
      </w:pPr>
      <w:r>
        <w:rPr>
          <w:rStyle w:val="FootnoteReference"/>
        </w:rPr>
        <w:footnoteRef/>
      </w:r>
      <w:r>
        <w:rPr>
          <w:sz w:val="18"/>
          <w:szCs w:val="18"/>
        </w:rPr>
        <w:t xml:space="preserve"> </w:t>
      </w:r>
      <w:r>
        <w:rPr>
          <w:sz w:val="18"/>
          <w:szCs w:val="18"/>
        </w:rPr>
        <w:tab/>
        <w:t>COM(2017) 541, 26.6.2017 (awaiting publication in the Official Journal).</w:t>
      </w:r>
    </w:p>
  </w:footnote>
  <w:footnote w:id="8">
    <w:p>
      <w:pPr>
        <w:pStyle w:val="FootnoteText"/>
      </w:pPr>
      <w:r>
        <w:rPr>
          <w:rStyle w:val="FootnoteReference"/>
        </w:rPr>
        <w:footnoteRef/>
      </w:r>
      <w:r>
        <w:rPr>
          <w:sz w:val="18"/>
          <w:szCs w:val="18"/>
        </w:rPr>
        <w:t xml:space="preserve"> </w:t>
      </w:r>
      <w:r>
        <w:rPr>
          <w:sz w:val="18"/>
          <w:szCs w:val="18"/>
        </w:rPr>
        <w:tab/>
        <w:t>COM(2017) 485, 28.7.2017.</w:t>
      </w:r>
    </w:p>
  </w:footnote>
  <w:footnote w:id="9">
    <w:p>
      <w:pPr>
        <w:pStyle w:val="FootnoteText"/>
      </w:pPr>
      <w:r>
        <w:rPr>
          <w:rStyle w:val="FootnoteReference"/>
        </w:rPr>
        <w:footnoteRef/>
      </w:r>
      <w:r>
        <w:t xml:space="preserve"> </w:t>
      </w:r>
      <w:r>
        <w:tab/>
        <w:t>EUR 5 890,7 million is included in this DAB and another EUR 14,3 million were used in the global transfer as a balancing item.</w:t>
      </w:r>
    </w:p>
  </w:footnote>
  <w:footnote w:id="10">
    <w:p>
      <w:pPr>
        <w:pStyle w:val="FootnoteText"/>
      </w:pPr>
      <w:r>
        <w:rPr>
          <w:rStyle w:val="FootnoteReference"/>
        </w:rPr>
        <w:footnoteRef/>
      </w:r>
      <w:r>
        <w:t xml:space="preserve"> </w:t>
      </w:r>
      <w:r>
        <w:tab/>
        <w:t>Commissioners Oettinger, Cretu, Thyssen and Vella.</w:t>
      </w:r>
    </w:p>
  </w:footnote>
  <w:footnote w:id="11">
    <w:p>
      <w:pPr>
        <w:pStyle w:val="FootnoteText"/>
      </w:pPr>
      <w:r>
        <w:rPr>
          <w:rStyle w:val="FootnoteReference"/>
        </w:rPr>
        <w:footnoteRef/>
      </w:r>
      <w:r>
        <w:t xml:space="preserve"> </w:t>
      </w:r>
      <w:r>
        <w:tab/>
        <w:t>COM(2017) 485, 28.7.2017.</w:t>
      </w:r>
    </w:p>
  </w:footnote>
  <w:footnote w:id="12">
    <w:p>
      <w:pPr>
        <w:pStyle w:val="FootnoteText"/>
      </w:pPr>
      <w:r>
        <w:rPr>
          <w:rStyle w:val="FootnoteReference"/>
        </w:rPr>
        <w:footnoteRef/>
      </w:r>
      <w:r>
        <w:t xml:space="preserve"> </w:t>
      </w:r>
      <w:r>
        <w:tab/>
        <w:t>Amending budgets 3/2017 and 4/2017 as well as Draft Amending Budget 5/2017 have no effect on revenue.</w:t>
      </w:r>
    </w:p>
  </w:footnote>
  <w:footnote w:id="13">
    <w:p>
      <w:pPr>
        <w:pStyle w:val="FootnoteText"/>
      </w:pPr>
      <w:r>
        <w:rPr>
          <w:rStyle w:val="FootnoteReference"/>
        </w:rPr>
        <w:footnoteRef/>
      </w:r>
      <w:r>
        <w:rPr>
          <w:sz w:val="24"/>
          <w:szCs w:val="24"/>
        </w:rPr>
        <w:t xml:space="preserve"> </w:t>
      </w:r>
      <w:r>
        <w:tab/>
      </w:r>
      <w:r>
        <w:rPr>
          <w:sz w:val="18"/>
          <w:szCs w:val="18"/>
        </w:rPr>
        <w:t>The total forecast of 2017 net sugar sector levies remains at the same level, however due to the change in the collection costs the amount is different (EUR 133,3 million, after deduction of 20 % in collection costs).</w:t>
      </w:r>
    </w:p>
  </w:footnote>
  <w:footnote w:id="14">
    <w:p>
      <w:pPr>
        <w:pStyle w:val="FootnoteText"/>
        <w:rPr>
          <w:sz w:val="18"/>
          <w:szCs w:val="18"/>
        </w:rPr>
      </w:pPr>
      <w:r>
        <w:rPr>
          <w:rStyle w:val="FootnoteReference"/>
          <w:sz w:val="18"/>
          <w:szCs w:val="18"/>
        </w:rPr>
        <w:footnoteRef/>
      </w:r>
      <w:r>
        <w:rPr>
          <w:sz w:val="18"/>
          <w:szCs w:val="18"/>
        </w:rPr>
        <w:t xml:space="preserve"> </w:t>
      </w:r>
      <w:r>
        <w:rPr>
          <w:sz w:val="18"/>
          <w:szCs w:val="18"/>
        </w:rPr>
        <w:tab/>
        <w:t>In accordance with Council Decision 2014/335, if the VAT base of a Member State exceeds 50 % of its GNI, then it is capped at this 50 %. For DAB 6/2017, six Member States will have their VAT base capped at 50 % of GNI: Estonia, Croatia, Cyprus, Luxembourg, Malta and Portugal.</w:t>
      </w:r>
    </w:p>
  </w:footnote>
  <w:footnote w:id="15">
    <w:p>
      <w:pPr>
        <w:pStyle w:val="FootnoteText"/>
        <w:rPr>
          <w:rStyle w:val="FootnoteReference"/>
          <w:sz w:val="18"/>
          <w:szCs w:val="18"/>
        </w:rPr>
      </w:pPr>
      <w:r>
        <w:rPr>
          <w:rStyle w:val="FootnoteReference"/>
          <w:sz w:val="18"/>
          <w:szCs w:val="18"/>
        </w:rPr>
        <w:footnoteRef/>
      </w:r>
      <w:r>
        <w:rPr>
          <w:rStyle w:val="FootnoteReference"/>
          <w:sz w:val="18"/>
          <w:szCs w:val="18"/>
        </w:rPr>
        <w:t xml:space="preserve"> </w:t>
      </w:r>
      <w:r>
        <w:rPr>
          <w:rStyle w:val="FootnoteReference"/>
          <w:sz w:val="18"/>
          <w:szCs w:val="18"/>
        </w:rPr>
        <w:tab/>
      </w:r>
      <w:r>
        <w:rPr>
          <w:sz w:val="18"/>
          <w:szCs w:val="18"/>
        </w:rPr>
        <w:t>The amounts highlighted in grey result from the capped VAT bases, as explained in footnote [11] above.</w:t>
      </w:r>
    </w:p>
  </w:footnote>
  <w:footnote w:id="16">
    <w:p>
      <w:pPr>
        <w:pStyle w:val="FootnoteText"/>
        <w:rPr>
          <w:sz w:val="18"/>
          <w:szCs w:val="18"/>
        </w:rPr>
      </w:pPr>
      <w:r>
        <w:rPr>
          <w:rStyle w:val="FootnoteReference"/>
          <w:sz w:val="18"/>
          <w:szCs w:val="18"/>
        </w:rPr>
        <w:footnoteRef/>
      </w:r>
      <w:r>
        <w:rPr>
          <w:sz w:val="18"/>
          <w:szCs w:val="18"/>
        </w:rPr>
        <w:t xml:space="preserve"> </w:t>
      </w:r>
      <w:r>
        <w:rPr>
          <w:sz w:val="18"/>
          <w:szCs w:val="18"/>
        </w:rPr>
        <w:tab/>
        <w:t>OJ L 163, 23.6.2007, p. 17.</w:t>
      </w:r>
    </w:p>
  </w:footnote>
  <w:footnote w:id="17">
    <w:p>
      <w:pPr>
        <w:pStyle w:val="FootnoteText"/>
        <w:rPr>
          <w:sz w:val="18"/>
          <w:szCs w:val="18"/>
        </w:rPr>
      </w:pPr>
      <w:r>
        <w:rPr>
          <w:rStyle w:val="FootnoteReference"/>
        </w:rPr>
        <w:footnoteRef/>
      </w:r>
      <w:r>
        <w:tab/>
      </w:r>
      <w:r>
        <w:rPr>
          <w:sz w:val="18"/>
          <w:szCs w:val="18"/>
        </w:rPr>
        <w:t xml:space="preserve">Commission working document of 23 May 2007 "Calculation, financing, payment and entry in the budget of the correction of budgetary imbalances in accordance with Articles 4 and 5 of Council Decision [2007/436/EC, Euratom] on the system of the European Communities' own resources” available on: </w:t>
      </w:r>
    </w:p>
    <w:p>
      <w:pPr>
        <w:pStyle w:val="FootnoteText"/>
        <w:spacing w:after="60"/>
        <w:ind w:firstLine="0"/>
        <w:rPr>
          <w:sz w:val="18"/>
          <w:szCs w:val="18"/>
        </w:rPr>
      </w:pPr>
      <w:hyperlink r:id="rId1" w:history="1">
        <w:r>
          <w:rPr>
            <w:rStyle w:val="Hyperlink"/>
            <w:sz w:val="18"/>
            <w:szCs w:val="18"/>
          </w:rPr>
          <w:t>http://ec.europa.eu/budget/library/biblio/documents/financing/calc_own_res_2007_en.pdf</w:t>
        </w:r>
      </w:hyperlink>
      <w:r>
        <w:rPr>
          <w:sz w:val="18"/>
          <w:szCs w:val="18"/>
        </w:rPr>
        <w:t>.</w:t>
      </w:r>
    </w:p>
  </w:footnote>
  <w:footnote w:id="18">
    <w:p>
      <w:pPr>
        <w:pStyle w:val="FootnoteText"/>
        <w:rPr>
          <w:sz w:val="18"/>
          <w:szCs w:val="18"/>
        </w:rPr>
      </w:pPr>
      <w:r>
        <w:rPr>
          <w:rStyle w:val="FootnoteReference"/>
        </w:rPr>
        <w:footnoteRef/>
      </w:r>
      <w:r>
        <w:t xml:space="preserve"> </w:t>
      </w:r>
      <w:r>
        <w:tab/>
      </w:r>
      <w:r>
        <w:rPr>
          <w:sz w:val="18"/>
          <w:szCs w:val="18"/>
        </w:rPr>
        <w:t>OJ L 168, 7.6.2014, p. 105-111.</w:t>
      </w:r>
    </w:p>
  </w:footnote>
  <w:footnote w:id="19">
    <w:p>
      <w:pPr>
        <w:autoSpaceDE w:val="0"/>
        <w:autoSpaceDN w:val="0"/>
        <w:adjustRightInd w:val="0"/>
        <w:ind w:left="720" w:hanging="720"/>
        <w:rPr>
          <w:sz w:val="18"/>
          <w:szCs w:val="18"/>
        </w:rPr>
      </w:pPr>
      <w:r>
        <w:rPr>
          <w:rStyle w:val="FootnoteReference"/>
        </w:rPr>
        <w:footnoteRef/>
      </w:r>
      <w:r>
        <w:tab/>
      </w:r>
      <w:r>
        <w:rPr>
          <w:sz w:val="18"/>
          <w:szCs w:val="18"/>
        </w:rPr>
        <w:t>Commission working document of 14 May 2014 "Calculation, financing, payment and entry in the budget of the correction of budgetary imbalances in favour of the United Kingdom ("the correction") in accordance with Articles 4 and 5 of Council Decision [2014/335/EC, Euratom] on the system of own resources of the European Union” available on:</w:t>
      </w:r>
      <w:r>
        <w:rPr>
          <w:b/>
          <w:bCs/>
        </w:rPr>
        <w:t xml:space="preserve"> </w:t>
      </w:r>
    </w:p>
    <w:p>
      <w:pPr>
        <w:pStyle w:val="FootnoteText"/>
        <w:ind w:firstLine="0"/>
        <w:rPr>
          <w:sz w:val="18"/>
          <w:szCs w:val="18"/>
        </w:rPr>
      </w:pPr>
      <w:r>
        <w:rPr>
          <w:sz w:val="18"/>
          <w:szCs w:val="18"/>
        </w:rPr>
        <w:t xml:space="preserve"> </w:t>
      </w:r>
      <w:hyperlink r:id="rId2" w:history="1">
        <w:r>
          <w:rPr>
            <w:rStyle w:val="Hyperlink"/>
            <w:sz w:val="18"/>
            <w:szCs w:val="18"/>
          </w:rPr>
          <w:t>http://eur-lex.europa.eu/legal-content/EN/TXT/PDF/?uri=CELEX:52014DC0271&amp;rid=8</w:t>
        </w:r>
      </w:hyperlink>
      <w:r>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4E49F88"/>
    <w:lvl w:ilvl="0">
      <w:start w:val="1"/>
      <w:numFmt w:val="decimal"/>
      <w:pStyle w:val="ListNumber5"/>
      <w:lvlText w:val="%1."/>
      <w:lvlJc w:val="left"/>
      <w:pPr>
        <w:tabs>
          <w:tab w:val="num" w:pos="1492"/>
        </w:tabs>
        <w:ind w:left="1492" w:hanging="360"/>
      </w:pPr>
    </w:lvl>
  </w:abstractNum>
  <w:abstractNum w:abstractNumId="1">
    <w:nsid w:val="FFFFFF82"/>
    <w:multiLevelType w:val="singleLevel"/>
    <w:tmpl w:val="338AC504"/>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8"/>
    <w:multiLevelType w:val="singleLevel"/>
    <w:tmpl w:val="EA1A9734"/>
    <w:lvl w:ilvl="0">
      <w:start w:val="1"/>
      <w:numFmt w:val="decimal"/>
      <w:lvlText w:val="%1."/>
      <w:lvlJc w:val="left"/>
      <w:pPr>
        <w:tabs>
          <w:tab w:val="num" w:pos="360"/>
        </w:tabs>
        <w:ind w:left="360" w:hanging="360"/>
      </w:pPr>
    </w:lvl>
  </w:abstractNum>
  <w:abstractNum w:abstractNumId="3">
    <w:nsid w:val="04D63873"/>
    <w:multiLevelType w:val="multilevel"/>
    <w:tmpl w:val="86FE23B4"/>
    <w:lvl w:ilvl="0">
      <w:start w:val="1"/>
      <w:numFmt w:val="decimal"/>
      <w:lvlRestart w:val="0"/>
      <w:pStyle w:val="ListNumber"/>
      <w:lvlText w:val="(%1)"/>
      <w:lvlJc w:val="left"/>
      <w:pPr>
        <w:tabs>
          <w:tab w:val="num" w:pos="709"/>
        </w:tabs>
        <w:ind w:left="709" w:hanging="709"/>
      </w:pPr>
      <w:rPr>
        <w:rFonts w:hint="default"/>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8BE211A"/>
    <w:multiLevelType w:val="hybridMultilevel"/>
    <w:tmpl w:val="B8AAEDF2"/>
    <w:lvl w:ilvl="0" w:tplc="767E329A">
      <w:start w:val="1"/>
      <w:numFmt w:val="bullet"/>
      <w:lvlText w:val="-"/>
      <w:lvlJc w:val="left"/>
      <w:pPr>
        <w:ind w:left="720" w:hanging="360"/>
      </w:pPr>
      <w:rPr>
        <w:rFonts w:ascii="Times New Roman" w:eastAsia="Times New Roman" w:hAnsi="Times New Roman" w:cs="Times New Roman"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FF3F75"/>
    <w:multiLevelType w:val="hybridMultilevel"/>
    <w:tmpl w:val="A6E6743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99C6FA8"/>
    <w:multiLevelType w:val="hybridMultilevel"/>
    <w:tmpl w:val="D7D82866"/>
    <w:lvl w:ilvl="0" w:tplc="70981A52">
      <w:start w:val="1"/>
      <w:numFmt w:val="bullet"/>
      <w:lvlText w:val=""/>
      <w:lvlJc w:val="left"/>
      <w:pPr>
        <w:ind w:left="525" w:hanging="525"/>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9">
    <w:nsid w:val="2CE46741"/>
    <w:multiLevelType w:val="hybridMultilevel"/>
    <w:tmpl w:val="CF823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082309E"/>
    <w:multiLevelType w:val="hybridMultilevel"/>
    <w:tmpl w:val="C55042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2">
    <w:nsid w:val="34AF67B3"/>
    <w:multiLevelType w:val="hybridMultilevel"/>
    <w:tmpl w:val="206672F4"/>
    <w:lvl w:ilvl="0" w:tplc="5FD4A2D4">
      <w:start w:val="2"/>
      <w:numFmt w:val="bullet"/>
      <w:lvlText w:val="·"/>
      <w:lvlJc w:val="left"/>
      <w:pPr>
        <w:ind w:left="885" w:hanging="525"/>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4">
    <w:nsid w:val="40315490"/>
    <w:multiLevelType w:val="singleLevel"/>
    <w:tmpl w:val="1F86C700"/>
    <w:lvl w:ilvl="0">
      <w:start w:val="1"/>
      <w:numFmt w:val="bullet"/>
      <w:lvlRestart w:val="0"/>
      <w:lvlText w:val="–"/>
      <w:lvlJc w:val="left"/>
      <w:pPr>
        <w:tabs>
          <w:tab w:val="num" w:pos="283"/>
        </w:tabs>
        <w:ind w:left="283" w:hanging="283"/>
      </w:pPr>
      <w:rPr>
        <w:rFonts w:ascii="Times New Roman" w:hAnsi="Times New Roman" w:cs="Times New Roman"/>
      </w:rPr>
    </w:lvl>
  </w:abstractNum>
  <w:abstractNum w:abstractNumId="15">
    <w:nsid w:val="42B56982"/>
    <w:multiLevelType w:val="hybridMultilevel"/>
    <w:tmpl w:val="D0D27D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69A4672"/>
    <w:multiLevelType w:val="hybridMultilevel"/>
    <w:tmpl w:val="A9FA8E7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3290503"/>
    <w:multiLevelType w:val="hybridMultilevel"/>
    <w:tmpl w:val="ADD2FC7E"/>
    <w:lvl w:ilvl="0" w:tplc="767E329A">
      <w:start w:val="1"/>
      <w:numFmt w:val="bullet"/>
      <w:lvlText w:val="-"/>
      <w:lvlJc w:val="left"/>
      <w:pPr>
        <w:ind w:left="720" w:hanging="360"/>
      </w:pPr>
      <w:rPr>
        <w:rFonts w:ascii="Times New Roman" w:eastAsia="Times New Roman" w:hAnsi="Times New Roman" w:cs="Times New Roman"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4E76506"/>
    <w:multiLevelType w:val="hybridMultilevel"/>
    <w:tmpl w:val="9AFA166C"/>
    <w:lvl w:ilvl="0" w:tplc="49467B38">
      <w:start w:val="1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F8C3B69"/>
    <w:multiLevelType w:val="multilevel"/>
    <w:tmpl w:val="C18A497C"/>
    <w:lvl w:ilvl="0">
      <w:start w:val="1"/>
      <w:numFmt w:val="decimal"/>
      <w:lvlRestart w:val="0"/>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2">
    <w:nsid w:val="72796537"/>
    <w:multiLevelType w:val="hybridMultilevel"/>
    <w:tmpl w:val="307437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2AC004F"/>
    <w:multiLevelType w:val="multilevel"/>
    <w:tmpl w:val="57CA7644"/>
    <w:lvl w:ilvl="0">
      <w:start w:val="1"/>
      <w:numFmt w:val="decimal"/>
      <w:lvlRestart w:val="0"/>
      <w:lvlText w:val="(%1)"/>
      <w:lvlJc w:val="left"/>
      <w:pPr>
        <w:tabs>
          <w:tab w:val="num" w:pos="709"/>
        </w:tabs>
        <w:ind w:left="709" w:hanging="709"/>
      </w:pPr>
      <w:rPr>
        <w:rFonts w:hint="default"/>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cs="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7AC94459"/>
    <w:multiLevelType w:val="hybridMultilevel"/>
    <w:tmpl w:val="AB8E0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21"/>
  </w:num>
  <w:num w:numId="4">
    <w:abstractNumId w:val="13"/>
  </w:num>
  <w:num w:numId="5">
    <w:abstractNumId w:val="8"/>
  </w:num>
  <w:num w:numId="6">
    <w:abstractNumId w:val="19"/>
  </w:num>
  <w:num w:numId="7">
    <w:abstractNumId w:val="6"/>
  </w:num>
  <w:num w:numId="8">
    <w:abstractNumId w:val="20"/>
  </w:num>
  <w:num w:numId="9">
    <w:abstractNumId w:val="0"/>
  </w:num>
  <w:num w:numId="10">
    <w:abstractNumId w:val="1"/>
  </w:num>
  <w:num w:numId="11">
    <w:abstractNumId w:val="10"/>
  </w:num>
  <w:num w:numId="12">
    <w:abstractNumId w:val="14"/>
  </w:num>
  <w:num w:numId="13">
    <w:abstractNumId w:val="15"/>
  </w:num>
  <w:num w:numId="14">
    <w:abstractNumId w:val="14"/>
  </w:num>
  <w:num w:numId="15">
    <w:abstractNumId w:val="14"/>
  </w:num>
  <w:num w:numId="16">
    <w:abstractNumId w:val="14"/>
  </w:num>
  <w:num w:numId="17">
    <w:abstractNumId w:val="5"/>
  </w:num>
  <w:num w:numId="18">
    <w:abstractNumId w:val="16"/>
  </w:num>
  <w:num w:numId="19">
    <w:abstractNumId w:val="22"/>
  </w:num>
  <w:num w:numId="20">
    <w:abstractNumId w:val="19"/>
  </w:num>
  <w:num w:numId="21">
    <w:abstractNumId w:val="2"/>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9"/>
  </w:num>
  <w:num w:numId="25">
    <w:abstractNumId w:val="19"/>
  </w:num>
  <w:num w:numId="26">
    <w:abstractNumId w:val="19"/>
  </w:num>
  <w:num w:numId="27">
    <w:abstractNumId w:val="23"/>
  </w:num>
  <w:num w:numId="28">
    <w:abstractNumId w:val="3"/>
  </w:num>
  <w:num w:numId="29">
    <w:abstractNumId w:val="3"/>
    <w:lvlOverride w:ilvl="0">
      <w:lvl w:ilvl="0">
        <w:start w:val="1"/>
        <w:numFmt w:val="decimal"/>
        <w:lvlRestart w:val="0"/>
        <w:pStyle w:val="ListNumber"/>
        <w:lvlText w:val="(%1)"/>
        <w:lvlJc w:val="left"/>
        <w:pPr>
          <w:tabs>
            <w:tab w:val="num" w:pos="709"/>
          </w:tabs>
          <w:ind w:left="709" w:hanging="709"/>
        </w:pPr>
        <w:rPr>
          <w:rFonts w:hint="default"/>
        </w:rPr>
      </w:lvl>
    </w:lvlOverride>
    <w:lvlOverride w:ilvl="1">
      <w:lvl w:ilvl="1">
        <w:start w:val="1"/>
        <w:numFmt w:val="lowerLetter"/>
        <w:pStyle w:val="ListNumberLevel2"/>
        <w:lvlText w:val="(%2)"/>
        <w:lvlJc w:val="left"/>
        <w:pPr>
          <w:tabs>
            <w:tab w:val="num" w:pos="1417"/>
          </w:tabs>
          <w:ind w:left="1417" w:hanging="708"/>
        </w:pPr>
        <w:rPr>
          <w:rFonts w:hint="default"/>
        </w:rPr>
      </w:lvl>
    </w:lvlOverride>
    <w:lvlOverride w:ilvl="2">
      <w:lvl w:ilvl="2">
        <w:start w:val="1"/>
        <w:numFmt w:val="bullet"/>
        <w:pStyle w:val="ListNumberLevel3"/>
        <w:lvlText w:val="–"/>
        <w:lvlJc w:val="left"/>
        <w:pPr>
          <w:tabs>
            <w:tab w:val="num" w:pos="2126"/>
          </w:tabs>
          <w:ind w:left="2126" w:hanging="709"/>
        </w:pPr>
        <w:rPr>
          <w:rFonts w:ascii="Times New Roman" w:hAnsi="Times New Roman" w:cs="Times New Roman" w:hint="default"/>
        </w:rPr>
      </w:lvl>
    </w:lvlOverride>
    <w:lvlOverride w:ilvl="3">
      <w:lvl w:ilvl="3">
        <w:start w:val="1"/>
        <w:numFmt w:val="bullet"/>
        <w:pStyle w:val="ListNumberLevel4"/>
        <w:lvlText w:val=""/>
        <w:lvlJc w:val="left"/>
        <w:pPr>
          <w:tabs>
            <w:tab w:val="num" w:pos="2835"/>
          </w:tabs>
          <w:ind w:left="2835" w:hanging="709"/>
        </w:pPr>
        <w:rPr>
          <w:rFonts w:ascii="Symbol" w:hAnsi="Symbol"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0">
    <w:abstractNumId w:val="3"/>
    <w:lvlOverride w:ilvl="0">
      <w:lvl w:ilvl="0">
        <w:start w:val="1"/>
        <w:numFmt w:val="decimal"/>
        <w:lvlRestart w:val="0"/>
        <w:pStyle w:val="ListNumber"/>
        <w:lvlText w:val="(%1)"/>
        <w:lvlJc w:val="left"/>
        <w:pPr>
          <w:tabs>
            <w:tab w:val="num" w:pos="709"/>
          </w:tabs>
          <w:ind w:left="709" w:hanging="709"/>
        </w:pPr>
        <w:rPr>
          <w:rFonts w:hint="default"/>
        </w:rPr>
      </w:lvl>
    </w:lvlOverride>
    <w:lvlOverride w:ilvl="1">
      <w:lvl w:ilvl="1">
        <w:start w:val="1"/>
        <w:numFmt w:val="lowerLetter"/>
        <w:pStyle w:val="ListNumberLevel2"/>
        <w:lvlText w:val="(%2)"/>
        <w:lvlJc w:val="left"/>
        <w:pPr>
          <w:tabs>
            <w:tab w:val="num" w:pos="1417"/>
          </w:tabs>
          <w:ind w:left="1417" w:hanging="708"/>
        </w:pPr>
        <w:rPr>
          <w:rFonts w:hint="default"/>
        </w:rPr>
      </w:lvl>
    </w:lvlOverride>
    <w:lvlOverride w:ilvl="2">
      <w:lvl w:ilvl="2">
        <w:start w:val="1"/>
        <w:numFmt w:val="bullet"/>
        <w:pStyle w:val="ListNumberLevel3"/>
        <w:lvlText w:val="–"/>
        <w:lvlJc w:val="left"/>
        <w:pPr>
          <w:tabs>
            <w:tab w:val="num" w:pos="2126"/>
          </w:tabs>
          <w:ind w:left="2126" w:hanging="709"/>
        </w:pPr>
        <w:rPr>
          <w:rFonts w:ascii="Times New Roman" w:hAnsi="Times New Roman" w:cs="Times New Roman" w:hint="default"/>
        </w:rPr>
      </w:lvl>
    </w:lvlOverride>
    <w:lvlOverride w:ilvl="3">
      <w:lvl w:ilvl="3">
        <w:start w:val="1"/>
        <w:numFmt w:val="bullet"/>
        <w:pStyle w:val="ListNumberLevel4"/>
        <w:lvlText w:val=""/>
        <w:lvlJc w:val="left"/>
        <w:pPr>
          <w:tabs>
            <w:tab w:val="num" w:pos="2835"/>
          </w:tabs>
          <w:ind w:left="2835" w:hanging="709"/>
        </w:pPr>
        <w:rPr>
          <w:rFonts w:ascii="Symbol" w:hAnsi="Symbol"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1">
    <w:abstractNumId w:val="3"/>
    <w:lvlOverride w:ilvl="0">
      <w:startOverride w:val="1"/>
      <w:lvl w:ilvl="0">
        <w:start w:val="1"/>
        <w:numFmt w:val="decimal"/>
        <w:lvlRestart w:val="0"/>
        <w:pStyle w:val="ListNumber"/>
        <w:lvlText w:val="(%1)"/>
        <w:lvlJc w:val="left"/>
        <w:pPr>
          <w:tabs>
            <w:tab w:val="num" w:pos="709"/>
          </w:tabs>
          <w:ind w:left="709" w:hanging="709"/>
        </w:pPr>
        <w:rPr>
          <w:rFonts w:hint="default"/>
        </w:rPr>
      </w:lvl>
    </w:lvlOverride>
    <w:lvlOverride w:ilvl="1">
      <w:startOverride w:val="1"/>
      <w:lvl w:ilvl="1">
        <w:start w:val="1"/>
        <w:numFmt w:val="lowerLetter"/>
        <w:pStyle w:val="ListNumberLevel2"/>
        <w:lvlText w:val="(%2)"/>
        <w:lvlJc w:val="left"/>
        <w:pPr>
          <w:tabs>
            <w:tab w:val="num" w:pos="1417"/>
          </w:tabs>
          <w:ind w:left="1417" w:hanging="708"/>
        </w:pPr>
        <w:rPr>
          <w:rFonts w:hint="default"/>
        </w:rPr>
      </w:lvl>
    </w:lvlOverride>
    <w:lvlOverride w:ilvl="2">
      <w:startOverride w:val="1"/>
      <w:lvl w:ilvl="2">
        <w:start w:val="1"/>
        <w:numFmt w:val="bullet"/>
        <w:pStyle w:val="ListNumberLevel3"/>
        <w:lvlText w:val="–"/>
        <w:lvlJc w:val="left"/>
        <w:pPr>
          <w:tabs>
            <w:tab w:val="num" w:pos="2126"/>
          </w:tabs>
          <w:ind w:left="2126" w:hanging="709"/>
        </w:pPr>
        <w:rPr>
          <w:rFonts w:ascii="Times New Roman" w:hAnsi="Times New Roman" w:cs="Times New Roman" w:hint="default"/>
        </w:rPr>
      </w:lvl>
    </w:lvlOverride>
    <w:lvlOverride w:ilvl="3">
      <w:startOverride w:val="1"/>
      <w:lvl w:ilvl="3">
        <w:start w:val="1"/>
        <w:numFmt w:val="bullet"/>
        <w:pStyle w:val="ListNumberLevel4"/>
        <w:lvlText w:val=""/>
        <w:lvlJc w:val="left"/>
        <w:pPr>
          <w:tabs>
            <w:tab w:val="num" w:pos="2835"/>
          </w:tabs>
          <w:ind w:left="2835" w:hanging="709"/>
        </w:pPr>
        <w:rPr>
          <w:rFonts w:ascii="Symbol" w:hAnsi="Symbol" w:hint="default"/>
        </w:rPr>
      </w:lvl>
    </w:lvlOverride>
    <w:lvlOverride w:ilvl="4">
      <w:startOverride w:val="1"/>
      <w:lvl w:ilvl="4">
        <w:start w:val="1"/>
        <w:numFmt w:val="lowerLetter"/>
        <w:lvlText w:val="(%5)"/>
        <w:lvlJc w:val="left"/>
        <w:pPr>
          <w:tabs>
            <w:tab w:val="num" w:pos="1800"/>
          </w:tabs>
          <w:ind w:left="1800" w:hanging="360"/>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2">
    <w:abstractNumId w:val="3"/>
    <w:lvlOverride w:ilvl="0">
      <w:startOverride w:val="1"/>
      <w:lvl w:ilvl="0">
        <w:start w:val="1"/>
        <w:numFmt w:val="decimal"/>
        <w:lvlRestart w:val="0"/>
        <w:pStyle w:val="ListNumber"/>
        <w:lvlText w:val="(%1)"/>
        <w:lvlJc w:val="left"/>
        <w:pPr>
          <w:tabs>
            <w:tab w:val="num" w:pos="709"/>
          </w:tabs>
          <w:ind w:left="709" w:hanging="709"/>
        </w:pPr>
        <w:rPr>
          <w:rFonts w:hint="default"/>
        </w:rPr>
      </w:lvl>
    </w:lvlOverride>
    <w:lvlOverride w:ilvl="1">
      <w:startOverride w:val="1"/>
      <w:lvl w:ilvl="1">
        <w:start w:val="1"/>
        <w:numFmt w:val="lowerLetter"/>
        <w:pStyle w:val="ListNumberLevel2"/>
        <w:lvlText w:val="(%2)"/>
        <w:lvlJc w:val="left"/>
        <w:pPr>
          <w:tabs>
            <w:tab w:val="num" w:pos="1417"/>
          </w:tabs>
          <w:ind w:left="1417" w:hanging="708"/>
        </w:pPr>
        <w:rPr>
          <w:rFonts w:hint="default"/>
        </w:rPr>
      </w:lvl>
    </w:lvlOverride>
    <w:lvlOverride w:ilvl="2">
      <w:startOverride w:val="1"/>
      <w:lvl w:ilvl="2">
        <w:start w:val="1"/>
        <w:numFmt w:val="bullet"/>
        <w:pStyle w:val="ListNumberLevel3"/>
        <w:lvlText w:val="–"/>
        <w:lvlJc w:val="left"/>
        <w:pPr>
          <w:tabs>
            <w:tab w:val="num" w:pos="2126"/>
          </w:tabs>
          <w:ind w:left="2126" w:hanging="709"/>
        </w:pPr>
        <w:rPr>
          <w:rFonts w:ascii="Times New Roman" w:hAnsi="Times New Roman" w:cs="Times New Roman" w:hint="default"/>
        </w:rPr>
      </w:lvl>
    </w:lvlOverride>
    <w:lvlOverride w:ilvl="3">
      <w:startOverride w:val="1"/>
      <w:lvl w:ilvl="3">
        <w:start w:val="1"/>
        <w:numFmt w:val="bullet"/>
        <w:pStyle w:val="ListNumberLevel4"/>
        <w:lvlText w:val=""/>
        <w:lvlJc w:val="left"/>
        <w:pPr>
          <w:tabs>
            <w:tab w:val="num" w:pos="2835"/>
          </w:tabs>
          <w:ind w:left="2835" w:hanging="709"/>
        </w:pPr>
        <w:rPr>
          <w:rFonts w:ascii="Symbol" w:hAnsi="Symbol" w:hint="default"/>
        </w:rPr>
      </w:lvl>
    </w:lvlOverride>
    <w:lvlOverride w:ilvl="4">
      <w:startOverride w:val="1"/>
      <w:lvl w:ilvl="4">
        <w:start w:val="1"/>
        <w:numFmt w:val="lowerLetter"/>
        <w:lvlText w:val="(%5)"/>
        <w:lvlJc w:val="left"/>
        <w:pPr>
          <w:tabs>
            <w:tab w:val="num" w:pos="1800"/>
          </w:tabs>
          <w:ind w:left="1800" w:hanging="360"/>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3">
    <w:abstractNumId w:val="17"/>
  </w:num>
  <w:num w:numId="34">
    <w:abstractNumId w:val="4"/>
  </w:num>
  <w:num w:numId="35">
    <w:abstractNumId w:val="9"/>
  </w:num>
  <w:num w:numId="36">
    <w:abstractNumId w:val="11"/>
  </w:num>
  <w:num w:numId="37">
    <w:abstractNumId w:val="18"/>
  </w:num>
  <w:num w:numId="38">
    <w:abstractNumId w:val="24"/>
  </w:num>
  <w:num w:numId="39">
    <w:abstractNumId w:val="12"/>
  </w:num>
  <w:num w:numId="4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AC395C1A64D64229BCC9DEF0490ED6FD"/>
    <w:docVar w:name="LW_CROSSREFERENCE" w:val="&lt;UNUSED&gt;"/>
    <w:docVar w:name="LW_DocType" w:val="NORMAL"/>
    <w:docVar w:name="LW_EMISSION" w:val="9.10.2017"/>
    <w:docVar w:name="LW_EMISSION_ISODATE" w:val="2017-10-09"/>
    <w:docVar w:name="LW_EMISSION_LOCATION" w:val="BRX"/>
    <w:docVar w:name="LW_EMISSION_PREFIX" w:val="Brussels, "/>
    <w:docVar w:name="LW_EMISSION_SUFFIX" w:val="&lt;EMPTY&gt;"/>
    <w:docVar w:name="LW_ID_DOCTYPE_NONLW" w:val="CP-035"/>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597"/>
    <w:docVar w:name="LW_REF.INTERNE" w:val="&lt;UNUSED&gt;"/>
    <w:docVar w:name="LW_SOUS.TITRE.OBJ.CP" w:val="&lt;UNUSED&gt;"/>
    <w:docVar w:name="LW_SUPERTITRE" w:val="&lt;UNUSED&gt;"/>
    <w:docVar w:name="LW_TITRE.OBJ.CP" w:val="Reduction of payment and commitment appropriations in line with updated forecasts of expenditure and update of revenue (own resources and fines)"/>
    <w:docVar w:name="LW_TITRE.OBJ.CP_PREVIOUS" w:val="&lt;UNUSED&gt;"/>
    <w:docVar w:name="LW_TYPE.DOC.CP" w:val="DRAFT AMENDING BUDGET No 6_x000b_TO THE GENERAL BUDGET 2017"/>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caption" w:semiHidden="1" w:unhideWhenUsed="1" w:qFormat="1"/>
    <w:lsdException w:name="List Bullet 3"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autoRedefine/>
    <w:qFormat/>
    <w:pPr>
      <w:keepNext/>
      <w:spacing w:before="240" w:after="120"/>
      <w:outlineLvl w:val="0"/>
    </w:pPr>
    <w:rPr>
      <w:rFonts w:ascii="Arial" w:hAnsi="Arial" w:cs="Arial"/>
      <w:b/>
      <w:bCs/>
      <w:kern w:val="32"/>
      <w:sz w:val="32"/>
      <w:szCs w:val="32"/>
    </w:rPr>
  </w:style>
  <w:style w:type="paragraph" w:styleId="Heading2">
    <w:name w:val="heading 2"/>
    <w:basedOn w:val="Normal"/>
    <w:next w:val="Normal"/>
    <w:autoRedefine/>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qFormat/>
    <w:pPr>
      <w:keepNext/>
      <w:numPr>
        <w:ilvl w:val="3"/>
      </w:numPr>
      <w:tabs>
        <w:tab w:val="num" w:pos="1030"/>
      </w:tabs>
      <w:spacing w:before="120" w:after="120"/>
      <w:ind w:left="1030" w:hanging="850"/>
      <w:jc w:val="both"/>
      <w:outlineLvl w:val="3"/>
    </w:pPr>
    <w:rPr>
      <w:b/>
      <w:bCs/>
      <w:szCs w:val="28"/>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535"/>
        <w:tab w:val="right" w:pos="9071"/>
        <w:tab w:val="right" w:pos="9921"/>
      </w:tabs>
      <w:spacing w:before="360"/>
      <w:ind w:left="-850" w:right="-850"/>
    </w:pPr>
    <w:rPr>
      <w:lang w:eastAsia="de-DE"/>
    </w:rPr>
  </w:style>
  <w:style w:type="paragraph" w:styleId="FootnoteText">
    <w:name w:val="footnote text"/>
    <w:basedOn w:val="Normal"/>
    <w:link w:val="FootnoteTextChar"/>
    <w:pPr>
      <w:ind w:left="720" w:hanging="720"/>
      <w:jc w:val="both"/>
    </w:pPr>
    <w:rPr>
      <w:sz w:val="20"/>
      <w:szCs w:val="20"/>
      <w:lang w:eastAsia="de-DE"/>
    </w:rPr>
  </w:style>
  <w:style w:type="paragraph" w:styleId="TOC1">
    <w:name w:val="toc 1"/>
    <w:basedOn w:val="Normal"/>
    <w:next w:val="Normal"/>
    <w:uiPriority w:val="39"/>
    <w:qFormat/>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rPr>
      <w:vertAlign w:val="superscript"/>
    </w:rPr>
  </w:style>
  <w:style w:type="paragraph" w:customStyle="1" w:styleId="Text1">
    <w:name w:val="Text 1"/>
    <w:basedOn w:val="Normal"/>
    <w:pPr>
      <w:spacing w:before="120" w:after="120"/>
      <w:ind w:left="850"/>
      <w:jc w:val="both"/>
    </w:pPr>
    <w:rPr>
      <w:lang w:eastAsia="de-DE"/>
    </w:rPr>
  </w:style>
  <w:style w:type="paragraph" w:customStyle="1" w:styleId="Tiret0">
    <w:name w:val="Tiret 0"/>
    <w:basedOn w:val="Normal"/>
    <w:pPr>
      <w:numPr>
        <w:numId w:val="1"/>
      </w:numPr>
      <w:spacing w:before="120" w:after="120"/>
      <w:jc w:val="both"/>
    </w:pPr>
    <w:rPr>
      <w:lang w:eastAsia="de-DE"/>
    </w:rPr>
  </w:style>
  <w:style w:type="paragraph" w:customStyle="1" w:styleId="ManualHeading1">
    <w:name w:val="Manual Heading 1"/>
    <w:basedOn w:val="Normal"/>
    <w:next w:val="Text1"/>
    <w:pPr>
      <w:keepNext/>
      <w:tabs>
        <w:tab w:val="left" w:pos="850"/>
      </w:tabs>
      <w:spacing w:before="240" w:after="120"/>
      <w:ind w:left="851" w:hanging="851"/>
      <w:jc w:val="both"/>
      <w:outlineLvl w:val="0"/>
    </w:pPr>
    <w:rPr>
      <w:b/>
      <w:smallCaps/>
      <w:noProof/>
      <w:lang w:eastAsia="de-DE"/>
    </w:rPr>
  </w:style>
  <w:style w:type="paragraph" w:customStyle="1" w:styleId="ManualHeading2">
    <w:name w:val="Manual Heading 2"/>
    <w:basedOn w:val="Normal"/>
    <w:next w:val="Normal"/>
    <w:pPr>
      <w:keepNext/>
      <w:tabs>
        <w:tab w:val="left" w:pos="850"/>
      </w:tabs>
      <w:spacing w:before="360" w:after="120"/>
      <w:ind w:left="850" w:hanging="850"/>
      <w:jc w:val="both"/>
      <w:outlineLvl w:val="1"/>
    </w:pPr>
    <w:rPr>
      <w:rFonts w:eastAsia="Calibri"/>
      <w:b/>
      <w:noProof/>
      <w:lang w:eastAsia="de-DE"/>
    </w:rPr>
  </w:style>
  <w:style w:type="paragraph" w:customStyle="1" w:styleId="ListDash">
    <w:name w:val="List Dash"/>
    <w:basedOn w:val="Normal"/>
    <w:link w:val="ListDashChar"/>
    <w:pPr>
      <w:spacing w:before="120" w:after="120"/>
      <w:jc w:val="both"/>
    </w:pPr>
    <w:rPr>
      <w:lang w:eastAsia="de-DE"/>
    </w:rPr>
  </w:style>
  <w:style w:type="paragraph" w:styleId="TOCHeading">
    <w:name w:val="TOC Heading"/>
    <w:basedOn w:val="Normal"/>
    <w:next w:val="Normal"/>
    <w:uiPriority w:val="39"/>
    <w:qFormat/>
    <w:pPr>
      <w:spacing w:before="120" w:after="240"/>
      <w:jc w:val="center"/>
    </w:pPr>
    <w:rPr>
      <w:b/>
      <w:sz w:val="28"/>
      <w:lang w:eastAsia="de-DE"/>
    </w:rPr>
  </w:style>
  <w:style w:type="paragraph" w:customStyle="1" w:styleId="Prliminairetitre">
    <w:name w:val="Préliminaire titre"/>
    <w:basedOn w:val="Normal"/>
    <w:next w:val="Normal"/>
    <w:pPr>
      <w:spacing w:before="360" w:after="360"/>
      <w:jc w:val="center"/>
    </w:pPr>
    <w:rPr>
      <w:b/>
      <w:lang w:eastAsia="de-DE"/>
    </w:rPr>
  </w:style>
  <w:style w:type="paragraph" w:customStyle="1" w:styleId="Prliminairetype">
    <w:name w:val="Préliminaire type"/>
    <w:basedOn w:val="Normal"/>
    <w:next w:val="Normal"/>
    <w:pPr>
      <w:spacing w:before="360"/>
      <w:jc w:val="center"/>
    </w:pPr>
    <w:rPr>
      <w:b/>
      <w:lang w:eastAsia="de-DE"/>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rPr>
      <w:lang w:eastAsia="en-US"/>
    </w:rPr>
  </w:style>
  <w:style w:type="paragraph" w:styleId="Header">
    <w:name w:val="header"/>
    <w:basedOn w:val="Normal"/>
    <w:pPr>
      <w:tabs>
        <w:tab w:val="center" w:pos="4536"/>
        <w:tab w:val="right" w:pos="9072"/>
      </w:tabs>
    </w:p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qFormat/>
    <w:pPr>
      <w:tabs>
        <w:tab w:val="left" w:pos="720"/>
        <w:tab w:val="right" w:leader="dot" w:pos="9061"/>
      </w:tabs>
      <w:ind w:left="709" w:hanging="469"/>
    </w:pPr>
    <w:rPr>
      <w:smallCaps/>
      <w:sz w:val="20"/>
      <w:szCs w:val="20"/>
    </w:rPr>
  </w:style>
  <w:style w:type="paragraph" w:styleId="TOC3">
    <w:name w:val="toc 3"/>
    <w:basedOn w:val="Normal"/>
    <w:next w:val="Normal"/>
    <w:autoRedefine/>
    <w:semiHidden/>
    <w:qFormat/>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3"/>
      </w:numPr>
      <w:spacing w:before="120" w:after="120"/>
      <w:jc w:val="both"/>
    </w:pPr>
    <w:rPr>
      <w:lang w:eastAsia="de-DE"/>
    </w:rPr>
  </w:style>
  <w:style w:type="paragraph" w:customStyle="1" w:styleId="ListDash2">
    <w:name w:val="List Dash 2"/>
    <w:basedOn w:val="Normal"/>
    <w:pPr>
      <w:tabs>
        <w:tab w:val="num" w:pos="1134"/>
      </w:tabs>
      <w:spacing w:before="120" w:after="120"/>
      <w:ind w:left="1134" w:hanging="283"/>
      <w:jc w:val="both"/>
    </w:pPr>
    <w:rPr>
      <w:lang w:eastAsia="de-DE"/>
    </w:rPr>
  </w:style>
  <w:style w:type="paragraph" w:customStyle="1" w:styleId="ListBullet1">
    <w:name w:val="List Bullet 1"/>
    <w:basedOn w:val="Text1"/>
    <w:pPr>
      <w:numPr>
        <w:numId w:val="4"/>
      </w:numPr>
      <w:spacing w:before="0" w:after="240"/>
    </w:pPr>
    <w:rPr>
      <w:szCs w:val="20"/>
      <w:lang w:eastAsia="en-US"/>
    </w:rPr>
  </w:style>
  <w:style w:type="paragraph" w:styleId="ListBullet2">
    <w:name w:val="List Bullet 2"/>
    <w:basedOn w:val="Normal"/>
    <w:pPr>
      <w:numPr>
        <w:numId w:val="5"/>
      </w:numPr>
      <w:spacing w:after="240"/>
      <w:jc w:val="both"/>
    </w:pPr>
    <w:rPr>
      <w:szCs w:val="20"/>
      <w:lang w:eastAsia="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lang w:eastAsia="en-US"/>
    </w:rPr>
  </w:style>
  <w:style w:type="paragraph" w:customStyle="1" w:styleId="Titreobjet">
    <w:name w:val="Titre objet"/>
    <w:basedOn w:val="Normal"/>
    <w:next w:val="Normal"/>
    <w:pPr>
      <w:spacing w:before="360" w:after="360"/>
      <w:jc w:val="center"/>
    </w:pPr>
    <w:rPr>
      <w:b/>
      <w:lang w:eastAsia="en-US"/>
    </w:rPr>
  </w:style>
  <w:style w:type="character" w:styleId="Emphasis">
    <w:name w:val="Emphasis"/>
    <w:qFormat/>
    <w:rPr>
      <w:i/>
      <w:iCs/>
    </w:rPr>
  </w:style>
  <w:style w:type="paragraph" w:styleId="NormalWeb">
    <w:name w:val="Normal (Web)"/>
    <w:basedOn w:val="Normal"/>
    <w:uiPriority w:val="99"/>
    <w:pPr>
      <w:spacing w:before="100" w:beforeAutospacing="1" w:after="100" w:afterAutospacing="1"/>
    </w:pPr>
  </w:style>
  <w:style w:type="paragraph" w:customStyle="1" w:styleId="Text2">
    <w:name w:val="Text 2"/>
    <w:basedOn w:val="Normal"/>
    <w:pPr>
      <w:spacing w:before="120" w:after="120"/>
      <w:ind w:left="850"/>
      <w:jc w:val="both"/>
    </w:pPr>
    <w:rPr>
      <w:lang w:eastAsia="en-US"/>
    </w:rPr>
  </w:style>
  <w:style w:type="paragraph" w:styleId="BalloonText">
    <w:name w:val="Balloon Text"/>
    <w:basedOn w:val="Normal"/>
    <w:semiHidden/>
    <w:rPr>
      <w:rFonts w:ascii="Tahoma" w:hAnsi="Tahoma" w:cs="Tahoma"/>
      <w:sz w:val="16"/>
      <w:szCs w:val="16"/>
    </w:rPr>
  </w:style>
  <w:style w:type="paragraph" w:styleId="ListNumber">
    <w:name w:val="List Number"/>
    <w:basedOn w:val="Normal"/>
    <w:pPr>
      <w:numPr>
        <w:numId w:val="28"/>
      </w:numPr>
      <w:spacing w:before="120" w:after="120"/>
      <w:jc w:val="both"/>
    </w:pPr>
    <w:rPr>
      <w:lang w:eastAsia="de-DE"/>
    </w:rPr>
  </w:style>
  <w:style w:type="paragraph" w:customStyle="1" w:styleId="ListNumberLevel2">
    <w:name w:val="List Number (Level 2)"/>
    <w:basedOn w:val="Normal"/>
    <w:pPr>
      <w:numPr>
        <w:ilvl w:val="1"/>
        <w:numId w:val="28"/>
      </w:numPr>
      <w:spacing w:before="120" w:after="120"/>
      <w:jc w:val="both"/>
    </w:pPr>
    <w:rPr>
      <w:lang w:eastAsia="de-DE"/>
    </w:rPr>
  </w:style>
  <w:style w:type="paragraph" w:customStyle="1" w:styleId="ListNumberLevel3">
    <w:name w:val="List Number (Level 3)"/>
    <w:basedOn w:val="Normal"/>
    <w:pPr>
      <w:numPr>
        <w:ilvl w:val="2"/>
        <w:numId w:val="28"/>
      </w:numPr>
      <w:spacing w:before="120" w:after="120"/>
      <w:jc w:val="both"/>
    </w:pPr>
    <w:rPr>
      <w:lang w:eastAsia="de-DE"/>
    </w:rPr>
  </w:style>
  <w:style w:type="paragraph" w:customStyle="1" w:styleId="ListNumberLevel4">
    <w:name w:val="List Number (Level 4)"/>
    <w:basedOn w:val="Normal"/>
    <w:pPr>
      <w:numPr>
        <w:ilvl w:val="3"/>
        <w:numId w:val="28"/>
      </w:numPr>
      <w:tabs>
        <w:tab w:val="clear" w:pos="2835"/>
        <w:tab w:val="num" w:pos="360"/>
      </w:tabs>
      <w:spacing w:before="120" w:after="120"/>
      <w:ind w:left="0" w:firstLine="0"/>
      <w:jc w:val="both"/>
    </w:pPr>
    <w:rPr>
      <w:lang w:eastAsia="de-DE"/>
    </w:rPr>
  </w:style>
  <w:style w:type="character" w:customStyle="1" w:styleId="ListDashChar">
    <w:name w:val="List Dash Char"/>
    <w:link w:val="ListDash"/>
    <w:rPr>
      <w:sz w:val="24"/>
      <w:szCs w:val="24"/>
      <w:lang w:eastAsia="de-DE"/>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rPr>
      <w:lang w:eastAsia="de-DE"/>
    </w:rPr>
  </w:style>
  <w:style w:type="paragraph" w:customStyle="1" w:styleId="NormalCentered">
    <w:name w:val="Normal Centered"/>
    <w:basedOn w:val="Normal"/>
    <w:uiPriority w:val="99"/>
    <w:pPr>
      <w:spacing w:before="120" w:after="120"/>
      <w:jc w:val="center"/>
    </w:pPr>
    <w:rPr>
      <w:lang w:eastAsia="de-DE"/>
    </w:rPr>
  </w:style>
  <w:style w:type="paragraph" w:customStyle="1" w:styleId="NormalRight">
    <w:name w:val="Normal Right"/>
    <w:basedOn w:val="Normal"/>
    <w:uiPriority w:val="99"/>
    <w:pPr>
      <w:spacing w:before="120" w:after="120"/>
      <w:jc w:val="right"/>
    </w:pPr>
    <w:rPr>
      <w:lang w:eastAsia="de-DE"/>
    </w:rPr>
  </w:style>
  <w:style w:type="paragraph" w:customStyle="1" w:styleId="NormalLeft">
    <w:name w:val="Normal Left"/>
    <w:basedOn w:val="Normal"/>
    <w:uiPriority w:val="99"/>
    <w:pPr>
      <w:spacing w:before="120" w:after="120"/>
    </w:pPr>
  </w:style>
  <w:style w:type="paragraph" w:styleId="Revision">
    <w:name w:val="Revision"/>
    <w:hidden/>
    <w:uiPriority w:val="99"/>
    <w:semiHidden/>
    <w:rPr>
      <w:sz w:val="24"/>
      <w:szCs w:val="24"/>
    </w:rPr>
  </w:style>
  <w:style w:type="paragraph" w:customStyle="1" w:styleId="Statut">
    <w:name w:val="Statut"/>
    <w:basedOn w:val="Normal"/>
    <w:next w:val="Typedudocument"/>
    <w:pPr>
      <w:spacing w:before="360"/>
      <w:jc w:val="center"/>
    </w:pPr>
    <w:rPr>
      <w:rFonts w:eastAsia="Calibri"/>
      <w:szCs w:val="22"/>
      <w:lang w:eastAsia="en-US"/>
    </w:rPr>
  </w:style>
  <w:style w:type="paragraph" w:customStyle="1" w:styleId="Footnoter">
    <w:name w:val="Footnote r"/>
    <w:basedOn w:val="Normal"/>
    <w:pPr>
      <w:shd w:val="clear" w:color="auto" w:fill="F2F8FB"/>
      <w:spacing w:before="100" w:beforeAutospacing="1" w:after="100" w:afterAutospacing="1"/>
    </w:pPr>
    <w:rPr>
      <w:szCs w:val="22"/>
    </w:rPr>
  </w:style>
  <w:style w:type="character" w:customStyle="1" w:styleId="hps">
    <w:name w:val="hps"/>
  </w:style>
  <w:style w:type="paragraph" w:customStyle="1" w:styleId="Point0number">
    <w:name w:val="Point 0 (number)"/>
    <w:basedOn w:val="Normal"/>
    <w:pPr>
      <w:numPr>
        <w:numId w:val="7"/>
      </w:numPr>
      <w:spacing w:before="120" w:after="120"/>
      <w:jc w:val="both"/>
    </w:pPr>
    <w:rPr>
      <w:szCs w:val="22"/>
    </w:rPr>
  </w:style>
  <w:style w:type="paragraph" w:customStyle="1" w:styleId="Point1number">
    <w:name w:val="Point 1 (number)"/>
    <w:basedOn w:val="Normal"/>
    <w:pPr>
      <w:numPr>
        <w:ilvl w:val="2"/>
        <w:numId w:val="7"/>
      </w:numPr>
      <w:spacing w:before="120" w:after="120"/>
      <w:jc w:val="both"/>
    </w:pPr>
    <w:rPr>
      <w:szCs w:val="22"/>
    </w:rPr>
  </w:style>
  <w:style w:type="paragraph" w:customStyle="1" w:styleId="Point2number">
    <w:name w:val="Point 2 (number)"/>
    <w:basedOn w:val="Normal"/>
    <w:pPr>
      <w:numPr>
        <w:ilvl w:val="4"/>
        <w:numId w:val="7"/>
      </w:numPr>
      <w:spacing w:before="120" w:after="120"/>
      <w:jc w:val="both"/>
    </w:pPr>
    <w:rPr>
      <w:szCs w:val="22"/>
    </w:rPr>
  </w:style>
  <w:style w:type="paragraph" w:customStyle="1" w:styleId="Point3number">
    <w:name w:val="Point 3 (number)"/>
    <w:basedOn w:val="Normal"/>
    <w:pPr>
      <w:numPr>
        <w:ilvl w:val="6"/>
        <w:numId w:val="7"/>
      </w:numPr>
      <w:spacing w:before="120" w:after="120"/>
      <w:jc w:val="both"/>
    </w:pPr>
    <w:rPr>
      <w:szCs w:val="22"/>
    </w:rPr>
  </w:style>
  <w:style w:type="paragraph" w:customStyle="1" w:styleId="Point0letter">
    <w:name w:val="Point 0 (letter)"/>
    <w:basedOn w:val="Normal"/>
    <w:pPr>
      <w:numPr>
        <w:ilvl w:val="1"/>
        <w:numId w:val="7"/>
      </w:numPr>
      <w:spacing w:before="120" w:after="120"/>
      <w:jc w:val="both"/>
    </w:pPr>
    <w:rPr>
      <w:szCs w:val="22"/>
    </w:rPr>
  </w:style>
  <w:style w:type="paragraph" w:customStyle="1" w:styleId="Point1letter">
    <w:name w:val="Point 1 (letter)"/>
    <w:basedOn w:val="Normal"/>
    <w:pPr>
      <w:numPr>
        <w:ilvl w:val="3"/>
        <w:numId w:val="7"/>
      </w:numPr>
      <w:spacing w:before="120" w:after="120"/>
      <w:jc w:val="both"/>
    </w:pPr>
    <w:rPr>
      <w:szCs w:val="22"/>
    </w:rPr>
  </w:style>
  <w:style w:type="paragraph" w:customStyle="1" w:styleId="Point2letter">
    <w:name w:val="Point 2 (letter)"/>
    <w:basedOn w:val="Normal"/>
    <w:pPr>
      <w:numPr>
        <w:ilvl w:val="5"/>
        <w:numId w:val="7"/>
      </w:numPr>
      <w:spacing w:before="120" w:after="120"/>
      <w:jc w:val="both"/>
    </w:pPr>
    <w:rPr>
      <w:szCs w:val="22"/>
    </w:rPr>
  </w:style>
  <w:style w:type="paragraph" w:customStyle="1" w:styleId="Point3letter">
    <w:name w:val="Point 3 (letter)"/>
    <w:basedOn w:val="Normal"/>
    <w:pPr>
      <w:numPr>
        <w:ilvl w:val="7"/>
        <w:numId w:val="7"/>
      </w:numPr>
      <w:spacing w:before="120" w:after="120"/>
      <w:jc w:val="both"/>
    </w:pPr>
    <w:rPr>
      <w:szCs w:val="22"/>
    </w:rPr>
  </w:style>
  <w:style w:type="paragraph" w:customStyle="1" w:styleId="Point4letter">
    <w:name w:val="Point 4 (letter)"/>
    <w:basedOn w:val="Normal"/>
    <w:pPr>
      <w:numPr>
        <w:ilvl w:val="8"/>
        <w:numId w:val="7"/>
      </w:numPr>
      <w:spacing w:before="120" w:after="120"/>
      <w:jc w:val="both"/>
    </w:pPr>
    <w:rPr>
      <w:szCs w:val="22"/>
    </w:rPr>
  </w:style>
  <w:style w:type="paragraph" w:customStyle="1" w:styleId="Tiret2">
    <w:name w:val="Tiret 2"/>
    <w:basedOn w:val="Normal"/>
    <w:pPr>
      <w:numPr>
        <w:numId w:val="8"/>
      </w:numPr>
      <w:spacing w:before="120" w:after="120"/>
      <w:jc w:val="both"/>
    </w:pPr>
    <w:rPr>
      <w:szCs w:val="2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200" w:line="276" w:lineRule="auto"/>
      <w:ind w:left="720"/>
      <w:contextualSpacing/>
    </w:pPr>
    <w:rPr>
      <w:rFonts w:ascii="Calibri" w:eastAsia="MS Mincho" w:hAnsi="Calibri"/>
      <w:sz w:val="22"/>
      <w:szCs w:val="2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Calibri" w:eastAsia="MS Mincho" w:hAnsi="Calibri"/>
      <w:sz w:val="22"/>
      <w:szCs w:val="22"/>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ListNumber5">
    <w:name w:val="List Number 5"/>
    <w:basedOn w:val="Normal"/>
    <w:pPr>
      <w:numPr>
        <w:numId w:val="9"/>
      </w:numPr>
      <w:contextualSpacing/>
    </w:pPr>
  </w:style>
  <w:style w:type="character" w:styleId="Strong">
    <w:name w:val="Strong"/>
    <w:basedOn w:val="DefaultParagraphFont"/>
    <w:qFormat/>
    <w:rPr>
      <w:b/>
      <w:bCs/>
    </w:rPr>
  </w:style>
  <w:style w:type="paragraph" w:styleId="ListBullet3">
    <w:name w:val="List Bullet 3"/>
    <w:basedOn w:val="Normal"/>
    <w:uiPriority w:val="99"/>
    <w:unhideWhenUsed/>
    <w:pPr>
      <w:numPr>
        <w:numId w:val="10"/>
      </w:numPr>
      <w:spacing w:before="120" w:after="120"/>
      <w:contextualSpacing/>
      <w:jc w:val="both"/>
    </w:pPr>
    <w:rPr>
      <w:rFonts w:eastAsia="Calibri"/>
      <w:szCs w:val="22"/>
    </w:rPr>
  </w:style>
  <w:style w:type="paragraph" w:customStyle="1" w:styleId="Default">
    <w:name w:val="Default"/>
    <w:pPr>
      <w:autoSpaceDE w:val="0"/>
      <w:autoSpaceDN w:val="0"/>
      <w:adjustRightInd w:val="0"/>
    </w:pPr>
    <w:rPr>
      <w:color w:val="000000"/>
      <w:sz w:val="24"/>
      <w:szCs w:val="24"/>
    </w:rPr>
  </w:style>
  <w:style w:type="paragraph" w:customStyle="1" w:styleId="CM4">
    <w:name w:val="CM4"/>
    <w:basedOn w:val="Normal"/>
    <w:next w:val="Normal"/>
    <w:uiPriority w:val="99"/>
    <w:pPr>
      <w:autoSpaceDE w:val="0"/>
      <w:autoSpaceDN w:val="0"/>
      <w:adjustRightInd w:val="0"/>
    </w:pPr>
    <w:rPr>
      <w:rFonts w:ascii="EUAlbertina" w:hAnsi="EUAlbertina"/>
      <w:lang w:eastAsia="en-US"/>
    </w:rPr>
  </w:style>
  <w:style w:type="character" w:customStyle="1" w:styleId="FooterChar">
    <w:name w:val="Footer Char"/>
    <w:basedOn w:val="DefaultParagraphFont"/>
    <w:link w:val="Footer"/>
    <w:uiPriority w:val="99"/>
    <w:rPr>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caption" w:semiHidden="1" w:unhideWhenUsed="1" w:qFormat="1"/>
    <w:lsdException w:name="List Bullet 3"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autoRedefine/>
    <w:qFormat/>
    <w:pPr>
      <w:keepNext/>
      <w:spacing w:before="240" w:after="120"/>
      <w:outlineLvl w:val="0"/>
    </w:pPr>
    <w:rPr>
      <w:rFonts w:ascii="Arial" w:hAnsi="Arial" w:cs="Arial"/>
      <w:b/>
      <w:bCs/>
      <w:kern w:val="32"/>
      <w:sz w:val="32"/>
      <w:szCs w:val="32"/>
    </w:rPr>
  </w:style>
  <w:style w:type="paragraph" w:styleId="Heading2">
    <w:name w:val="heading 2"/>
    <w:basedOn w:val="Normal"/>
    <w:next w:val="Normal"/>
    <w:autoRedefine/>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qFormat/>
    <w:pPr>
      <w:keepNext/>
      <w:numPr>
        <w:ilvl w:val="3"/>
      </w:numPr>
      <w:tabs>
        <w:tab w:val="num" w:pos="1030"/>
      </w:tabs>
      <w:spacing w:before="120" w:after="120"/>
      <w:ind w:left="1030" w:hanging="850"/>
      <w:jc w:val="both"/>
      <w:outlineLvl w:val="3"/>
    </w:pPr>
    <w:rPr>
      <w:b/>
      <w:bCs/>
      <w:szCs w:val="28"/>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535"/>
        <w:tab w:val="right" w:pos="9071"/>
        <w:tab w:val="right" w:pos="9921"/>
      </w:tabs>
      <w:spacing w:before="360"/>
      <w:ind w:left="-850" w:right="-850"/>
    </w:pPr>
    <w:rPr>
      <w:lang w:eastAsia="de-DE"/>
    </w:rPr>
  </w:style>
  <w:style w:type="paragraph" w:styleId="FootnoteText">
    <w:name w:val="footnote text"/>
    <w:basedOn w:val="Normal"/>
    <w:link w:val="FootnoteTextChar"/>
    <w:pPr>
      <w:ind w:left="720" w:hanging="720"/>
      <w:jc w:val="both"/>
    </w:pPr>
    <w:rPr>
      <w:sz w:val="20"/>
      <w:szCs w:val="20"/>
      <w:lang w:eastAsia="de-DE"/>
    </w:rPr>
  </w:style>
  <w:style w:type="paragraph" w:styleId="TOC1">
    <w:name w:val="toc 1"/>
    <w:basedOn w:val="Normal"/>
    <w:next w:val="Normal"/>
    <w:uiPriority w:val="39"/>
    <w:qFormat/>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rPr>
      <w:vertAlign w:val="superscript"/>
    </w:rPr>
  </w:style>
  <w:style w:type="paragraph" w:customStyle="1" w:styleId="Text1">
    <w:name w:val="Text 1"/>
    <w:basedOn w:val="Normal"/>
    <w:pPr>
      <w:spacing w:before="120" w:after="120"/>
      <w:ind w:left="850"/>
      <w:jc w:val="both"/>
    </w:pPr>
    <w:rPr>
      <w:lang w:eastAsia="de-DE"/>
    </w:rPr>
  </w:style>
  <w:style w:type="paragraph" w:customStyle="1" w:styleId="Tiret0">
    <w:name w:val="Tiret 0"/>
    <w:basedOn w:val="Normal"/>
    <w:pPr>
      <w:numPr>
        <w:numId w:val="1"/>
      </w:numPr>
      <w:spacing w:before="120" w:after="120"/>
      <w:jc w:val="both"/>
    </w:pPr>
    <w:rPr>
      <w:lang w:eastAsia="de-DE"/>
    </w:rPr>
  </w:style>
  <w:style w:type="paragraph" w:customStyle="1" w:styleId="ManualHeading1">
    <w:name w:val="Manual Heading 1"/>
    <w:basedOn w:val="Normal"/>
    <w:next w:val="Text1"/>
    <w:pPr>
      <w:keepNext/>
      <w:tabs>
        <w:tab w:val="left" w:pos="850"/>
      </w:tabs>
      <w:spacing w:before="240" w:after="120"/>
      <w:ind w:left="851" w:hanging="851"/>
      <w:jc w:val="both"/>
      <w:outlineLvl w:val="0"/>
    </w:pPr>
    <w:rPr>
      <w:b/>
      <w:smallCaps/>
      <w:noProof/>
      <w:lang w:eastAsia="de-DE"/>
    </w:rPr>
  </w:style>
  <w:style w:type="paragraph" w:customStyle="1" w:styleId="ManualHeading2">
    <w:name w:val="Manual Heading 2"/>
    <w:basedOn w:val="Normal"/>
    <w:next w:val="Normal"/>
    <w:pPr>
      <w:keepNext/>
      <w:tabs>
        <w:tab w:val="left" w:pos="850"/>
      </w:tabs>
      <w:spacing w:before="360" w:after="120"/>
      <w:ind w:left="850" w:hanging="850"/>
      <w:jc w:val="both"/>
      <w:outlineLvl w:val="1"/>
    </w:pPr>
    <w:rPr>
      <w:rFonts w:eastAsia="Calibri"/>
      <w:b/>
      <w:noProof/>
      <w:lang w:eastAsia="de-DE"/>
    </w:rPr>
  </w:style>
  <w:style w:type="paragraph" w:customStyle="1" w:styleId="ListDash">
    <w:name w:val="List Dash"/>
    <w:basedOn w:val="Normal"/>
    <w:link w:val="ListDashChar"/>
    <w:pPr>
      <w:spacing w:before="120" w:after="120"/>
      <w:jc w:val="both"/>
    </w:pPr>
    <w:rPr>
      <w:lang w:eastAsia="de-DE"/>
    </w:rPr>
  </w:style>
  <w:style w:type="paragraph" w:styleId="TOCHeading">
    <w:name w:val="TOC Heading"/>
    <w:basedOn w:val="Normal"/>
    <w:next w:val="Normal"/>
    <w:uiPriority w:val="39"/>
    <w:qFormat/>
    <w:pPr>
      <w:spacing w:before="120" w:after="240"/>
      <w:jc w:val="center"/>
    </w:pPr>
    <w:rPr>
      <w:b/>
      <w:sz w:val="28"/>
      <w:lang w:eastAsia="de-DE"/>
    </w:rPr>
  </w:style>
  <w:style w:type="paragraph" w:customStyle="1" w:styleId="Prliminairetitre">
    <w:name w:val="Préliminaire titre"/>
    <w:basedOn w:val="Normal"/>
    <w:next w:val="Normal"/>
    <w:pPr>
      <w:spacing w:before="360" w:after="360"/>
      <w:jc w:val="center"/>
    </w:pPr>
    <w:rPr>
      <w:b/>
      <w:lang w:eastAsia="de-DE"/>
    </w:rPr>
  </w:style>
  <w:style w:type="paragraph" w:customStyle="1" w:styleId="Prliminairetype">
    <w:name w:val="Préliminaire type"/>
    <w:basedOn w:val="Normal"/>
    <w:next w:val="Normal"/>
    <w:pPr>
      <w:spacing w:before="360"/>
      <w:jc w:val="center"/>
    </w:pPr>
    <w:rPr>
      <w:b/>
      <w:lang w:eastAsia="de-DE"/>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rPr>
      <w:lang w:eastAsia="en-US"/>
    </w:rPr>
  </w:style>
  <w:style w:type="paragraph" w:styleId="Header">
    <w:name w:val="header"/>
    <w:basedOn w:val="Normal"/>
    <w:pPr>
      <w:tabs>
        <w:tab w:val="center" w:pos="4536"/>
        <w:tab w:val="right" w:pos="9072"/>
      </w:tabs>
    </w:p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qFormat/>
    <w:pPr>
      <w:tabs>
        <w:tab w:val="left" w:pos="720"/>
        <w:tab w:val="right" w:leader="dot" w:pos="9061"/>
      </w:tabs>
      <w:ind w:left="709" w:hanging="469"/>
    </w:pPr>
    <w:rPr>
      <w:smallCaps/>
      <w:sz w:val="20"/>
      <w:szCs w:val="20"/>
    </w:rPr>
  </w:style>
  <w:style w:type="paragraph" w:styleId="TOC3">
    <w:name w:val="toc 3"/>
    <w:basedOn w:val="Normal"/>
    <w:next w:val="Normal"/>
    <w:autoRedefine/>
    <w:semiHidden/>
    <w:qFormat/>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3"/>
      </w:numPr>
      <w:spacing w:before="120" w:after="120"/>
      <w:jc w:val="both"/>
    </w:pPr>
    <w:rPr>
      <w:lang w:eastAsia="de-DE"/>
    </w:rPr>
  </w:style>
  <w:style w:type="paragraph" w:customStyle="1" w:styleId="ListDash2">
    <w:name w:val="List Dash 2"/>
    <w:basedOn w:val="Normal"/>
    <w:pPr>
      <w:tabs>
        <w:tab w:val="num" w:pos="1134"/>
      </w:tabs>
      <w:spacing w:before="120" w:after="120"/>
      <w:ind w:left="1134" w:hanging="283"/>
      <w:jc w:val="both"/>
    </w:pPr>
    <w:rPr>
      <w:lang w:eastAsia="de-DE"/>
    </w:rPr>
  </w:style>
  <w:style w:type="paragraph" w:customStyle="1" w:styleId="ListBullet1">
    <w:name w:val="List Bullet 1"/>
    <w:basedOn w:val="Text1"/>
    <w:pPr>
      <w:numPr>
        <w:numId w:val="4"/>
      </w:numPr>
      <w:spacing w:before="0" w:after="240"/>
    </w:pPr>
    <w:rPr>
      <w:szCs w:val="20"/>
      <w:lang w:eastAsia="en-US"/>
    </w:rPr>
  </w:style>
  <w:style w:type="paragraph" w:styleId="ListBullet2">
    <w:name w:val="List Bullet 2"/>
    <w:basedOn w:val="Normal"/>
    <w:pPr>
      <w:numPr>
        <w:numId w:val="5"/>
      </w:numPr>
      <w:spacing w:after="240"/>
      <w:jc w:val="both"/>
    </w:pPr>
    <w:rPr>
      <w:szCs w:val="20"/>
      <w:lang w:eastAsia="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lang w:eastAsia="en-US"/>
    </w:rPr>
  </w:style>
  <w:style w:type="paragraph" w:customStyle="1" w:styleId="Titreobjet">
    <w:name w:val="Titre objet"/>
    <w:basedOn w:val="Normal"/>
    <w:next w:val="Normal"/>
    <w:pPr>
      <w:spacing w:before="360" w:after="360"/>
      <w:jc w:val="center"/>
    </w:pPr>
    <w:rPr>
      <w:b/>
      <w:lang w:eastAsia="en-US"/>
    </w:rPr>
  </w:style>
  <w:style w:type="character" w:styleId="Emphasis">
    <w:name w:val="Emphasis"/>
    <w:qFormat/>
    <w:rPr>
      <w:i/>
      <w:iCs/>
    </w:rPr>
  </w:style>
  <w:style w:type="paragraph" w:styleId="NormalWeb">
    <w:name w:val="Normal (Web)"/>
    <w:basedOn w:val="Normal"/>
    <w:uiPriority w:val="99"/>
    <w:pPr>
      <w:spacing w:before="100" w:beforeAutospacing="1" w:after="100" w:afterAutospacing="1"/>
    </w:pPr>
  </w:style>
  <w:style w:type="paragraph" w:customStyle="1" w:styleId="Text2">
    <w:name w:val="Text 2"/>
    <w:basedOn w:val="Normal"/>
    <w:pPr>
      <w:spacing w:before="120" w:after="120"/>
      <w:ind w:left="850"/>
      <w:jc w:val="both"/>
    </w:pPr>
    <w:rPr>
      <w:lang w:eastAsia="en-US"/>
    </w:rPr>
  </w:style>
  <w:style w:type="paragraph" w:styleId="BalloonText">
    <w:name w:val="Balloon Text"/>
    <w:basedOn w:val="Normal"/>
    <w:semiHidden/>
    <w:rPr>
      <w:rFonts w:ascii="Tahoma" w:hAnsi="Tahoma" w:cs="Tahoma"/>
      <w:sz w:val="16"/>
      <w:szCs w:val="16"/>
    </w:rPr>
  </w:style>
  <w:style w:type="paragraph" w:styleId="ListNumber">
    <w:name w:val="List Number"/>
    <w:basedOn w:val="Normal"/>
    <w:pPr>
      <w:numPr>
        <w:numId w:val="28"/>
      </w:numPr>
      <w:spacing w:before="120" w:after="120"/>
      <w:jc w:val="both"/>
    </w:pPr>
    <w:rPr>
      <w:lang w:eastAsia="de-DE"/>
    </w:rPr>
  </w:style>
  <w:style w:type="paragraph" w:customStyle="1" w:styleId="ListNumberLevel2">
    <w:name w:val="List Number (Level 2)"/>
    <w:basedOn w:val="Normal"/>
    <w:pPr>
      <w:numPr>
        <w:ilvl w:val="1"/>
        <w:numId w:val="28"/>
      </w:numPr>
      <w:spacing w:before="120" w:after="120"/>
      <w:jc w:val="both"/>
    </w:pPr>
    <w:rPr>
      <w:lang w:eastAsia="de-DE"/>
    </w:rPr>
  </w:style>
  <w:style w:type="paragraph" w:customStyle="1" w:styleId="ListNumberLevel3">
    <w:name w:val="List Number (Level 3)"/>
    <w:basedOn w:val="Normal"/>
    <w:pPr>
      <w:numPr>
        <w:ilvl w:val="2"/>
        <w:numId w:val="28"/>
      </w:numPr>
      <w:spacing w:before="120" w:after="120"/>
      <w:jc w:val="both"/>
    </w:pPr>
    <w:rPr>
      <w:lang w:eastAsia="de-DE"/>
    </w:rPr>
  </w:style>
  <w:style w:type="paragraph" w:customStyle="1" w:styleId="ListNumberLevel4">
    <w:name w:val="List Number (Level 4)"/>
    <w:basedOn w:val="Normal"/>
    <w:pPr>
      <w:numPr>
        <w:ilvl w:val="3"/>
        <w:numId w:val="28"/>
      </w:numPr>
      <w:tabs>
        <w:tab w:val="clear" w:pos="2835"/>
        <w:tab w:val="num" w:pos="360"/>
      </w:tabs>
      <w:spacing w:before="120" w:after="120"/>
      <w:ind w:left="0" w:firstLine="0"/>
      <w:jc w:val="both"/>
    </w:pPr>
    <w:rPr>
      <w:lang w:eastAsia="de-DE"/>
    </w:rPr>
  </w:style>
  <w:style w:type="character" w:customStyle="1" w:styleId="ListDashChar">
    <w:name w:val="List Dash Char"/>
    <w:link w:val="ListDash"/>
    <w:rPr>
      <w:sz w:val="24"/>
      <w:szCs w:val="24"/>
      <w:lang w:eastAsia="de-DE"/>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rPr>
      <w:lang w:eastAsia="de-DE"/>
    </w:rPr>
  </w:style>
  <w:style w:type="paragraph" w:customStyle="1" w:styleId="NormalCentered">
    <w:name w:val="Normal Centered"/>
    <w:basedOn w:val="Normal"/>
    <w:uiPriority w:val="99"/>
    <w:pPr>
      <w:spacing w:before="120" w:after="120"/>
      <w:jc w:val="center"/>
    </w:pPr>
    <w:rPr>
      <w:lang w:eastAsia="de-DE"/>
    </w:rPr>
  </w:style>
  <w:style w:type="paragraph" w:customStyle="1" w:styleId="NormalRight">
    <w:name w:val="Normal Right"/>
    <w:basedOn w:val="Normal"/>
    <w:uiPriority w:val="99"/>
    <w:pPr>
      <w:spacing w:before="120" w:after="120"/>
      <w:jc w:val="right"/>
    </w:pPr>
    <w:rPr>
      <w:lang w:eastAsia="de-DE"/>
    </w:rPr>
  </w:style>
  <w:style w:type="paragraph" w:customStyle="1" w:styleId="NormalLeft">
    <w:name w:val="Normal Left"/>
    <w:basedOn w:val="Normal"/>
    <w:uiPriority w:val="99"/>
    <w:pPr>
      <w:spacing w:before="120" w:after="120"/>
    </w:pPr>
  </w:style>
  <w:style w:type="paragraph" w:styleId="Revision">
    <w:name w:val="Revision"/>
    <w:hidden/>
    <w:uiPriority w:val="99"/>
    <w:semiHidden/>
    <w:rPr>
      <w:sz w:val="24"/>
      <w:szCs w:val="24"/>
    </w:rPr>
  </w:style>
  <w:style w:type="paragraph" w:customStyle="1" w:styleId="Statut">
    <w:name w:val="Statut"/>
    <w:basedOn w:val="Normal"/>
    <w:next w:val="Typedudocument"/>
    <w:pPr>
      <w:spacing w:before="360"/>
      <w:jc w:val="center"/>
    </w:pPr>
    <w:rPr>
      <w:rFonts w:eastAsia="Calibri"/>
      <w:szCs w:val="22"/>
      <w:lang w:eastAsia="en-US"/>
    </w:rPr>
  </w:style>
  <w:style w:type="paragraph" w:customStyle="1" w:styleId="Footnoter">
    <w:name w:val="Footnote r"/>
    <w:basedOn w:val="Normal"/>
    <w:pPr>
      <w:shd w:val="clear" w:color="auto" w:fill="F2F8FB"/>
      <w:spacing w:before="100" w:beforeAutospacing="1" w:after="100" w:afterAutospacing="1"/>
    </w:pPr>
    <w:rPr>
      <w:szCs w:val="22"/>
    </w:rPr>
  </w:style>
  <w:style w:type="character" w:customStyle="1" w:styleId="hps">
    <w:name w:val="hps"/>
  </w:style>
  <w:style w:type="paragraph" w:customStyle="1" w:styleId="Point0number">
    <w:name w:val="Point 0 (number)"/>
    <w:basedOn w:val="Normal"/>
    <w:pPr>
      <w:numPr>
        <w:numId w:val="7"/>
      </w:numPr>
      <w:spacing w:before="120" w:after="120"/>
      <w:jc w:val="both"/>
    </w:pPr>
    <w:rPr>
      <w:szCs w:val="22"/>
    </w:rPr>
  </w:style>
  <w:style w:type="paragraph" w:customStyle="1" w:styleId="Point1number">
    <w:name w:val="Point 1 (number)"/>
    <w:basedOn w:val="Normal"/>
    <w:pPr>
      <w:numPr>
        <w:ilvl w:val="2"/>
        <w:numId w:val="7"/>
      </w:numPr>
      <w:spacing w:before="120" w:after="120"/>
      <w:jc w:val="both"/>
    </w:pPr>
    <w:rPr>
      <w:szCs w:val="22"/>
    </w:rPr>
  </w:style>
  <w:style w:type="paragraph" w:customStyle="1" w:styleId="Point2number">
    <w:name w:val="Point 2 (number)"/>
    <w:basedOn w:val="Normal"/>
    <w:pPr>
      <w:numPr>
        <w:ilvl w:val="4"/>
        <w:numId w:val="7"/>
      </w:numPr>
      <w:spacing w:before="120" w:after="120"/>
      <w:jc w:val="both"/>
    </w:pPr>
    <w:rPr>
      <w:szCs w:val="22"/>
    </w:rPr>
  </w:style>
  <w:style w:type="paragraph" w:customStyle="1" w:styleId="Point3number">
    <w:name w:val="Point 3 (number)"/>
    <w:basedOn w:val="Normal"/>
    <w:pPr>
      <w:numPr>
        <w:ilvl w:val="6"/>
        <w:numId w:val="7"/>
      </w:numPr>
      <w:spacing w:before="120" w:after="120"/>
      <w:jc w:val="both"/>
    </w:pPr>
    <w:rPr>
      <w:szCs w:val="22"/>
    </w:rPr>
  </w:style>
  <w:style w:type="paragraph" w:customStyle="1" w:styleId="Point0letter">
    <w:name w:val="Point 0 (letter)"/>
    <w:basedOn w:val="Normal"/>
    <w:pPr>
      <w:numPr>
        <w:ilvl w:val="1"/>
        <w:numId w:val="7"/>
      </w:numPr>
      <w:spacing w:before="120" w:after="120"/>
      <w:jc w:val="both"/>
    </w:pPr>
    <w:rPr>
      <w:szCs w:val="22"/>
    </w:rPr>
  </w:style>
  <w:style w:type="paragraph" w:customStyle="1" w:styleId="Point1letter">
    <w:name w:val="Point 1 (letter)"/>
    <w:basedOn w:val="Normal"/>
    <w:pPr>
      <w:numPr>
        <w:ilvl w:val="3"/>
        <w:numId w:val="7"/>
      </w:numPr>
      <w:spacing w:before="120" w:after="120"/>
      <w:jc w:val="both"/>
    </w:pPr>
    <w:rPr>
      <w:szCs w:val="22"/>
    </w:rPr>
  </w:style>
  <w:style w:type="paragraph" w:customStyle="1" w:styleId="Point2letter">
    <w:name w:val="Point 2 (letter)"/>
    <w:basedOn w:val="Normal"/>
    <w:pPr>
      <w:numPr>
        <w:ilvl w:val="5"/>
        <w:numId w:val="7"/>
      </w:numPr>
      <w:spacing w:before="120" w:after="120"/>
      <w:jc w:val="both"/>
    </w:pPr>
    <w:rPr>
      <w:szCs w:val="22"/>
    </w:rPr>
  </w:style>
  <w:style w:type="paragraph" w:customStyle="1" w:styleId="Point3letter">
    <w:name w:val="Point 3 (letter)"/>
    <w:basedOn w:val="Normal"/>
    <w:pPr>
      <w:numPr>
        <w:ilvl w:val="7"/>
        <w:numId w:val="7"/>
      </w:numPr>
      <w:spacing w:before="120" w:after="120"/>
      <w:jc w:val="both"/>
    </w:pPr>
    <w:rPr>
      <w:szCs w:val="22"/>
    </w:rPr>
  </w:style>
  <w:style w:type="paragraph" w:customStyle="1" w:styleId="Point4letter">
    <w:name w:val="Point 4 (letter)"/>
    <w:basedOn w:val="Normal"/>
    <w:pPr>
      <w:numPr>
        <w:ilvl w:val="8"/>
        <w:numId w:val="7"/>
      </w:numPr>
      <w:spacing w:before="120" w:after="120"/>
      <w:jc w:val="both"/>
    </w:pPr>
    <w:rPr>
      <w:szCs w:val="22"/>
    </w:rPr>
  </w:style>
  <w:style w:type="paragraph" w:customStyle="1" w:styleId="Tiret2">
    <w:name w:val="Tiret 2"/>
    <w:basedOn w:val="Normal"/>
    <w:pPr>
      <w:numPr>
        <w:numId w:val="8"/>
      </w:numPr>
      <w:spacing w:before="120" w:after="120"/>
      <w:jc w:val="both"/>
    </w:pPr>
    <w:rPr>
      <w:szCs w:val="2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200" w:line="276" w:lineRule="auto"/>
      <w:ind w:left="720"/>
      <w:contextualSpacing/>
    </w:pPr>
    <w:rPr>
      <w:rFonts w:ascii="Calibri" w:eastAsia="MS Mincho" w:hAnsi="Calibri"/>
      <w:sz w:val="22"/>
      <w:szCs w:val="2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Calibri" w:eastAsia="MS Mincho" w:hAnsi="Calibri"/>
      <w:sz w:val="22"/>
      <w:szCs w:val="22"/>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ListNumber5">
    <w:name w:val="List Number 5"/>
    <w:basedOn w:val="Normal"/>
    <w:pPr>
      <w:numPr>
        <w:numId w:val="9"/>
      </w:numPr>
      <w:contextualSpacing/>
    </w:pPr>
  </w:style>
  <w:style w:type="character" w:styleId="Strong">
    <w:name w:val="Strong"/>
    <w:basedOn w:val="DefaultParagraphFont"/>
    <w:qFormat/>
    <w:rPr>
      <w:b/>
      <w:bCs/>
    </w:rPr>
  </w:style>
  <w:style w:type="paragraph" w:styleId="ListBullet3">
    <w:name w:val="List Bullet 3"/>
    <w:basedOn w:val="Normal"/>
    <w:uiPriority w:val="99"/>
    <w:unhideWhenUsed/>
    <w:pPr>
      <w:numPr>
        <w:numId w:val="10"/>
      </w:numPr>
      <w:spacing w:before="120" w:after="120"/>
      <w:contextualSpacing/>
      <w:jc w:val="both"/>
    </w:pPr>
    <w:rPr>
      <w:rFonts w:eastAsia="Calibri"/>
      <w:szCs w:val="22"/>
    </w:rPr>
  </w:style>
  <w:style w:type="paragraph" w:customStyle="1" w:styleId="Default">
    <w:name w:val="Default"/>
    <w:pPr>
      <w:autoSpaceDE w:val="0"/>
      <w:autoSpaceDN w:val="0"/>
      <w:adjustRightInd w:val="0"/>
    </w:pPr>
    <w:rPr>
      <w:color w:val="000000"/>
      <w:sz w:val="24"/>
      <w:szCs w:val="24"/>
    </w:rPr>
  </w:style>
  <w:style w:type="paragraph" w:customStyle="1" w:styleId="CM4">
    <w:name w:val="CM4"/>
    <w:basedOn w:val="Normal"/>
    <w:next w:val="Normal"/>
    <w:uiPriority w:val="99"/>
    <w:pPr>
      <w:autoSpaceDE w:val="0"/>
      <w:autoSpaceDN w:val="0"/>
      <w:adjustRightInd w:val="0"/>
    </w:pPr>
    <w:rPr>
      <w:rFonts w:ascii="EUAlbertina" w:hAnsi="EUAlbertina"/>
      <w:lang w:eastAsia="en-US"/>
    </w:rPr>
  </w:style>
  <w:style w:type="character" w:customStyle="1" w:styleId="FooterChar">
    <w:name w:val="Footer Char"/>
    <w:basedOn w:val="DefaultParagraphFont"/>
    <w:link w:val="Footer"/>
    <w:uiPriority w:val="99"/>
    <w:rPr>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1381">
      <w:bodyDiv w:val="1"/>
      <w:marLeft w:val="0"/>
      <w:marRight w:val="0"/>
      <w:marTop w:val="0"/>
      <w:marBottom w:val="0"/>
      <w:divBdr>
        <w:top w:val="none" w:sz="0" w:space="0" w:color="auto"/>
        <w:left w:val="none" w:sz="0" w:space="0" w:color="auto"/>
        <w:bottom w:val="none" w:sz="0" w:space="0" w:color="auto"/>
        <w:right w:val="none" w:sz="0" w:space="0" w:color="auto"/>
      </w:divBdr>
    </w:div>
    <w:div w:id="77798609">
      <w:bodyDiv w:val="1"/>
      <w:marLeft w:val="0"/>
      <w:marRight w:val="0"/>
      <w:marTop w:val="0"/>
      <w:marBottom w:val="0"/>
      <w:divBdr>
        <w:top w:val="none" w:sz="0" w:space="0" w:color="auto"/>
        <w:left w:val="none" w:sz="0" w:space="0" w:color="auto"/>
        <w:bottom w:val="none" w:sz="0" w:space="0" w:color="auto"/>
        <w:right w:val="none" w:sz="0" w:space="0" w:color="auto"/>
      </w:divBdr>
    </w:div>
    <w:div w:id="127286090">
      <w:bodyDiv w:val="1"/>
      <w:marLeft w:val="0"/>
      <w:marRight w:val="0"/>
      <w:marTop w:val="0"/>
      <w:marBottom w:val="0"/>
      <w:divBdr>
        <w:top w:val="none" w:sz="0" w:space="0" w:color="auto"/>
        <w:left w:val="none" w:sz="0" w:space="0" w:color="auto"/>
        <w:bottom w:val="none" w:sz="0" w:space="0" w:color="auto"/>
        <w:right w:val="none" w:sz="0" w:space="0" w:color="auto"/>
      </w:divBdr>
      <w:divsChild>
        <w:div w:id="1952855758">
          <w:marLeft w:val="0"/>
          <w:marRight w:val="0"/>
          <w:marTop w:val="0"/>
          <w:marBottom w:val="0"/>
          <w:divBdr>
            <w:top w:val="none" w:sz="0" w:space="0" w:color="auto"/>
            <w:left w:val="none" w:sz="0" w:space="0" w:color="auto"/>
            <w:bottom w:val="none" w:sz="0" w:space="0" w:color="auto"/>
            <w:right w:val="none" w:sz="0" w:space="0" w:color="auto"/>
          </w:divBdr>
          <w:divsChild>
            <w:div w:id="1936203364">
              <w:marLeft w:val="0"/>
              <w:marRight w:val="0"/>
              <w:marTop w:val="0"/>
              <w:marBottom w:val="0"/>
              <w:divBdr>
                <w:top w:val="none" w:sz="0" w:space="0" w:color="auto"/>
                <w:left w:val="none" w:sz="0" w:space="0" w:color="auto"/>
                <w:bottom w:val="none" w:sz="0" w:space="0" w:color="auto"/>
                <w:right w:val="none" w:sz="0" w:space="0" w:color="auto"/>
              </w:divBdr>
              <w:divsChild>
                <w:div w:id="1099984863">
                  <w:marLeft w:val="0"/>
                  <w:marRight w:val="0"/>
                  <w:marTop w:val="0"/>
                  <w:marBottom w:val="0"/>
                  <w:divBdr>
                    <w:top w:val="none" w:sz="0" w:space="0" w:color="auto"/>
                    <w:left w:val="none" w:sz="0" w:space="0" w:color="auto"/>
                    <w:bottom w:val="none" w:sz="0" w:space="0" w:color="auto"/>
                    <w:right w:val="none" w:sz="0" w:space="0" w:color="auto"/>
                  </w:divBdr>
                  <w:divsChild>
                    <w:div w:id="1203328141">
                      <w:marLeft w:val="1"/>
                      <w:marRight w:val="1"/>
                      <w:marTop w:val="0"/>
                      <w:marBottom w:val="0"/>
                      <w:divBdr>
                        <w:top w:val="none" w:sz="0" w:space="0" w:color="auto"/>
                        <w:left w:val="none" w:sz="0" w:space="0" w:color="auto"/>
                        <w:bottom w:val="none" w:sz="0" w:space="0" w:color="auto"/>
                        <w:right w:val="none" w:sz="0" w:space="0" w:color="auto"/>
                      </w:divBdr>
                      <w:divsChild>
                        <w:div w:id="1936546657">
                          <w:marLeft w:val="0"/>
                          <w:marRight w:val="0"/>
                          <w:marTop w:val="0"/>
                          <w:marBottom w:val="0"/>
                          <w:divBdr>
                            <w:top w:val="none" w:sz="0" w:space="0" w:color="auto"/>
                            <w:left w:val="none" w:sz="0" w:space="0" w:color="auto"/>
                            <w:bottom w:val="none" w:sz="0" w:space="0" w:color="auto"/>
                            <w:right w:val="none" w:sz="0" w:space="0" w:color="auto"/>
                          </w:divBdr>
                          <w:divsChild>
                            <w:div w:id="1022240160">
                              <w:marLeft w:val="0"/>
                              <w:marRight w:val="0"/>
                              <w:marTop w:val="0"/>
                              <w:marBottom w:val="360"/>
                              <w:divBdr>
                                <w:top w:val="none" w:sz="0" w:space="0" w:color="auto"/>
                                <w:left w:val="none" w:sz="0" w:space="0" w:color="auto"/>
                                <w:bottom w:val="none" w:sz="0" w:space="0" w:color="auto"/>
                                <w:right w:val="none" w:sz="0" w:space="0" w:color="auto"/>
                              </w:divBdr>
                              <w:divsChild>
                                <w:div w:id="1375350455">
                                  <w:marLeft w:val="0"/>
                                  <w:marRight w:val="0"/>
                                  <w:marTop w:val="0"/>
                                  <w:marBottom w:val="0"/>
                                  <w:divBdr>
                                    <w:top w:val="none" w:sz="0" w:space="0" w:color="auto"/>
                                    <w:left w:val="none" w:sz="0" w:space="0" w:color="auto"/>
                                    <w:bottom w:val="none" w:sz="0" w:space="0" w:color="auto"/>
                                    <w:right w:val="none" w:sz="0" w:space="0" w:color="auto"/>
                                  </w:divBdr>
                                  <w:divsChild>
                                    <w:div w:id="154732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33713">
      <w:bodyDiv w:val="1"/>
      <w:marLeft w:val="0"/>
      <w:marRight w:val="0"/>
      <w:marTop w:val="0"/>
      <w:marBottom w:val="0"/>
      <w:divBdr>
        <w:top w:val="none" w:sz="0" w:space="0" w:color="auto"/>
        <w:left w:val="none" w:sz="0" w:space="0" w:color="auto"/>
        <w:bottom w:val="none" w:sz="0" w:space="0" w:color="auto"/>
        <w:right w:val="none" w:sz="0" w:space="0" w:color="auto"/>
      </w:divBdr>
    </w:div>
    <w:div w:id="168838071">
      <w:bodyDiv w:val="1"/>
      <w:marLeft w:val="0"/>
      <w:marRight w:val="0"/>
      <w:marTop w:val="0"/>
      <w:marBottom w:val="0"/>
      <w:divBdr>
        <w:top w:val="none" w:sz="0" w:space="0" w:color="auto"/>
        <w:left w:val="none" w:sz="0" w:space="0" w:color="auto"/>
        <w:bottom w:val="none" w:sz="0" w:space="0" w:color="auto"/>
        <w:right w:val="none" w:sz="0" w:space="0" w:color="auto"/>
      </w:divBdr>
    </w:div>
    <w:div w:id="203250459">
      <w:bodyDiv w:val="1"/>
      <w:marLeft w:val="0"/>
      <w:marRight w:val="0"/>
      <w:marTop w:val="0"/>
      <w:marBottom w:val="0"/>
      <w:divBdr>
        <w:top w:val="none" w:sz="0" w:space="0" w:color="auto"/>
        <w:left w:val="none" w:sz="0" w:space="0" w:color="auto"/>
        <w:bottom w:val="none" w:sz="0" w:space="0" w:color="auto"/>
        <w:right w:val="none" w:sz="0" w:space="0" w:color="auto"/>
      </w:divBdr>
    </w:div>
    <w:div w:id="217861079">
      <w:bodyDiv w:val="1"/>
      <w:marLeft w:val="0"/>
      <w:marRight w:val="0"/>
      <w:marTop w:val="0"/>
      <w:marBottom w:val="0"/>
      <w:divBdr>
        <w:top w:val="none" w:sz="0" w:space="0" w:color="auto"/>
        <w:left w:val="none" w:sz="0" w:space="0" w:color="auto"/>
        <w:bottom w:val="none" w:sz="0" w:space="0" w:color="auto"/>
        <w:right w:val="none" w:sz="0" w:space="0" w:color="auto"/>
      </w:divBdr>
    </w:div>
    <w:div w:id="280889594">
      <w:bodyDiv w:val="1"/>
      <w:marLeft w:val="0"/>
      <w:marRight w:val="0"/>
      <w:marTop w:val="0"/>
      <w:marBottom w:val="0"/>
      <w:divBdr>
        <w:top w:val="none" w:sz="0" w:space="0" w:color="auto"/>
        <w:left w:val="none" w:sz="0" w:space="0" w:color="auto"/>
        <w:bottom w:val="none" w:sz="0" w:space="0" w:color="auto"/>
        <w:right w:val="none" w:sz="0" w:space="0" w:color="auto"/>
      </w:divBdr>
    </w:div>
    <w:div w:id="354623949">
      <w:bodyDiv w:val="1"/>
      <w:marLeft w:val="0"/>
      <w:marRight w:val="0"/>
      <w:marTop w:val="0"/>
      <w:marBottom w:val="0"/>
      <w:divBdr>
        <w:top w:val="none" w:sz="0" w:space="0" w:color="auto"/>
        <w:left w:val="none" w:sz="0" w:space="0" w:color="auto"/>
        <w:bottom w:val="none" w:sz="0" w:space="0" w:color="auto"/>
        <w:right w:val="none" w:sz="0" w:space="0" w:color="auto"/>
      </w:divBdr>
    </w:div>
    <w:div w:id="369914543">
      <w:bodyDiv w:val="1"/>
      <w:marLeft w:val="0"/>
      <w:marRight w:val="0"/>
      <w:marTop w:val="0"/>
      <w:marBottom w:val="0"/>
      <w:divBdr>
        <w:top w:val="none" w:sz="0" w:space="0" w:color="auto"/>
        <w:left w:val="none" w:sz="0" w:space="0" w:color="auto"/>
        <w:bottom w:val="none" w:sz="0" w:space="0" w:color="auto"/>
        <w:right w:val="none" w:sz="0" w:space="0" w:color="auto"/>
      </w:divBdr>
    </w:div>
    <w:div w:id="370612037">
      <w:bodyDiv w:val="1"/>
      <w:marLeft w:val="0"/>
      <w:marRight w:val="0"/>
      <w:marTop w:val="0"/>
      <w:marBottom w:val="0"/>
      <w:divBdr>
        <w:top w:val="none" w:sz="0" w:space="0" w:color="auto"/>
        <w:left w:val="none" w:sz="0" w:space="0" w:color="auto"/>
        <w:bottom w:val="none" w:sz="0" w:space="0" w:color="auto"/>
        <w:right w:val="none" w:sz="0" w:space="0" w:color="auto"/>
      </w:divBdr>
    </w:div>
    <w:div w:id="383987845">
      <w:bodyDiv w:val="1"/>
      <w:marLeft w:val="0"/>
      <w:marRight w:val="0"/>
      <w:marTop w:val="0"/>
      <w:marBottom w:val="0"/>
      <w:divBdr>
        <w:top w:val="none" w:sz="0" w:space="0" w:color="auto"/>
        <w:left w:val="none" w:sz="0" w:space="0" w:color="auto"/>
        <w:bottom w:val="none" w:sz="0" w:space="0" w:color="auto"/>
        <w:right w:val="none" w:sz="0" w:space="0" w:color="auto"/>
      </w:divBdr>
    </w:div>
    <w:div w:id="390540002">
      <w:bodyDiv w:val="1"/>
      <w:marLeft w:val="0"/>
      <w:marRight w:val="0"/>
      <w:marTop w:val="0"/>
      <w:marBottom w:val="0"/>
      <w:divBdr>
        <w:top w:val="none" w:sz="0" w:space="0" w:color="auto"/>
        <w:left w:val="none" w:sz="0" w:space="0" w:color="auto"/>
        <w:bottom w:val="none" w:sz="0" w:space="0" w:color="auto"/>
        <w:right w:val="none" w:sz="0" w:space="0" w:color="auto"/>
      </w:divBdr>
    </w:div>
    <w:div w:id="397410386">
      <w:bodyDiv w:val="1"/>
      <w:marLeft w:val="0"/>
      <w:marRight w:val="0"/>
      <w:marTop w:val="0"/>
      <w:marBottom w:val="0"/>
      <w:divBdr>
        <w:top w:val="none" w:sz="0" w:space="0" w:color="auto"/>
        <w:left w:val="none" w:sz="0" w:space="0" w:color="auto"/>
        <w:bottom w:val="none" w:sz="0" w:space="0" w:color="auto"/>
        <w:right w:val="none" w:sz="0" w:space="0" w:color="auto"/>
      </w:divBdr>
    </w:div>
    <w:div w:id="405998438">
      <w:bodyDiv w:val="1"/>
      <w:marLeft w:val="0"/>
      <w:marRight w:val="0"/>
      <w:marTop w:val="0"/>
      <w:marBottom w:val="0"/>
      <w:divBdr>
        <w:top w:val="none" w:sz="0" w:space="0" w:color="auto"/>
        <w:left w:val="none" w:sz="0" w:space="0" w:color="auto"/>
        <w:bottom w:val="none" w:sz="0" w:space="0" w:color="auto"/>
        <w:right w:val="none" w:sz="0" w:space="0" w:color="auto"/>
      </w:divBdr>
    </w:div>
    <w:div w:id="471752386">
      <w:bodyDiv w:val="1"/>
      <w:marLeft w:val="0"/>
      <w:marRight w:val="0"/>
      <w:marTop w:val="0"/>
      <w:marBottom w:val="0"/>
      <w:divBdr>
        <w:top w:val="none" w:sz="0" w:space="0" w:color="auto"/>
        <w:left w:val="none" w:sz="0" w:space="0" w:color="auto"/>
        <w:bottom w:val="none" w:sz="0" w:space="0" w:color="auto"/>
        <w:right w:val="none" w:sz="0" w:space="0" w:color="auto"/>
      </w:divBdr>
    </w:div>
    <w:div w:id="476648652">
      <w:bodyDiv w:val="1"/>
      <w:marLeft w:val="0"/>
      <w:marRight w:val="0"/>
      <w:marTop w:val="0"/>
      <w:marBottom w:val="0"/>
      <w:divBdr>
        <w:top w:val="none" w:sz="0" w:space="0" w:color="auto"/>
        <w:left w:val="none" w:sz="0" w:space="0" w:color="auto"/>
        <w:bottom w:val="none" w:sz="0" w:space="0" w:color="auto"/>
        <w:right w:val="none" w:sz="0" w:space="0" w:color="auto"/>
      </w:divBdr>
    </w:div>
    <w:div w:id="531504382">
      <w:bodyDiv w:val="1"/>
      <w:marLeft w:val="0"/>
      <w:marRight w:val="0"/>
      <w:marTop w:val="0"/>
      <w:marBottom w:val="0"/>
      <w:divBdr>
        <w:top w:val="none" w:sz="0" w:space="0" w:color="auto"/>
        <w:left w:val="none" w:sz="0" w:space="0" w:color="auto"/>
        <w:bottom w:val="none" w:sz="0" w:space="0" w:color="auto"/>
        <w:right w:val="none" w:sz="0" w:space="0" w:color="auto"/>
      </w:divBdr>
    </w:div>
    <w:div w:id="631600828">
      <w:bodyDiv w:val="1"/>
      <w:marLeft w:val="0"/>
      <w:marRight w:val="0"/>
      <w:marTop w:val="0"/>
      <w:marBottom w:val="0"/>
      <w:divBdr>
        <w:top w:val="none" w:sz="0" w:space="0" w:color="auto"/>
        <w:left w:val="none" w:sz="0" w:space="0" w:color="auto"/>
        <w:bottom w:val="none" w:sz="0" w:space="0" w:color="auto"/>
        <w:right w:val="none" w:sz="0" w:space="0" w:color="auto"/>
      </w:divBdr>
    </w:div>
    <w:div w:id="671955280">
      <w:bodyDiv w:val="1"/>
      <w:marLeft w:val="0"/>
      <w:marRight w:val="0"/>
      <w:marTop w:val="0"/>
      <w:marBottom w:val="0"/>
      <w:divBdr>
        <w:top w:val="none" w:sz="0" w:space="0" w:color="auto"/>
        <w:left w:val="none" w:sz="0" w:space="0" w:color="auto"/>
        <w:bottom w:val="none" w:sz="0" w:space="0" w:color="auto"/>
        <w:right w:val="none" w:sz="0" w:space="0" w:color="auto"/>
      </w:divBdr>
    </w:div>
    <w:div w:id="693187629">
      <w:bodyDiv w:val="1"/>
      <w:marLeft w:val="0"/>
      <w:marRight w:val="0"/>
      <w:marTop w:val="0"/>
      <w:marBottom w:val="0"/>
      <w:divBdr>
        <w:top w:val="none" w:sz="0" w:space="0" w:color="auto"/>
        <w:left w:val="none" w:sz="0" w:space="0" w:color="auto"/>
        <w:bottom w:val="none" w:sz="0" w:space="0" w:color="auto"/>
        <w:right w:val="none" w:sz="0" w:space="0" w:color="auto"/>
      </w:divBdr>
    </w:div>
    <w:div w:id="703360353">
      <w:bodyDiv w:val="1"/>
      <w:marLeft w:val="0"/>
      <w:marRight w:val="0"/>
      <w:marTop w:val="0"/>
      <w:marBottom w:val="0"/>
      <w:divBdr>
        <w:top w:val="none" w:sz="0" w:space="0" w:color="auto"/>
        <w:left w:val="none" w:sz="0" w:space="0" w:color="auto"/>
        <w:bottom w:val="none" w:sz="0" w:space="0" w:color="auto"/>
        <w:right w:val="none" w:sz="0" w:space="0" w:color="auto"/>
      </w:divBdr>
    </w:div>
    <w:div w:id="778990717">
      <w:bodyDiv w:val="1"/>
      <w:marLeft w:val="0"/>
      <w:marRight w:val="0"/>
      <w:marTop w:val="0"/>
      <w:marBottom w:val="0"/>
      <w:divBdr>
        <w:top w:val="none" w:sz="0" w:space="0" w:color="auto"/>
        <w:left w:val="none" w:sz="0" w:space="0" w:color="auto"/>
        <w:bottom w:val="none" w:sz="0" w:space="0" w:color="auto"/>
        <w:right w:val="none" w:sz="0" w:space="0" w:color="auto"/>
      </w:divBdr>
    </w:div>
    <w:div w:id="788663921">
      <w:bodyDiv w:val="1"/>
      <w:marLeft w:val="0"/>
      <w:marRight w:val="0"/>
      <w:marTop w:val="0"/>
      <w:marBottom w:val="0"/>
      <w:divBdr>
        <w:top w:val="none" w:sz="0" w:space="0" w:color="auto"/>
        <w:left w:val="none" w:sz="0" w:space="0" w:color="auto"/>
        <w:bottom w:val="none" w:sz="0" w:space="0" w:color="auto"/>
        <w:right w:val="none" w:sz="0" w:space="0" w:color="auto"/>
      </w:divBdr>
    </w:div>
    <w:div w:id="794904518">
      <w:bodyDiv w:val="1"/>
      <w:marLeft w:val="0"/>
      <w:marRight w:val="0"/>
      <w:marTop w:val="0"/>
      <w:marBottom w:val="0"/>
      <w:divBdr>
        <w:top w:val="none" w:sz="0" w:space="0" w:color="auto"/>
        <w:left w:val="none" w:sz="0" w:space="0" w:color="auto"/>
        <w:bottom w:val="none" w:sz="0" w:space="0" w:color="auto"/>
        <w:right w:val="none" w:sz="0" w:space="0" w:color="auto"/>
      </w:divBdr>
    </w:div>
    <w:div w:id="831144332">
      <w:bodyDiv w:val="1"/>
      <w:marLeft w:val="0"/>
      <w:marRight w:val="0"/>
      <w:marTop w:val="0"/>
      <w:marBottom w:val="0"/>
      <w:divBdr>
        <w:top w:val="none" w:sz="0" w:space="0" w:color="auto"/>
        <w:left w:val="none" w:sz="0" w:space="0" w:color="auto"/>
        <w:bottom w:val="none" w:sz="0" w:space="0" w:color="auto"/>
        <w:right w:val="none" w:sz="0" w:space="0" w:color="auto"/>
      </w:divBdr>
    </w:div>
    <w:div w:id="864634236">
      <w:bodyDiv w:val="1"/>
      <w:marLeft w:val="0"/>
      <w:marRight w:val="0"/>
      <w:marTop w:val="0"/>
      <w:marBottom w:val="0"/>
      <w:divBdr>
        <w:top w:val="none" w:sz="0" w:space="0" w:color="auto"/>
        <w:left w:val="none" w:sz="0" w:space="0" w:color="auto"/>
        <w:bottom w:val="none" w:sz="0" w:space="0" w:color="auto"/>
        <w:right w:val="none" w:sz="0" w:space="0" w:color="auto"/>
      </w:divBdr>
    </w:div>
    <w:div w:id="898131723">
      <w:bodyDiv w:val="1"/>
      <w:marLeft w:val="0"/>
      <w:marRight w:val="0"/>
      <w:marTop w:val="0"/>
      <w:marBottom w:val="0"/>
      <w:divBdr>
        <w:top w:val="none" w:sz="0" w:space="0" w:color="auto"/>
        <w:left w:val="none" w:sz="0" w:space="0" w:color="auto"/>
        <w:bottom w:val="none" w:sz="0" w:space="0" w:color="auto"/>
        <w:right w:val="none" w:sz="0" w:space="0" w:color="auto"/>
      </w:divBdr>
    </w:div>
    <w:div w:id="932513043">
      <w:bodyDiv w:val="1"/>
      <w:marLeft w:val="0"/>
      <w:marRight w:val="0"/>
      <w:marTop w:val="0"/>
      <w:marBottom w:val="0"/>
      <w:divBdr>
        <w:top w:val="none" w:sz="0" w:space="0" w:color="auto"/>
        <w:left w:val="none" w:sz="0" w:space="0" w:color="auto"/>
        <w:bottom w:val="none" w:sz="0" w:space="0" w:color="auto"/>
        <w:right w:val="none" w:sz="0" w:space="0" w:color="auto"/>
      </w:divBdr>
    </w:div>
    <w:div w:id="941377147">
      <w:bodyDiv w:val="1"/>
      <w:marLeft w:val="0"/>
      <w:marRight w:val="0"/>
      <w:marTop w:val="0"/>
      <w:marBottom w:val="0"/>
      <w:divBdr>
        <w:top w:val="none" w:sz="0" w:space="0" w:color="auto"/>
        <w:left w:val="none" w:sz="0" w:space="0" w:color="auto"/>
        <w:bottom w:val="none" w:sz="0" w:space="0" w:color="auto"/>
        <w:right w:val="none" w:sz="0" w:space="0" w:color="auto"/>
      </w:divBdr>
    </w:div>
    <w:div w:id="967663377">
      <w:bodyDiv w:val="1"/>
      <w:marLeft w:val="0"/>
      <w:marRight w:val="0"/>
      <w:marTop w:val="0"/>
      <w:marBottom w:val="0"/>
      <w:divBdr>
        <w:top w:val="none" w:sz="0" w:space="0" w:color="auto"/>
        <w:left w:val="none" w:sz="0" w:space="0" w:color="auto"/>
        <w:bottom w:val="none" w:sz="0" w:space="0" w:color="auto"/>
        <w:right w:val="none" w:sz="0" w:space="0" w:color="auto"/>
      </w:divBdr>
    </w:div>
    <w:div w:id="1012269513">
      <w:bodyDiv w:val="1"/>
      <w:marLeft w:val="0"/>
      <w:marRight w:val="0"/>
      <w:marTop w:val="0"/>
      <w:marBottom w:val="0"/>
      <w:divBdr>
        <w:top w:val="none" w:sz="0" w:space="0" w:color="auto"/>
        <w:left w:val="none" w:sz="0" w:space="0" w:color="auto"/>
        <w:bottom w:val="none" w:sz="0" w:space="0" w:color="auto"/>
        <w:right w:val="none" w:sz="0" w:space="0" w:color="auto"/>
      </w:divBdr>
    </w:div>
    <w:div w:id="1012801597">
      <w:bodyDiv w:val="1"/>
      <w:marLeft w:val="0"/>
      <w:marRight w:val="0"/>
      <w:marTop w:val="0"/>
      <w:marBottom w:val="0"/>
      <w:divBdr>
        <w:top w:val="none" w:sz="0" w:space="0" w:color="auto"/>
        <w:left w:val="none" w:sz="0" w:space="0" w:color="auto"/>
        <w:bottom w:val="none" w:sz="0" w:space="0" w:color="auto"/>
        <w:right w:val="none" w:sz="0" w:space="0" w:color="auto"/>
      </w:divBdr>
    </w:div>
    <w:div w:id="1019045255">
      <w:bodyDiv w:val="1"/>
      <w:marLeft w:val="0"/>
      <w:marRight w:val="0"/>
      <w:marTop w:val="0"/>
      <w:marBottom w:val="0"/>
      <w:divBdr>
        <w:top w:val="none" w:sz="0" w:space="0" w:color="auto"/>
        <w:left w:val="none" w:sz="0" w:space="0" w:color="auto"/>
        <w:bottom w:val="none" w:sz="0" w:space="0" w:color="auto"/>
        <w:right w:val="none" w:sz="0" w:space="0" w:color="auto"/>
      </w:divBdr>
    </w:div>
    <w:div w:id="1058623561">
      <w:bodyDiv w:val="1"/>
      <w:marLeft w:val="0"/>
      <w:marRight w:val="0"/>
      <w:marTop w:val="0"/>
      <w:marBottom w:val="0"/>
      <w:divBdr>
        <w:top w:val="none" w:sz="0" w:space="0" w:color="auto"/>
        <w:left w:val="none" w:sz="0" w:space="0" w:color="auto"/>
        <w:bottom w:val="none" w:sz="0" w:space="0" w:color="auto"/>
        <w:right w:val="none" w:sz="0" w:space="0" w:color="auto"/>
      </w:divBdr>
    </w:div>
    <w:div w:id="1073502690">
      <w:bodyDiv w:val="1"/>
      <w:marLeft w:val="0"/>
      <w:marRight w:val="0"/>
      <w:marTop w:val="0"/>
      <w:marBottom w:val="0"/>
      <w:divBdr>
        <w:top w:val="none" w:sz="0" w:space="0" w:color="auto"/>
        <w:left w:val="none" w:sz="0" w:space="0" w:color="auto"/>
        <w:bottom w:val="none" w:sz="0" w:space="0" w:color="auto"/>
        <w:right w:val="none" w:sz="0" w:space="0" w:color="auto"/>
      </w:divBdr>
    </w:div>
    <w:div w:id="1083726096">
      <w:bodyDiv w:val="1"/>
      <w:marLeft w:val="0"/>
      <w:marRight w:val="0"/>
      <w:marTop w:val="0"/>
      <w:marBottom w:val="0"/>
      <w:divBdr>
        <w:top w:val="none" w:sz="0" w:space="0" w:color="auto"/>
        <w:left w:val="none" w:sz="0" w:space="0" w:color="auto"/>
        <w:bottom w:val="none" w:sz="0" w:space="0" w:color="auto"/>
        <w:right w:val="none" w:sz="0" w:space="0" w:color="auto"/>
      </w:divBdr>
    </w:div>
    <w:div w:id="1092891715">
      <w:bodyDiv w:val="1"/>
      <w:marLeft w:val="0"/>
      <w:marRight w:val="0"/>
      <w:marTop w:val="0"/>
      <w:marBottom w:val="0"/>
      <w:divBdr>
        <w:top w:val="none" w:sz="0" w:space="0" w:color="auto"/>
        <w:left w:val="none" w:sz="0" w:space="0" w:color="auto"/>
        <w:bottom w:val="none" w:sz="0" w:space="0" w:color="auto"/>
        <w:right w:val="none" w:sz="0" w:space="0" w:color="auto"/>
      </w:divBdr>
    </w:div>
    <w:div w:id="1098478650">
      <w:bodyDiv w:val="1"/>
      <w:marLeft w:val="0"/>
      <w:marRight w:val="0"/>
      <w:marTop w:val="0"/>
      <w:marBottom w:val="0"/>
      <w:divBdr>
        <w:top w:val="none" w:sz="0" w:space="0" w:color="auto"/>
        <w:left w:val="none" w:sz="0" w:space="0" w:color="auto"/>
        <w:bottom w:val="none" w:sz="0" w:space="0" w:color="auto"/>
        <w:right w:val="none" w:sz="0" w:space="0" w:color="auto"/>
      </w:divBdr>
    </w:div>
    <w:div w:id="1237476849">
      <w:bodyDiv w:val="1"/>
      <w:marLeft w:val="0"/>
      <w:marRight w:val="0"/>
      <w:marTop w:val="0"/>
      <w:marBottom w:val="0"/>
      <w:divBdr>
        <w:top w:val="none" w:sz="0" w:space="0" w:color="auto"/>
        <w:left w:val="none" w:sz="0" w:space="0" w:color="auto"/>
        <w:bottom w:val="none" w:sz="0" w:space="0" w:color="auto"/>
        <w:right w:val="none" w:sz="0" w:space="0" w:color="auto"/>
      </w:divBdr>
    </w:div>
    <w:div w:id="1288586908">
      <w:bodyDiv w:val="1"/>
      <w:marLeft w:val="0"/>
      <w:marRight w:val="0"/>
      <w:marTop w:val="0"/>
      <w:marBottom w:val="0"/>
      <w:divBdr>
        <w:top w:val="none" w:sz="0" w:space="0" w:color="auto"/>
        <w:left w:val="none" w:sz="0" w:space="0" w:color="auto"/>
        <w:bottom w:val="none" w:sz="0" w:space="0" w:color="auto"/>
        <w:right w:val="none" w:sz="0" w:space="0" w:color="auto"/>
      </w:divBdr>
    </w:div>
    <w:div w:id="1314526834">
      <w:bodyDiv w:val="1"/>
      <w:marLeft w:val="0"/>
      <w:marRight w:val="0"/>
      <w:marTop w:val="0"/>
      <w:marBottom w:val="0"/>
      <w:divBdr>
        <w:top w:val="none" w:sz="0" w:space="0" w:color="auto"/>
        <w:left w:val="none" w:sz="0" w:space="0" w:color="auto"/>
        <w:bottom w:val="none" w:sz="0" w:space="0" w:color="auto"/>
        <w:right w:val="none" w:sz="0" w:space="0" w:color="auto"/>
      </w:divBdr>
    </w:div>
    <w:div w:id="1331906149">
      <w:bodyDiv w:val="1"/>
      <w:marLeft w:val="0"/>
      <w:marRight w:val="0"/>
      <w:marTop w:val="0"/>
      <w:marBottom w:val="0"/>
      <w:divBdr>
        <w:top w:val="none" w:sz="0" w:space="0" w:color="auto"/>
        <w:left w:val="none" w:sz="0" w:space="0" w:color="auto"/>
        <w:bottom w:val="none" w:sz="0" w:space="0" w:color="auto"/>
        <w:right w:val="none" w:sz="0" w:space="0" w:color="auto"/>
      </w:divBdr>
    </w:div>
    <w:div w:id="1358434127">
      <w:bodyDiv w:val="1"/>
      <w:marLeft w:val="0"/>
      <w:marRight w:val="0"/>
      <w:marTop w:val="0"/>
      <w:marBottom w:val="0"/>
      <w:divBdr>
        <w:top w:val="none" w:sz="0" w:space="0" w:color="auto"/>
        <w:left w:val="none" w:sz="0" w:space="0" w:color="auto"/>
        <w:bottom w:val="none" w:sz="0" w:space="0" w:color="auto"/>
        <w:right w:val="none" w:sz="0" w:space="0" w:color="auto"/>
      </w:divBdr>
    </w:div>
    <w:div w:id="1383212917">
      <w:bodyDiv w:val="1"/>
      <w:marLeft w:val="0"/>
      <w:marRight w:val="0"/>
      <w:marTop w:val="0"/>
      <w:marBottom w:val="0"/>
      <w:divBdr>
        <w:top w:val="none" w:sz="0" w:space="0" w:color="auto"/>
        <w:left w:val="none" w:sz="0" w:space="0" w:color="auto"/>
        <w:bottom w:val="none" w:sz="0" w:space="0" w:color="auto"/>
        <w:right w:val="none" w:sz="0" w:space="0" w:color="auto"/>
      </w:divBdr>
    </w:div>
    <w:div w:id="1433477716">
      <w:bodyDiv w:val="1"/>
      <w:marLeft w:val="0"/>
      <w:marRight w:val="0"/>
      <w:marTop w:val="0"/>
      <w:marBottom w:val="0"/>
      <w:divBdr>
        <w:top w:val="none" w:sz="0" w:space="0" w:color="auto"/>
        <w:left w:val="none" w:sz="0" w:space="0" w:color="auto"/>
        <w:bottom w:val="none" w:sz="0" w:space="0" w:color="auto"/>
        <w:right w:val="none" w:sz="0" w:space="0" w:color="auto"/>
      </w:divBdr>
    </w:div>
    <w:div w:id="1481313754">
      <w:bodyDiv w:val="1"/>
      <w:marLeft w:val="0"/>
      <w:marRight w:val="0"/>
      <w:marTop w:val="0"/>
      <w:marBottom w:val="0"/>
      <w:divBdr>
        <w:top w:val="none" w:sz="0" w:space="0" w:color="auto"/>
        <w:left w:val="none" w:sz="0" w:space="0" w:color="auto"/>
        <w:bottom w:val="none" w:sz="0" w:space="0" w:color="auto"/>
        <w:right w:val="none" w:sz="0" w:space="0" w:color="auto"/>
      </w:divBdr>
    </w:div>
    <w:div w:id="1536893397">
      <w:bodyDiv w:val="1"/>
      <w:marLeft w:val="0"/>
      <w:marRight w:val="0"/>
      <w:marTop w:val="0"/>
      <w:marBottom w:val="0"/>
      <w:divBdr>
        <w:top w:val="none" w:sz="0" w:space="0" w:color="auto"/>
        <w:left w:val="none" w:sz="0" w:space="0" w:color="auto"/>
        <w:bottom w:val="none" w:sz="0" w:space="0" w:color="auto"/>
        <w:right w:val="none" w:sz="0" w:space="0" w:color="auto"/>
      </w:divBdr>
    </w:div>
    <w:div w:id="1570267285">
      <w:bodyDiv w:val="1"/>
      <w:marLeft w:val="0"/>
      <w:marRight w:val="0"/>
      <w:marTop w:val="0"/>
      <w:marBottom w:val="0"/>
      <w:divBdr>
        <w:top w:val="none" w:sz="0" w:space="0" w:color="auto"/>
        <w:left w:val="none" w:sz="0" w:space="0" w:color="auto"/>
        <w:bottom w:val="none" w:sz="0" w:space="0" w:color="auto"/>
        <w:right w:val="none" w:sz="0" w:space="0" w:color="auto"/>
      </w:divBdr>
    </w:div>
    <w:div w:id="1576627459">
      <w:bodyDiv w:val="1"/>
      <w:marLeft w:val="0"/>
      <w:marRight w:val="0"/>
      <w:marTop w:val="0"/>
      <w:marBottom w:val="0"/>
      <w:divBdr>
        <w:top w:val="none" w:sz="0" w:space="0" w:color="auto"/>
        <w:left w:val="none" w:sz="0" w:space="0" w:color="auto"/>
        <w:bottom w:val="none" w:sz="0" w:space="0" w:color="auto"/>
        <w:right w:val="none" w:sz="0" w:space="0" w:color="auto"/>
      </w:divBdr>
    </w:div>
    <w:div w:id="1626277762">
      <w:bodyDiv w:val="1"/>
      <w:marLeft w:val="0"/>
      <w:marRight w:val="0"/>
      <w:marTop w:val="0"/>
      <w:marBottom w:val="0"/>
      <w:divBdr>
        <w:top w:val="none" w:sz="0" w:space="0" w:color="auto"/>
        <w:left w:val="none" w:sz="0" w:space="0" w:color="auto"/>
        <w:bottom w:val="none" w:sz="0" w:space="0" w:color="auto"/>
        <w:right w:val="none" w:sz="0" w:space="0" w:color="auto"/>
      </w:divBdr>
    </w:div>
    <w:div w:id="1713536956">
      <w:bodyDiv w:val="1"/>
      <w:marLeft w:val="0"/>
      <w:marRight w:val="0"/>
      <w:marTop w:val="0"/>
      <w:marBottom w:val="0"/>
      <w:divBdr>
        <w:top w:val="none" w:sz="0" w:space="0" w:color="auto"/>
        <w:left w:val="none" w:sz="0" w:space="0" w:color="auto"/>
        <w:bottom w:val="none" w:sz="0" w:space="0" w:color="auto"/>
        <w:right w:val="none" w:sz="0" w:space="0" w:color="auto"/>
      </w:divBdr>
    </w:div>
    <w:div w:id="1725518721">
      <w:bodyDiv w:val="1"/>
      <w:marLeft w:val="0"/>
      <w:marRight w:val="0"/>
      <w:marTop w:val="0"/>
      <w:marBottom w:val="0"/>
      <w:divBdr>
        <w:top w:val="none" w:sz="0" w:space="0" w:color="auto"/>
        <w:left w:val="none" w:sz="0" w:space="0" w:color="auto"/>
        <w:bottom w:val="none" w:sz="0" w:space="0" w:color="auto"/>
        <w:right w:val="none" w:sz="0" w:space="0" w:color="auto"/>
      </w:divBdr>
    </w:div>
    <w:div w:id="1777287212">
      <w:bodyDiv w:val="1"/>
      <w:marLeft w:val="0"/>
      <w:marRight w:val="0"/>
      <w:marTop w:val="0"/>
      <w:marBottom w:val="0"/>
      <w:divBdr>
        <w:top w:val="none" w:sz="0" w:space="0" w:color="auto"/>
        <w:left w:val="none" w:sz="0" w:space="0" w:color="auto"/>
        <w:bottom w:val="none" w:sz="0" w:space="0" w:color="auto"/>
        <w:right w:val="none" w:sz="0" w:space="0" w:color="auto"/>
      </w:divBdr>
    </w:div>
    <w:div w:id="1796096263">
      <w:bodyDiv w:val="1"/>
      <w:marLeft w:val="0"/>
      <w:marRight w:val="0"/>
      <w:marTop w:val="0"/>
      <w:marBottom w:val="0"/>
      <w:divBdr>
        <w:top w:val="none" w:sz="0" w:space="0" w:color="auto"/>
        <w:left w:val="none" w:sz="0" w:space="0" w:color="auto"/>
        <w:bottom w:val="none" w:sz="0" w:space="0" w:color="auto"/>
        <w:right w:val="none" w:sz="0" w:space="0" w:color="auto"/>
      </w:divBdr>
    </w:div>
    <w:div w:id="1805272530">
      <w:bodyDiv w:val="1"/>
      <w:marLeft w:val="0"/>
      <w:marRight w:val="0"/>
      <w:marTop w:val="0"/>
      <w:marBottom w:val="0"/>
      <w:divBdr>
        <w:top w:val="none" w:sz="0" w:space="0" w:color="auto"/>
        <w:left w:val="none" w:sz="0" w:space="0" w:color="auto"/>
        <w:bottom w:val="none" w:sz="0" w:space="0" w:color="auto"/>
        <w:right w:val="none" w:sz="0" w:space="0" w:color="auto"/>
      </w:divBdr>
    </w:div>
    <w:div w:id="1809590868">
      <w:bodyDiv w:val="1"/>
      <w:marLeft w:val="0"/>
      <w:marRight w:val="0"/>
      <w:marTop w:val="0"/>
      <w:marBottom w:val="0"/>
      <w:divBdr>
        <w:top w:val="none" w:sz="0" w:space="0" w:color="auto"/>
        <w:left w:val="none" w:sz="0" w:space="0" w:color="auto"/>
        <w:bottom w:val="none" w:sz="0" w:space="0" w:color="auto"/>
        <w:right w:val="none" w:sz="0" w:space="0" w:color="auto"/>
      </w:divBdr>
    </w:div>
    <w:div w:id="1809738884">
      <w:bodyDiv w:val="1"/>
      <w:marLeft w:val="0"/>
      <w:marRight w:val="0"/>
      <w:marTop w:val="0"/>
      <w:marBottom w:val="0"/>
      <w:divBdr>
        <w:top w:val="none" w:sz="0" w:space="0" w:color="auto"/>
        <w:left w:val="none" w:sz="0" w:space="0" w:color="auto"/>
        <w:bottom w:val="none" w:sz="0" w:space="0" w:color="auto"/>
        <w:right w:val="none" w:sz="0" w:space="0" w:color="auto"/>
      </w:divBdr>
    </w:div>
    <w:div w:id="1899397083">
      <w:bodyDiv w:val="1"/>
      <w:marLeft w:val="0"/>
      <w:marRight w:val="0"/>
      <w:marTop w:val="0"/>
      <w:marBottom w:val="0"/>
      <w:divBdr>
        <w:top w:val="none" w:sz="0" w:space="0" w:color="auto"/>
        <w:left w:val="none" w:sz="0" w:space="0" w:color="auto"/>
        <w:bottom w:val="none" w:sz="0" w:space="0" w:color="auto"/>
        <w:right w:val="none" w:sz="0" w:space="0" w:color="auto"/>
      </w:divBdr>
    </w:div>
    <w:div w:id="1906259906">
      <w:bodyDiv w:val="1"/>
      <w:marLeft w:val="0"/>
      <w:marRight w:val="0"/>
      <w:marTop w:val="0"/>
      <w:marBottom w:val="0"/>
      <w:divBdr>
        <w:top w:val="none" w:sz="0" w:space="0" w:color="auto"/>
        <w:left w:val="none" w:sz="0" w:space="0" w:color="auto"/>
        <w:bottom w:val="none" w:sz="0" w:space="0" w:color="auto"/>
        <w:right w:val="none" w:sz="0" w:space="0" w:color="auto"/>
      </w:divBdr>
    </w:div>
    <w:div w:id="1914198131">
      <w:bodyDiv w:val="1"/>
      <w:marLeft w:val="0"/>
      <w:marRight w:val="0"/>
      <w:marTop w:val="0"/>
      <w:marBottom w:val="0"/>
      <w:divBdr>
        <w:top w:val="none" w:sz="0" w:space="0" w:color="auto"/>
        <w:left w:val="none" w:sz="0" w:space="0" w:color="auto"/>
        <w:bottom w:val="none" w:sz="0" w:space="0" w:color="auto"/>
        <w:right w:val="none" w:sz="0" w:space="0" w:color="auto"/>
      </w:divBdr>
    </w:div>
    <w:div w:id="1914466738">
      <w:bodyDiv w:val="1"/>
      <w:marLeft w:val="0"/>
      <w:marRight w:val="0"/>
      <w:marTop w:val="0"/>
      <w:marBottom w:val="0"/>
      <w:divBdr>
        <w:top w:val="none" w:sz="0" w:space="0" w:color="auto"/>
        <w:left w:val="none" w:sz="0" w:space="0" w:color="auto"/>
        <w:bottom w:val="none" w:sz="0" w:space="0" w:color="auto"/>
        <w:right w:val="none" w:sz="0" w:space="0" w:color="auto"/>
      </w:divBdr>
    </w:div>
    <w:div w:id="2053576692">
      <w:bodyDiv w:val="1"/>
      <w:marLeft w:val="0"/>
      <w:marRight w:val="0"/>
      <w:marTop w:val="0"/>
      <w:marBottom w:val="0"/>
      <w:divBdr>
        <w:top w:val="none" w:sz="0" w:space="0" w:color="auto"/>
        <w:left w:val="none" w:sz="0" w:space="0" w:color="auto"/>
        <w:bottom w:val="none" w:sz="0" w:space="0" w:color="auto"/>
        <w:right w:val="none" w:sz="0" w:space="0" w:color="auto"/>
      </w:divBdr>
    </w:div>
    <w:div w:id="2054231704">
      <w:bodyDiv w:val="1"/>
      <w:marLeft w:val="0"/>
      <w:marRight w:val="0"/>
      <w:marTop w:val="0"/>
      <w:marBottom w:val="0"/>
      <w:divBdr>
        <w:top w:val="none" w:sz="0" w:space="0" w:color="auto"/>
        <w:left w:val="none" w:sz="0" w:space="0" w:color="auto"/>
        <w:bottom w:val="none" w:sz="0" w:space="0" w:color="auto"/>
        <w:right w:val="none" w:sz="0" w:space="0" w:color="auto"/>
      </w:divBdr>
    </w:div>
    <w:div w:id="2089960601">
      <w:bodyDiv w:val="1"/>
      <w:marLeft w:val="0"/>
      <w:marRight w:val="0"/>
      <w:marTop w:val="0"/>
      <w:marBottom w:val="0"/>
      <w:divBdr>
        <w:top w:val="none" w:sz="0" w:space="0" w:color="auto"/>
        <w:left w:val="none" w:sz="0" w:space="0" w:color="auto"/>
        <w:bottom w:val="none" w:sz="0" w:space="0" w:color="auto"/>
        <w:right w:val="none" w:sz="0" w:space="0" w:color="auto"/>
      </w:divBdr>
    </w:div>
    <w:div w:id="2120029748">
      <w:bodyDiv w:val="1"/>
      <w:marLeft w:val="0"/>
      <w:marRight w:val="0"/>
      <w:marTop w:val="0"/>
      <w:marBottom w:val="0"/>
      <w:divBdr>
        <w:top w:val="none" w:sz="0" w:space="0" w:color="auto"/>
        <w:left w:val="none" w:sz="0" w:space="0" w:color="auto"/>
        <w:bottom w:val="none" w:sz="0" w:space="0" w:color="auto"/>
        <w:right w:val="none" w:sz="0" w:space="0" w:color="auto"/>
      </w:divBdr>
    </w:div>
    <w:div w:id="2125686423">
      <w:bodyDiv w:val="1"/>
      <w:marLeft w:val="0"/>
      <w:marRight w:val="0"/>
      <w:marTop w:val="0"/>
      <w:marBottom w:val="0"/>
      <w:divBdr>
        <w:top w:val="none" w:sz="0" w:space="0" w:color="auto"/>
        <w:left w:val="none" w:sz="0" w:space="0" w:color="auto"/>
        <w:bottom w:val="none" w:sz="0" w:space="0" w:color="auto"/>
        <w:right w:val="none" w:sz="0" w:space="0" w:color="auto"/>
      </w:divBdr>
    </w:div>
    <w:div w:id="2134711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http://eur-lex.europa.eu/budget/www/index-en.htm" TargetMode="Externa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legal-content/EN/TXT/PDF/?uri=CELEX:52014DC0271&amp;rid=8" TargetMode="External"/><Relationship Id="rId1" Type="http://schemas.openxmlformats.org/officeDocument/2006/relationships/hyperlink" Target="http://ec.europa.eu/budget/library/biblio/documents/financing/calc_own_res_2007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0FD6E-88FA-4468-A86C-60F86E2E4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6755</Words>
  <Characters>31618</Characters>
  <Application>Microsoft Office Word</Application>
  <DocSecurity>0</DocSecurity>
  <Lines>1664</Lines>
  <Paragraphs>1421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36952</CharactersWithSpaces>
  <SharedDoc>false</SharedDoc>
  <HLinks>
    <vt:vector size="72" baseType="variant">
      <vt:variant>
        <vt:i4>1245239</vt:i4>
      </vt:variant>
      <vt:variant>
        <vt:i4>59</vt:i4>
      </vt:variant>
      <vt:variant>
        <vt:i4>0</vt:i4>
      </vt:variant>
      <vt:variant>
        <vt:i4>5</vt:i4>
      </vt:variant>
      <vt:variant>
        <vt:lpwstr/>
      </vt:variant>
      <vt:variant>
        <vt:lpwstr>_Toc421700214</vt:lpwstr>
      </vt:variant>
      <vt:variant>
        <vt:i4>1245239</vt:i4>
      </vt:variant>
      <vt:variant>
        <vt:i4>53</vt:i4>
      </vt:variant>
      <vt:variant>
        <vt:i4>0</vt:i4>
      </vt:variant>
      <vt:variant>
        <vt:i4>5</vt:i4>
      </vt:variant>
      <vt:variant>
        <vt:lpwstr/>
      </vt:variant>
      <vt:variant>
        <vt:lpwstr>_Toc421700213</vt:lpwstr>
      </vt:variant>
      <vt:variant>
        <vt:i4>1245239</vt:i4>
      </vt:variant>
      <vt:variant>
        <vt:i4>47</vt:i4>
      </vt:variant>
      <vt:variant>
        <vt:i4>0</vt:i4>
      </vt:variant>
      <vt:variant>
        <vt:i4>5</vt:i4>
      </vt:variant>
      <vt:variant>
        <vt:lpwstr/>
      </vt:variant>
      <vt:variant>
        <vt:lpwstr>_Toc421700212</vt:lpwstr>
      </vt:variant>
      <vt:variant>
        <vt:i4>1245239</vt:i4>
      </vt:variant>
      <vt:variant>
        <vt:i4>41</vt:i4>
      </vt:variant>
      <vt:variant>
        <vt:i4>0</vt:i4>
      </vt:variant>
      <vt:variant>
        <vt:i4>5</vt:i4>
      </vt:variant>
      <vt:variant>
        <vt:lpwstr/>
      </vt:variant>
      <vt:variant>
        <vt:lpwstr>_Toc421700211</vt:lpwstr>
      </vt:variant>
      <vt:variant>
        <vt:i4>1245239</vt:i4>
      </vt:variant>
      <vt:variant>
        <vt:i4>35</vt:i4>
      </vt:variant>
      <vt:variant>
        <vt:i4>0</vt:i4>
      </vt:variant>
      <vt:variant>
        <vt:i4>5</vt:i4>
      </vt:variant>
      <vt:variant>
        <vt:lpwstr/>
      </vt:variant>
      <vt:variant>
        <vt:lpwstr>_Toc421700210</vt:lpwstr>
      </vt:variant>
      <vt:variant>
        <vt:i4>1179703</vt:i4>
      </vt:variant>
      <vt:variant>
        <vt:i4>29</vt:i4>
      </vt:variant>
      <vt:variant>
        <vt:i4>0</vt:i4>
      </vt:variant>
      <vt:variant>
        <vt:i4>5</vt:i4>
      </vt:variant>
      <vt:variant>
        <vt:lpwstr/>
      </vt:variant>
      <vt:variant>
        <vt:lpwstr>_Toc421700209</vt:lpwstr>
      </vt:variant>
      <vt:variant>
        <vt:i4>1179703</vt:i4>
      </vt:variant>
      <vt:variant>
        <vt:i4>23</vt:i4>
      </vt:variant>
      <vt:variant>
        <vt:i4>0</vt:i4>
      </vt:variant>
      <vt:variant>
        <vt:i4>5</vt:i4>
      </vt:variant>
      <vt:variant>
        <vt:lpwstr/>
      </vt:variant>
      <vt:variant>
        <vt:lpwstr>_Toc421700208</vt:lpwstr>
      </vt:variant>
      <vt:variant>
        <vt:i4>1179703</vt:i4>
      </vt:variant>
      <vt:variant>
        <vt:i4>17</vt:i4>
      </vt:variant>
      <vt:variant>
        <vt:i4>0</vt:i4>
      </vt:variant>
      <vt:variant>
        <vt:i4>5</vt:i4>
      </vt:variant>
      <vt:variant>
        <vt:lpwstr/>
      </vt:variant>
      <vt:variant>
        <vt:lpwstr>_Toc421700207</vt:lpwstr>
      </vt:variant>
      <vt:variant>
        <vt:i4>1179703</vt:i4>
      </vt:variant>
      <vt:variant>
        <vt:i4>11</vt:i4>
      </vt:variant>
      <vt:variant>
        <vt:i4>0</vt:i4>
      </vt:variant>
      <vt:variant>
        <vt:i4>5</vt:i4>
      </vt:variant>
      <vt:variant>
        <vt:lpwstr/>
      </vt:variant>
      <vt:variant>
        <vt:lpwstr>_Toc421700206</vt:lpwstr>
      </vt:variant>
      <vt:variant>
        <vt:i4>1179703</vt:i4>
      </vt:variant>
      <vt:variant>
        <vt:i4>5</vt:i4>
      </vt:variant>
      <vt:variant>
        <vt:i4>0</vt:i4>
      </vt:variant>
      <vt:variant>
        <vt:i4>5</vt:i4>
      </vt:variant>
      <vt:variant>
        <vt:lpwstr/>
      </vt:variant>
      <vt:variant>
        <vt:lpwstr>_Toc421700205</vt:lpwstr>
      </vt:variant>
      <vt:variant>
        <vt:i4>5046279</vt:i4>
      </vt:variant>
      <vt:variant>
        <vt:i4>0</vt:i4>
      </vt:variant>
      <vt:variant>
        <vt:i4>0</vt:i4>
      </vt:variant>
      <vt:variant>
        <vt:i4>5</vt:i4>
      </vt:variant>
      <vt:variant>
        <vt:lpwstr>http://eur-lex.europa.eu/budget/www/index-en.htm</vt:lpwstr>
      </vt:variant>
      <vt:variant>
        <vt:lpwstr/>
      </vt:variant>
      <vt:variant>
        <vt:i4>5111875</vt:i4>
      </vt:variant>
      <vt:variant>
        <vt:i4>0</vt:i4>
      </vt:variant>
      <vt:variant>
        <vt:i4>0</vt:i4>
      </vt:variant>
      <vt:variant>
        <vt:i4>5</vt:i4>
      </vt:variant>
      <vt:variant>
        <vt:lpwstr>http://ec.europa.eu/budget/library/biblio/documents/financing/calc_own_res_2007_en.pdf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2017-10-06T06:43:00Z</dcterms:created>
  <dcterms:modified xsi:type="dcterms:W3CDTF">2017-10-09T10:18:00Z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