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039D1693B04E15B9FEB86F57E6759C" style="width:450pt;height:307.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Трети годишен доклад относно изпълнението на Споразумението за търговия между ЕС и Колумбия и Перу</w:t>
      </w:r>
    </w:p>
    <w:p>
      <w:pPr>
        <w:pStyle w:val="Heading1"/>
        <w:rPr>
          <w:noProof/>
          <w:sz w:val="28"/>
          <w:szCs w:val="28"/>
        </w:rPr>
      </w:pPr>
      <w:r>
        <w:rPr>
          <w:noProof/>
          <w:sz w:val="28"/>
        </w:rPr>
        <w:t xml:space="preserve">Въведение </w:t>
      </w:r>
    </w:p>
    <w:p>
      <w:pPr>
        <w:spacing w:after="0"/>
        <w:rPr>
          <w:rFonts w:eastAsia="Calibri"/>
          <w:noProof/>
          <w:szCs w:val="24"/>
        </w:rPr>
      </w:pPr>
      <w:r>
        <w:rPr>
          <w:noProof/>
        </w:rPr>
        <w:t>2016 г. е четвъртата година от изпълнението на Споразумението за търговия между Европейския съюз и неговите държави членки, от една страна, и Колумбия и Перу, от друга страна</w:t>
      </w:r>
      <w:r>
        <w:rPr>
          <w:noProof/>
          <w:vertAlign w:val="superscript"/>
        </w:rPr>
        <w:footnoteReference w:id="1"/>
      </w:r>
      <w:r>
        <w:rPr>
          <w:noProof/>
        </w:rPr>
        <w:t xml:space="preserve"> (наричано по-долу „Споразумението“). С Перу то се прилага временно от март 2013 г., а с Колумбия – от август 2013 г.</w:t>
      </w:r>
      <w:r>
        <w:rPr>
          <w:noProof/>
          <w:vertAlign w:val="superscript"/>
        </w:rPr>
        <w:footnoteReference w:id="2"/>
      </w:r>
    </w:p>
    <w:p>
      <w:pPr>
        <w:spacing w:after="0"/>
        <w:rPr>
          <w:noProof/>
        </w:rPr>
      </w:pPr>
    </w:p>
    <w:p>
      <w:pPr>
        <w:autoSpaceDE w:val="0"/>
        <w:autoSpaceDN w:val="0"/>
        <w:adjustRightInd w:val="0"/>
        <w:spacing w:after="0"/>
        <w:rPr>
          <w:noProof/>
        </w:rPr>
      </w:pPr>
      <w:r>
        <w:rPr>
          <w:noProof/>
        </w:rPr>
        <w:t xml:space="preserve">За първи път Споразумението бе изменено с Протокола за присъединяването на Хърватия към ЕС. След като на 6 април 2017 г. Перу приключи процедурата по ратификация, Протоколът влезе в сила по отношение на Перу на 1 май 2017 г. </w:t>
      </w:r>
    </w:p>
    <w:p>
      <w:pPr>
        <w:spacing w:after="0"/>
        <w:rPr>
          <w:rFonts w:eastAsia="Calibri"/>
          <w:noProof/>
          <w:szCs w:val="24"/>
        </w:rPr>
      </w:pPr>
    </w:p>
    <w:p>
      <w:pPr>
        <w:spacing w:after="0"/>
        <w:rPr>
          <w:rFonts w:eastAsia="Calibri"/>
          <w:noProof/>
          <w:szCs w:val="24"/>
        </w:rPr>
      </w:pPr>
      <w:r>
        <w:rPr>
          <w:noProof/>
        </w:rPr>
        <w:t>Споразумението бе изменено и втори път с Протокола за присъединяването на Еквадор, който се прилага временно от 1 януари 2017 г. Процедурата по ратификация в Колумбия и Перу и в държавите — членки на ЕС, все още продължава</w:t>
      </w:r>
      <w:r>
        <w:rPr>
          <w:rStyle w:val="FootnoteReference"/>
          <w:noProof/>
        </w:rPr>
        <w:footnoteReference w:id="3"/>
      </w:r>
      <w:r>
        <w:rPr>
          <w:noProof/>
        </w:rPr>
        <w:t xml:space="preserve">. </w:t>
      </w:r>
    </w:p>
    <w:p>
      <w:pPr>
        <w:spacing w:after="0"/>
        <w:rPr>
          <w:rFonts w:eastAsia="Calibri"/>
          <w:noProof/>
          <w:szCs w:val="24"/>
        </w:rPr>
      </w:pPr>
    </w:p>
    <w:p>
      <w:pPr>
        <w:spacing w:after="0"/>
        <w:rPr>
          <w:rFonts w:eastAsiaTheme="minorHAnsi"/>
          <w:noProof/>
          <w:szCs w:val="24"/>
        </w:rPr>
      </w:pPr>
      <w:r>
        <w:rPr>
          <w:noProof/>
        </w:rPr>
        <w:t>В съответствие с член 13 от Регламент (ЕС) № 19/2013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търговия между Европейския съюз и неговите държави членки, от една страна, и Колумбия и Перу, от друга страна</w:t>
      </w:r>
      <w:r>
        <w:rPr>
          <w:rFonts w:eastAsiaTheme="minorHAnsi"/>
          <w:noProof/>
          <w:vertAlign w:val="superscript"/>
        </w:rPr>
        <w:footnoteReference w:id="4"/>
      </w:r>
      <w:r>
        <w:rPr>
          <w:noProof/>
        </w:rPr>
        <w:t xml:space="preserve"> (наричан по-долу „Регламентът“), Комисията има задължението да представя на Европейския парламент и Съвета годишен доклад относно прилагането, изпълнението и спазването на задълженията съгласно Споразумението и Регламента. Настоящият доклад е в отговор на това изискване. </w:t>
      </w:r>
    </w:p>
    <w:p>
      <w:pPr>
        <w:pStyle w:val="Heading1"/>
        <w:rPr>
          <w:noProof/>
          <w:sz w:val="28"/>
          <w:szCs w:val="28"/>
        </w:rPr>
      </w:pPr>
      <w:r>
        <w:rPr>
          <w:noProof/>
          <w:sz w:val="28"/>
        </w:rPr>
        <w:t xml:space="preserve">Методика, използвана за анализа </w:t>
      </w:r>
    </w:p>
    <w:p>
      <w:pPr>
        <w:spacing w:after="0"/>
        <w:rPr>
          <w:rFonts w:eastAsiaTheme="minorHAnsi"/>
          <w:noProof/>
          <w:szCs w:val="24"/>
        </w:rPr>
      </w:pPr>
      <w:r>
        <w:rPr>
          <w:noProof/>
        </w:rPr>
        <w:t xml:space="preserve">Анализът на двустранните търговски потоци се основава на сравнение на данните от ЕВРОСТАТ за четвъртата година от изпълнението на Споразумението (календарната 2016 г.) с данните за календарната година, непосредствено предшестваща Споразумението (2012 г.). По отношение на търговията с услуги, инвестиционните потоци и размера (наличностите) на инвестициите  анализът се основава на годишните данни до 2015 г. </w:t>
      </w:r>
    </w:p>
    <w:p>
      <w:pPr>
        <w:autoSpaceDE w:val="0"/>
        <w:autoSpaceDN w:val="0"/>
        <w:adjustRightInd w:val="0"/>
        <w:spacing w:after="0"/>
        <w:jc w:val="left"/>
        <w:rPr>
          <w:rFonts w:eastAsiaTheme="minorHAnsi"/>
          <w:noProof/>
          <w:szCs w:val="24"/>
        </w:rPr>
      </w:pPr>
    </w:p>
    <w:p>
      <w:pPr>
        <w:autoSpaceDE w:val="0"/>
        <w:autoSpaceDN w:val="0"/>
        <w:adjustRightInd w:val="0"/>
        <w:spacing w:after="0"/>
        <w:rPr>
          <w:rFonts w:eastAsiaTheme="minorHAnsi"/>
          <w:noProof/>
          <w:szCs w:val="24"/>
        </w:rPr>
      </w:pPr>
      <w:r>
        <w:rPr>
          <w:noProof/>
        </w:rPr>
        <w:t xml:space="preserve">Като цяло следва да се отбележи, че причините за колебанията в търговските потоци са отражение на многобройни фактори и не може да бъдат отдавани единствено на наличието на напредък по изпълнението на Споразумението или на степента на този напредък.  </w:t>
      </w:r>
    </w:p>
    <w:p>
      <w:pPr>
        <w:rPr>
          <w:rFonts w:eastAsiaTheme="minorHAnsi"/>
          <w:noProof/>
        </w:rPr>
      </w:pPr>
      <w:r>
        <w:rPr>
          <w:noProof/>
        </w:rPr>
        <w:br w:type="page"/>
      </w:r>
    </w:p>
    <w:p>
      <w:pPr>
        <w:pStyle w:val="Heading1"/>
        <w:tabs>
          <w:tab w:val="clear" w:pos="480"/>
        </w:tabs>
        <w:rPr>
          <w:noProof/>
          <w:sz w:val="28"/>
          <w:szCs w:val="28"/>
        </w:rPr>
      </w:pPr>
      <w:r>
        <w:rPr>
          <w:noProof/>
          <w:sz w:val="28"/>
        </w:rPr>
        <w:t>Развитие на търговията (по години, от началото на временното прилагане)</w:t>
      </w:r>
    </w:p>
    <w:p>
      <w:pPr>
        <w:ind w:left="480" w:hanging="480"/>
        <w:rPr>
          <w:b/>
          <w:noProof/>
        </w:rPr>
      </w:pPr>
      <w:r>
        <w:rPr>
          <w:b/>
          <w:noProof/>
        </w:rPr>
        <w:t>3.1</w:t>
      </w:r>
      <w:r>
        <w:rPr>
          <w:noProof/>
        </w:rPr>
        <w:tab/>
      </w:r>
      <w:r>
        <w:rPr>
          <w:b/>
          <w:noProof/>
        </w:rPr>
        <w:t xml:space="preserve">Търговия със стоки </w:t>
      </w:r>
    </w:p>
    <w:p>
      <w:pPr>
        <w:ind w:left="480" w:hanging="480"/>
        <w:rPr>
          <w:rFonts w:eastAsiaTheme="minorHAnsi"/>
          <w:b/>
          <w:noProof/>
          <w:szCs w:val="24"/>
          <w:u w:val="single"/>
        </w:rPr>
      </w:pPr>
      <w:r>
        <w:rPr>
          <w:rFonts w:eastAsiaTheme="minorHAnsi"/>
          <w:b/>
          <w:noProof/>
          <w:u w:val="single"/>
        </w:rPr>
        <w:t xml:space="preserve">Колумбия </w:t>
      </w:r>
    </w:p>
    <w:p>
      <w:pPr>
        <w:rPr>
          <w:noProof/>
          <w:color w:val="000000" w:themeColor="text1"/>
        </w:rPr>
      </w:pPr>
      <w:r>
        <w:rPr>
          <w:noProof/>
          <w:color w:val="000000" w:themeColor="text1"/>
        </w:rPr>
        <w:t xml:space="preserve">ЕС е вторият търговски партньор на Колумбия след САЩ. След отбелязания между 2012 г. и 2014 г. растеж търговията между ЕС и Колумбия през последните две години е намаляла. Това изглежда се дължи основно на по-слабото търсене на вносни стоки в Колумбия и на спад на международните цени на стоките, който засяга износа на Колумбия на минерални продукти. </w:t>
      </w:r>
      <w:r>
        <w:rPr>
          <w:noProof/>
        </w:rPr>
        <w:t xml:space="preserve">Докато двустранната търговия през 2016 г. е с 23,5 % по-слаба, отколкото през 2012 г., общата търговия на Колумбия с останалия свят за същия период е намаляла с около 36 %. </w:t>
      </w:r>
    </w:p>
    <w:p>
      <w:pPr>
        <w:rPr>
          <w:noProof/>
        </w:rPr>
      </w:pPr>
      <w:r>
        <w:rPr>
          <w:noProof/>
        </w:rPr>
        <w:t xml:space="preserve">През 2016 г. </w:t>
      </w:r>
      <w:r>
        <w:rPr>
          <w:noProof/>
          <w:u w:val="single"/>
        </w:rPr>
        <w:t>двустранната търговия</w:t>
      </w:r>
      <w:r>
        <w:rPr>
          <w:noProof/>
        </w:rPr>
        <w:t xml:space="preserve"> възлиза на 10,8 милиарда евро в сравнение с 14,2 милиарда евро през 2012 г., като за първи път от десетилетие ЕС отбелязва малък търговски излишък. </w:t>
      </w:r>
    </w:p>
    <w:p>
      <w:pPr>
        <w:rPr>
          <w:noProof/>
        </w:rPr>
      </w:pPr>
      <w:r>
        <w:rPr>
          <w:noProof/>
          <w:u w:val="single"/>
        </w:rPr>
        <w:t>Износът от ЕС</w:t>
      </w:r>
      <w:r>
        <w:rPr>
          <w:noProof/>
        </w:rPr>
        <w:t xml:space="preserve"> за Колумбия се е повишил от 5,5 милиарда евро през 2012 г. на 6,5 милиарда евро през 2015 г., но през 2016 г. е намалял с 15 % на 5,4 милиарда евро. Това съответства на тенденцията за свиване на вноса в Колумбия от останалия свят. </w:t>
      </w:r>
    </w:p>
    <w:p>
      <w:pPr>
        <w:rPr>
          <w:b/>
          <w:noProof/>
        </w:rPr>
      </w:pPr>
      <w:r>
        <w:rPr>
          <w:noProof/>
          <w:u w:val="single"/>
        </w:rPr>
        <w:t>Вносът в ЕС</w:t>
      </w:r>
      <w:r>
        <w:rPr>
          <w:noProof/>
        </w:rPr>
        <w:t xml:space="preserve"> от Колумбия възлиза на 5,4 милиарда евро през 2016 г., като е намалял от 6,7 милиарда евро през 2015 г. и от 8,6 милиарда евро през 2012 г. (понижение от 37,5 %). Общият износ на Колумбия през същия период обаче е намалял с 48 %. </w:t>
      </w:r>
    </w:p>
    <w:p>
      <w:pPr>
        <w:spacing w:after="0"/>
        <w:jc w:val="center"/>
        <w:rPr>
          <w:rFonts w:eastAsiaTheme="minorHAnsi"/>
          <w:b/>
          <w:noProof/>
          <w:szCs w:val="24"/>
        </w:rPr>
      </w:pPr>
      <w:r>
        <w:rPr>
          <w:rFonts w:eastAsiaTheme="minorHAnsi"/>
          <w:b/>
          <w:noProof/>
        </w:rPr>
        <w:t>Таблица 1: Двустранна търговия със стоки ЕС — Колумбия, 2012—2016 г. (милиони евро)</w:t>
      </w:r>
    </w:p>
    <w:p>
      <w:pPr>
        <w:spacing w:after="0"/>
        <w:jc w:val="center"/>
        <w:rPr>
          <w:rFonts w:eastAsiaTheme="minorHAnsi"/>
          <w:b/>
          <w:noProof/>
          <w:szCs w:val="24"/>
        </w:rPr>
      </w:pPr>
    </w:p>
    <w:p>
      <w:pPr>
        <w:spacing w:after="0"/>
        <w:jc w:val="center"/>
        <w:rPr>
          <w:rFonts w:eastAsiaTheme="minorHAnsi"/>
          <w:b/>
          <w:noProof/>
          <w:szCs w:val="24"/>
        </w:rPr>
      </w:pPr>
      <w:r>
        <w:rPr>
          <w:noProof/>
          <w:lang w:val="en-US" w:eastAsia="en-US" w:bidi="ar-SA"/>
        </w:rPr>
        <w:drawing>
          <wp:inline distT="0" distB="0" distL="0" distR="0">
            <wp:extent cx="4615493"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9976" cy="2402631"/>
                    </a:xfrm>
                    <a:prstGeom prst="rect">
                      <a:avLst/>
                    </a:prstGeom>
                    <a:noFill/>
                    <a:ln>
                      <a:noFill/>
                    </a:ln>
                  </pic:spPr>
                </pic:pic>
              </a:graphicData>
            </a:graphic>
          </wp:inline>
        </w:drawing>
      </w:r>
    </w:p>
    <w:p>
      <w:pPr>
        <w:spacing w:after="0"/>
        <w:ind w:left="480" w:hanging="480"/>
        <w:jc w:val="center"/>
        <w:rPr>
          <w:noProof/>
          <w:sz w:val="20"/>
        </w:rPr>
      </w:pPr>
      <w:r>
        <w:rPr>
          <w:noProof/>
          <w:sz w:val="20"/>
        </w:rPr>
        <w:t>Източник: Евростат</w:t>
      </w:r>
    </w:p>
    <w:p>
      <w:pPr>
        <w:ind w:left="480" w:hanging="480"/>
        <w:rPr>
          <w:b/>
          <w:noProof/>
          <w:u w:val="single"/>
        </w:rPr>
      </w:pPr>
      <w:r>
        <w:rPr>
          <w:b/>
          <w:noProof/>
        </w:rPr>
        <w:t>Ефекти по сектори</w:t>
      </w:r>
    </w:p>
    <w:p>
      <w:pPr>
        <w:ind w:left="480" w:hanging="480"/>
        <w:rPr>
          <w:noProof/>
        </w:rPr>
      </w:pPr>
      <w:r>
        <w:rPr>
          <w:noProof/>
        </w:rPr>
        <w:t xml:space="preserve">От гледна точка на </w:t>
      </w:r>
      <w:r>
        <w:rPr>
          <w:noProof/>
          <w:u w:val="single"/>
        </w:rPr>
        <w:t>износа от ЕС за Колумбия</w:t>
      </w:r>
      <w:r>
        <w:rPr>
          <w:noProof/>
        </w:rPr>
        <w:t xml:space="preserve"> най-важните категории през 2016 г. са:</w:t>
      </w:r>
    </w:p>
    <w:p>
      <w:pPr>
        <w:pStyle w:val="ListParagraph"/>
        <w:numPr>
          <w:ilvl w:val="0"/>
          <w:numId w:val="5"/>
        </w:numPr>
        <w:rPr>
          <w:noProof/>
          <w:szCs w:val="24"/>
        </w:rPr>
      </w:pPr>
      <w:r>
        <w:rPr>
          <w:noProof/>
        </w:rPr>
        <w:t>машини и апарати (ХС 84) — 16,1 % от износа на ЕС — спад с 24,6 % спрямо 2012 г., дължащ се основно на по-слабото търсене на инвестиции;</w:t>
      </w:r>
    </w:p>
    <w:p>
      <w:pPr>
        <w:pStyle w:val="ListParagraph"/>
        <w:numPr>
          <w:ilvl w:val="0"/>
          <w:numId w:val="5"/>
        </w:numPr>
        <w:rPr>
          <w:noProof/>
          <w:szCs w:val="24"/>
        </w:rPr>
      </w:pPr>
      <w:r>
        <w:rPr>
          <w:noProof/>
        </w:rPr>
        <w:t>фармацевтични продукти (ХС 30) — 13 % от износа — увеличение с 12,5 %;</w:t>
      </w:r>
    </w:p>
    <w:p>
      <w:pPr>
        <w:pStyle w:val="ListParagraph"/>
        <w:numPr>
          <w:ilvl w:val="0"/>
          <w:numId w:val="5"/>
        </w:numPr>
        <w:rPr>
          <w:noProof/>
          <w:szCs w:val="24"/>
        </w:rPr>
      </w:pPr>
      <w:r>
        <w:rPr>
          <w:noProof/>
        </w:rPr>
        <w:t>превозни средства и части (ХС 87) — 8,5 % от износа на ЕС — увеличение с 2,1 %;</w:t>
      </w:r>
    </w:p>
    <w:p>
      <w:pPr>
        <w:pStyle w:val="ListParagraph"/>
        <w:numPr>
          <w:ilvl w:val="0"/>
          <w:numId w:val="5"/>
        </w:numPr>
        <w:rPr>
          <w:noProof/>
          <w:szCs w:val="24"/>
        </w:rPr>
      </w:pPr>
      <w:r>
        <w:rPr>
          <w:noProof/>
        </w:rPr>
        <w:t>медицински (и други) инструменти (ХС 90) и пластмаси и пластмасови изделия (ХС 39) — всяка с увеличение от 11 %;</w:t>
      </w:r>
    </w:p>
    <w:p>
      <w:pPr>
        <w:pStyle w:val="ListParagraph"/>
        <w:numPr>
          <w:ilvl w:val="0"/>
          <w:numId w:val="6"/>
        </w:numPr>
        <w:rPr>
          <w:noProof/>
          <w:szCs w:val="24"/>
        </w:rPr>
      </w:pPr>
      <w:r>
        <w:rPr>
          <w:noProof/>
        </w:rPr>
        <w:t>общият износ на ЕС на селскостопански продукти (ХС 01—24) се е увеличил с 82% от 2012 г. — такава е тенденцията сред повечето категории продукти и тя се дължи до голяма степен на напредъка по изпълнението на главата относно санитарните и фитосанитарните мерки.</w:t>
      </w:r>
    </w:p>
    <w:p>
      <w:pPr>
        <w:ind w:left="480" w:hanging="480"/>
        <w:rPr>
          <w:noProof/>
          <w:szCs w:val="24"/>
        </w:rPr>
      </w:pPr>
      <w:r>
        <w:rPr>
          <w:noProof/>
        </w:rPr>
        <w:t xml:space="preserve">Що се отнася до </w:t>
      </w:r>
      <w:r>
        <w:rPr>
          <w:noProof/>
          <w:u w:val="single"/>
        </w:rPr>
        <w:t>вноса в ЕС от Колумбия</w:t>
      </w:r>
      <w:r>
        <w:rPr>
          <w:noProof/>
        </w:rPr>
        <w:t>, основните категории са:</w:t>
      </w:r>
    </w:p>
    <w:p>
      <w:pPr>
        <w:pStyle w:val="ListParagraph"/>
        <w:numPr>
          <w:ilvl w:val="0"/>
          <w:numId w:val="6"/>
        </w:numPr>
        <w:rPr>
          <w:noProof/>
          <w:szCs w:val="24"/>
        </w:rPr>
      </w:pPr>
      <w:r>
        <w:rPr>
          <w:noProof/>
        </w:rPr>
        <w:t>минерали (ХС 27) — 51,3 % от вноса на ЕС спрямо 68,5 % през 2012 г.;</w:t>
      </w:r>
    </w:p>
    <w:p>
      <w:pPr>
        <w:pStyle w:val="ListParagraph"/>
        <w:numPr>
          <w:ilvl w:val="0"/>
          <w:numId w:val="6"/>
        </w:numPr>
        <w:rPr>
          <w:noProof/>
          <w:szCs w:val="24"/>
        </w:rPr>
      </w:pPr>
      <w:r>
        <w:rPr>
          <w:noProof/>
        </w:rPr>
        <w:t>плодове (ХС 08) — 18 %, почти двойно увеличение от 9,6 % през 2012 г. (с изключение на бананите другите тропически плодове бележат значително покачване);</w:t>
      </w:r>
    </w:p>
    <w:p>
      <w:pPr>
        <w:pStyle w:val="ListParagraph"/>
        <w:numPr>
          <w:ilvl w:val="0"/>
          <w:numId w:val="6"/>
        </w:numPr>
        <w:rPr>
          <w:noProof/>
          <w:color w:val="000000" w:themeColor="text1"/>
          <w:szCs w:val="24"/>
        </w:rPr>
      </w:pPr>
      <w:r>
        <w:rPr>
          <w:noProof/>
        </w:rPr>
        <w:t xml:space="preserve">кафе (ХС 09) — повишение с 44,9 %, понастоящем представляващо </w:t>
      </w:r>
      <w:r>
        <w:rPr>
          <w:noProof/>
          <w:color w:val="000000" w:themeColor="text1"/>
        </w:rPr>
        <w:t>10,9 % от вноса на ЕС;</w:t>
      </w:r>
    </w:p>
    <w:p>
      <w:pPr>
        <w:pStyle w:val="ListParagraph"/>
        <w:numPr>
          <w:ilvl w:val="0"/>
          <w:numId w:val="18"/>
        </w:numPr>
        <w:contextualSpacing w:val="0"/>
        <w:rPr>
          <w:noProof/>
          <w:color w:val="000000" w:themeColor="text1"/>
        </w:rPr>
      </w:pPr>
      <w:r>
        <w:rPr>
          <w:noProof/>
          <w:color w:val="000000" w:themeColor="text1"/>
        </w:rPr>
        <w:t xml:space="preserve">общият внос в ЕС на селскостопански продукти (ХС 01—24) се е повишил с 32,9 % от 2012 г. </w:t>
      </w:r>
    </w:p>
    <w:p>
      <w:pPr>
        <w:spacing w:after="0"/>
        <w:jc w:val="left"/>
        <w:rPr>
          <w:b/>
          <w:noProof/>
          <w:szCs w:val="24"/>
          <w:u w:val="single"/>
        </w:rPr>
      </w:pPr>
      <w:r>
        <w:rPr>
          <w:b/>
          <w:noProof/>
          <w:u w:val="single"/>
        </w:rPr>
        <w:t xml:space="preserve">Перу </w:t>
      </w:r>
    </w:p>
    <w:p>
      <w:pPr>
        <w:spacing w:after="0"/>
        <w:jc w:val="left"/>
        <w:rPr>
          <w:b/>
          <w:noProof/>
          <w:szCs w:val="24"/>
          <w:u w:val="single"/>
        </w:rPr>
      </w:pPr>
    </w:p>
    <w:p>
      <w:pPr>
        <w:rPr>
          <w:noProof/>
          <w:color w:val="000000" w:themeColor="text1"/>
        </w:rPr>
      </w:pPr>
      <w:r>
        <w:rPr>
          <w:noProof/>
          <w:color w:val="000000" w:themeColor="text1"/>
        </w:rPr>
        <w:t>ЕС е третият търговски партньор на Перу след Китай и САЩ.</w:t>
      </w:r>
      <w:r>
        <w:rPr>
          <w:noProof/>
        </w:rPr>
        <w:t xml:space="preserve"> През 2016 г. двустранната търговия отбелязва лек спад, основно поради намаляване на външното търсене и понижението на цените на суровините на световния пазар. </w:t>
      </w:r>
      <w:r>
        <w:rPr>
          <w:noProof/>
          <w:color w:val="000000" w:themeColor="text1"/>
        </w:rPr>
        <w:t xml:space="preserve">Общата търговия на Перу с останалия свят между 2012 г. и 2016 г. е намаляла с 18 % в сравнение с 11 % при търговията с ЕС. </w:t>
      </w:r>
    </w:p>
    <w:p>
      <w:pPr>
        <w:rPr>
          <w:noProof/>
        </w:rPr>
      </w:pPr>
      <w:r>
        <w:rPr>
          <w:noProof/>
        </w:rPr>
        <w:t xml:space="preserve">През 2016 г. </w:t>
      </w:r>
      <w:r>
        <w:rPr>
          <w:noProof/>
          <w:u w:val="single"/>
        </w:rPr>
        <w:t>двустранната търговия</w:t>
      </w:r>
      <w:r>
        <w:rPr>
          <w:noProof/>
        </w:rPr>
        <w:t xml:space="preserve"> възлиза на 8,7 милиарда евро, което представлява намаление от 11 % в сравнение с 2012 г., като търговският дефицит на ЕС в сравнение с 2012 г. се свива.</w:t>
      </w:r>
    </w:p>
    <w:p>
      <w:pPr>
        <w:rPr>
          <w:noProof/>
          <w:szCs w:val="24"/>
        </w:rPr>
      </w:pPr>
      <w:r>
        <w:rPr>
          <w:noProof/>
          <w:u w:val="single"/>
        </w:rPr>
        <w:t>Вносът в ЕС</w:t>
      </w:r>
      <w:r>
        <w:rPr>
          <w:noProof/>
        </w:rPr>
        <w:t xml:space="preserve"> от Перу е намалял с 4 % от 2012 г. на фона на спад в общия износ на Перу от 14 %. </w:t>
      </w:r>
    </w:p>
    <w:p>
      <w:pPr>
        <w:rPr>
          <w:noProof/>
          <w:szCs w:val="24"/>
        </w:rPr>
      </w:pPr>
      <w:r>
        <w:rPr>
          <w:noProof/>
          <w:u w:val="single"/>
        </w:rPr>
        <w:t>Износът от ЕС</w:t>
      </w:r>
      <w:r>
        <w:rPr>
          <w:noProof/>
        </w:rPr>
        <w:t xml:space="preserve"> за Перу е нараснал за същия период с 4 % за разлика от намалението с 22 % на общия внос в Перу.  </w:t>
      </w:r>
    </w:p>
    <w:p>
      <w:pPr>
        <w:ind w:left="480" w:hanging="480"/>
        <w:jc w:val="center"/>
        <w:rPr>
          <w:rFonts w:eastAsiaTheme="minorHAnsi"/>
          <w:b/>
          <w:noProof/>
          <w:szCs w:val="24"/>
        </w:rPr>
      </w:pPr>
      <w:r>
        <w:rPr>
          <w:rFonts w:eastAsiaTheme="minorHAnsi"/>
          <w:b/>
          <w:noProof/>
        </w:rPr>
        <w:t>Таблица 2: Двустранна търговия със стоки ЕС — Перу, 2012—2016 г.</w:t>
      </w:r>
      <w:r>
        <w:rPr>
          <w:rFonts w:eastAsiaTheme="minorHAnsi"/>
          <w:b/>
          <w:noProof/>
          <w:szCs w:val="24"/>
        </w:rPr>
        <w:br/>
      </w:r>
      <w:r>
        <w:rPr>
          <w:rFonts w:eastAsiaTheme="minorHAnsi"/>
          <w:b/>
          <w:noProof/>
        </w:rPr>
        <w:t>(милиони евро)</w:t>
      </w:r>
    </w:p>
    <w:p>
      <w:pPr>
        <w:spacing w:after="0"/>
        <w:ind w:left="480" w:hanging="480"/>
        <w:jc w:val="center"/>
        <w:rPr>
          <w:rFonts w:eastAsiaTheme="minorHAnsi"/>
          <w:b/>
          <w:noProof/>
          <w:szCs w:val="24"/>
        </w:rPr>
      </w:pPr>
      <w:r>
        <w:rPr>
          <w:noProof/>
          <w:lang w:val="en-US" w:eastAsia="en-US" w:bidi="ar-SA"/>
        </w:rPr>
        <w:drawing>
          <wp:inline distT="0" distB="0" distL="0" distR="0">
            <wp:extent cx="3949700" cy="1890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3678" cy="1897445"/>
                    </a:xfrm>
                    <a:prstGeom prst="rect">
                      <a:avLst/>
                    </a:prstGeom>
                    <a:noFill/>
                    <a:ln>
                      <a:noFill/>
                    </a:ln>
                  </pic:spPr>
                </pic:pic>
              </a:graphicData>
            </a:graphic>
          </wp:inline>
        </w:drawing>
      </w:r>
    </w:p>
    <w:p>
      <w:pPr>
        <w:spacing w:after="0"/>
        <w:ind w:left="480" w:hanging="480"/>
        <w:jc w:val="center"/>
        <w:rPr>
          <w:noProof/>
          <w:sz w:val="20"/>
        </w:rPr>
      </w:pPr>
      <w:r>
        <w:rPr>
          <w:noProof/>
          <w:sz w:val="20"/>
        </w:rPr>
        <w:t xml:space="preserve">Източник: Евростат </w:t>
      </w:r>
    </w:p>
    <w:p>
      <w:pPr>
        <w:jc w:val="left"/>
        <w:rPr>
          <w:b/>
          <w:noProof/>
          <w:u w:val="single"/>
        </w:rPr>
      </w:pPr>
      <w:r>
        <w:rPr>
          <w:b/>
          <w:noProof/>
        </w:rPr>
        <w:t>Ефекти по сектори</w:t>
      </w:r>
    </w:p>
    <w:p>
      <w:pPr>
        <w:ind w:left="480" w:hanging="480"/>
        <w:rPr>
          <w:noProof/>
        </w:rPr>
      </w:pPr>
      <w:r>
        <w:rPr>
          <w:noProof/>
        </w:rPr>
        <w:t xml:space="preserve">От гледна точка на </w:t>
      </w:r>
      <w:r>
        <w:rPr>
          <w:noProof/>
          <w:u w:val="single"/>
        </w:rPr>
        <w:t xml:space="preserve">износа от ЕС </w:t>
      </w:r>
      <w:r>
        <w:rPr>
          <w:noProof/>
        </w:rPr>
        <w:t>за Перу най-важните категории през 2016 г. са:</w:t>
      </w:r>
    </w:p>
    <w:p>
      <w:pPr>
        <w:pStyle w:val="ListParagraph"/>
        <w:numPr>
          <w:ilvl w:val="0"/>
          <w:numId w:val="12"/>
        </w:numPr>
        <w:spacing w:after="0"/>
        <w:rPr>
          <w:rFonts w:eastAsia="Calibri"/>
          <w:noProof/>
          <w:szCs w:val="24"/>
        </w:rPr>
      </w:pPr>
      <w:r>
        <w:rPr>
          <w:noProof/>
        </w:rPr>
        <w:t xml:space="preserve">машини и апарати (ХС 84) — 27 % от износа спрямо 34 % през 2012 г.; </w:t>
      </w:r>
    </w:p>
    <w:p>
      <w:pPr>
        <w:pStyle w:val="ListParagraph"/>
        <w:numPr>
          <w:ilvl w:val="0"/>
          <w:numId w:val="12"/>
        </w:numPr>
        <w:spacing w:after="0"/>
        <w:rPr>
          <w:rFonts w:eastAsia="Calibri"/>
          <w:noProof/>
          <w:szCs w:val="24"/>
        </w:rPr>
      </w:pPr>
      <w:r>
        <w:rPr>
          <w:noProof/>
        </w:rPr>
        <w:t xml:space="preserve">електрически апарати (ХС 85) — 9 % от износа — 15 % намаление от 2012 г.;  </w:t>
      </w:r>
    </w:p>
    <w:p>
      <w:pPr>
        <w:pStyle w:val="ListParagraph"/>
        <w:numPr>
          <w:ilvl w:val="0"/>
          <w:numId w:val="12"/>
        </w:numPr>
        <w:spacing w:after="0"/>
        <w:rPr>
          <w:rFonts w:eastAsia="Calibri"/>
          <w:noProof/>
          <w:szCs w:val="24"/>
        </w:rPr>
      </w:pPr>
      <w:r>
        <w:rPr>
          <w:noProof/>
        </w:rPr>
        <w:t xml:space="preserve">моторни превозни средства (ХС 87) — 8 % от износа, като при леките автомобили повишението е със 17 %, а при тежкотоварните – с 9 %; </w:t>
      </w:r>
    </w:p>
    <w:p>
      <w:pPr>
        <w:pStyle w:val="ListParagraph"/>
        <w:numPr>
          <w:ilvl w:val="0"/>
          <w:numId w:val="12"/>
        </w:numPr>
        <w:spacing w:after="0"/>
        <w:rPr>
          <w:rFonts w:eastAsia="Calibri"/>
          <w:noProof/>
          <w:szCs w:val="24"/>
        </w:rPr>
      </w:pPr>
      <w:r>
        <w:rPr>
          <w:noProof/>
        </w:rPr>
        <w:t>фармацевтични продукти (ХС 30) — 5 % от износа на ЕС (76 % увеличение от 2012 г.);</w:t>
      </w:r>
    </w:p>
    <w:p>
      <w:pPr>
        <w:pStyle w:val="ListParagraph"/>
        <w:numPr>
          <w:ilvl w:val="0"/>
          <w:numId w:val="12"/>
        </w:numPr>
        <w:spacing w:after="0"/>
        <w:rPr>
          <w:rFonts w:eastAsia="Calibri"/>
          <w:noProof/>
          <w:szCs w:val="24"/>
        </w:rPr>
      </w:pPr>
      <w:r>
        <w:rPr>
          <w:noProof/>
        </w:rPr>
        <w:t xml:space="preserve">селскостопански продукти (ХС 01—24) — увеличение със 73 % от 2012 г., </w:t>
      </w:r>
      <w:r>
        <w:rPr>
          <w:noProof/>
        </w:rPr>
        <w:tab/>
        <w:t xml:space="preserve">особено при спиртните напитки (с 60 %), детските храни (с 277 %) и продуктите от зеленчуци (със 156 %). </w:t>
      </w:r>
    </w:p>
    <w:p>
      <w:pPr>
        <w:spacing w:after="0"/>
        <w:rPr>
          <w:rFonts w:ascii="Calibri" w:eastAsia="Calibri" w:hAnsi="Calibri"/>
          <w:noProof/>
          <w:szCs w:val="24"/>
        </w:rPr>
      </w:pPr>
    </w:p>
    <w:p>
      <w:pPr>
        <w:spacing w:after="0"/>
        <w:jc w:val="left"/>
        <w:rPr>
          <w:noProof/>
          <w:szCs w:val="24"/>
        </w:rPr>
      </w:pPr>
    </w:p>
    <w:p>
      <w:pPr>
        <w:ind w:left="480" w:hanging="480"/>
        <w:rPr>
          <w:noProof/>
          <w:szCs w:val="24"/>
        </w:rPr>
      </w:pPr>
      <w:r>
        <w:rPr>
          <w:noProof/>
        </w:rPr>
        <w:t xml:space="preserve">Що се отнася до </w:t>
      </w:r>
      <w:r>
        <w:rPr>
          <w:noProof/>
          <w:u w:val="single"/>
        </w:rPr>
        <w:t>вноса в ЕС от Перу</w:t>
      </w:r>
      <w:r>
        <w:rPr>
          <w:noProof/>
        </w:rPr>
        <w:t>, основните категории са:</w:t>
      </w:r>
    </w:p>
    <w:p>
      <w:pPr>
        <w:pStyle w:val="ListParagraph"/>
        <w:numPr>
          <w:ilvl w:val="0"/>
          <w:numId w:val="10"/>
        </w:numPr>
        <w:spacing w:after="0"/>
        <w:rPr>
          <w:rFonts w:eastAsia="Calibri"/>
          <w:noProof/>
          <w:szCs w:val="24"/>
        </w:rPr>
      </w:pPr>
      <w:r>
        <w:rPr>
          <w:noProof/>
        </w:rPr>
        <w:t xml:space="preserve">руди, шлаки и пепели (ХС 26) — 24 % от целия внос на ЕС, но с 40 % намаление от 2012 г.; </w:t>
      </w:r>
    </w:p>
    <w:p>
      <w:pPr>
        <w:pStyle w:val="ListParagraph"/>
        <w:numPr>
          <w:ilvl w:val="0"/>
          <w:numId w:val="10"/>
        </w:numPr>
        <w:spacing w:after="0"/>
        <w:rPr>
          <w:rFonts w:eastAsia="Calibri"/>
          <w:noProof/>
          <w:szCs w:val="24"/>
        </w:rPr>
      </w:pPr>
      <w:r>
        <w:rPr>
          <w:noProof/>
        </w:rPr>
        <w:t xml:space="preserve">минерални горива и масла (ХС 27) — 7 % от вноса на ЕС — 48 % спад от 2012 г.; </w:t>
      </w:r>
    </w:p>
    <w:p>
      <w:pPr>
        <w:pStyle w:val="ListParagraph"/>
        <w:numPr>
          <w:ilvl w:val="0"/>
          <w:numId w:val="11"/>
        </w:numPr>
        <w:spacing w:after="0"/>
        <w:rPr>
          <w:rFonts w:eastAsia="Calibri"/>
          <w:noProof/>
          <w:szCs w:val="24"/>
        </w:rPr>
      </w:pPr>
      <w:r>
        <w:rPr>
          <w:noProof/>
        </w:rPr>
        <w:t xml:space="preserve">плодове (ХС 08) — 18 % от сегашния внос на ЕС — увеличение със 120 % (основните продукти освен бананите са авокадото, десертното грозде, мангото, боровинките); </w:t>
      </w:r>
    </w:p>
    <w:p>
      <w:pPr>
        <w:pStyle w:val="ListParagraph"/>
        <w:numPr>
          <w:ilvl w:val="0"/>
          <w:numId w:val="11"/>
        </w:numPr>
        <w:spacing w:after="0"/>
        <w:rPr>
          <w:rFonts w:eastAsia="Calibri"/>
          <w:noProof/>
          <w:szCs w:val="24"/>
        </w:rPr>
      </w:pPr>
      <w:r>
        <w:rPr>
          <w:noProof/>
        </w:rPr>
        <w:t xml:space="preserve">кафе (ХС 09) — понастоящем третата по обем категория внос в ЕС — обхваща 7 % от вноса, но е намаляла с 32 % от 2012 г., основно поради проблем с вредители; </w:t>
      </w:r>
    </w:p>
    <w:p>
      <w:pPr>
        <w:pStyle w:val="ListParagraph"/>
        <w:numPr>
          <w:ilvl w:val="0"/>
          <w:numId w:val="11"/>
        </w:numPr>
        <w:spacing w:after="0"/>
        <w:rPr>
          <w:rFonts w:eastAsia="Calibri"/>
          <w:noProof/>
          <w:szCs w:val="24"/>
        </w:rPr>
      </w:pPr>
      <w:r>
        <w:rPr>
          <w:noProof/>
        </w:rPr>
        <w:t xml:space="preserve">риба и мекотели (ХС 03) — 5 % от вноса — с 30 % намаление; </w:t>
      </w:r>
    </w:p>
    <w:p>
      <w:pPr>
        <w:pStyle w:val="ListParagraph"/>
        <w:numPr>
          <w:ilvl w:val="0"/>
          <w:numId w:val="11"/>
        </w:numPr>
        <w:spacing w:after="0"/>
        <w:rPr>
          <w:rFonts w:eastAsia="Calibri"/>
          <w:noProof/>
          <w:szCs w:val="24"/>
        </w:rPr>
      </w:pPr>
      <w:r>
        <w:rPr>
          <w:noProof/>
        </w:rPr>
        <w:t xml:space="preserve">зеленчуци (ХС 07) — 4 % от вноса (77 % от които аспержи) — с увеличение с 22 %; </w:t>
      </w:r>
    </w:p>
    <w:p>
      <w:pPr>
        <w:pStyle w:val="ListParagraph"/>
        <w:numPr>
          <w:ilvl w:val="0"/>
          <w:numId w:val="11"/>
        </w:numPr>
        <w:spacing w:after="0"/>
        <w:rPr>
          <w:rFonts w:eastAsia="Calibri"/>
          <w:noProof/>
          <w:szCs w:val="24"/>
        </w:rPr>
      </w:pPr>
      <w:r>
        <w:rPr>
          <w:noProof/>
        </w:rPr>
        <w:t xml:space="preserve">какаото бележи увеличение с 226 % и представлява 5 % от вноса на ЕС. </w:t>
      </w:r>
    </w:p>
    <w:p>
      <w:pPr>
        <w:pStyle w:val="ListParagraph"/>
        <w:spacing w:after="0"/>
        <w:rPr>
          <w:rFonts w:ascii="Calibri" w:eastAsia="Calibri" w:hAnsi="Calibri"/>
          <w:noProof/>
          <w:szCs w:val="24"/>
        </w:rPr>
      </w:pPr>
    </w:p>
    <w:p>
      <w:pPr>
        <w:ind w:left="480" w:hanging="480"/>
        <w:rPr>
          <w:b/>
          <w:noProof/>
        </w:rPr>
      </w:pPr>
      <w:r>
        <w:rPr>
          <w:b/>
          <w:noProof/>
        </w:rPr>
        <w:t>3.2</w:t>
      </w:r>
      <w:r>
        <w:rPr>
          <w:noProof/>
        </w:rPr>
        <w:tab/>
      </w:r>
      <w:r>
        <w:rPr>
          <w:b/>
          <w:noProof/>
        </w:rPr>
        <w:t xml:space="preserve">Търговия с услуги и инвестиции  </w:t>
      </w:r>
    </w:p>
    <w:p>
      <w:pPr>
        <w:rPr>
          <w:b/>
          <w:noProof/>
        </w:rPr>
      </w:pPr>
      <w:r>
        <w:rPr>
          <w:b/>
          <w:noProof/>
        </w:rPr>
        <w:t>3.2.1.</w:t>
      </w:r>
      <w:r>
        <w:rPr>
          <w:noProof/>
        </w:rPr>
        <w:tab/>
      </w:r>
      <w:r>
        <w:rPr>
          <w:b/>
          <w:noProof/>
        </w:rPr>
        <w:t>Търговия с услуги</w:t>
      </w:r>
    </w:p>
    <w:p>
      <w:pPr>
        <w:ind w:left="480" w:hanging="480"/>
        <w:jc w:val="center"/>
        <w:rPr>
          <w:rFonts w:eastAsiaTheme="minorHAnsi"/>
          <w:b/>
          <w:noProof/>
          <w:szCs w:val="24"/>
        </w:rPr>
      </w:pPr>
      <w:r>
        <w:rPr>
          <w:rFonts w:eastAsiaTheme="minorHAnsi"/>
          <w:b/>
          <w:noProof/>
        </w:rPr>
        <w:t>Таблица 3: Двустранна търговия с услуги ЕС — Колумбия, 2010—2015 г. (милиони евро)</w:t>
      </w:r>
    </w:p>
    <w:tbl>
      <w:tblPr>
        <w:tblW w:w="7360" w:type="dxa"/>
        <w:jc w:val="center"/>
        <w:tblInd w:w="93" w:type="dxa"/>
        <w:tblLook w:val="04A0" w:firstRow="1" w:lastRow="0" w:firstColumn="1" w:lastColumn="0" w:noHBand="0" w:noVBand="1"/>
      </w:tblPr>
      <w:tblGrid>
        <w:gridCol w:w="1600"/>
        <w:gridCol w:w="960"/>
        <w:gridCol w:w="960"/>
        <w:gridCol w:w="960"/>
        <w:gridCol w:w="960"/>
        <w:gridCol w:w="960"/>
        <w:gridCol w:w="960"/>
      </w:tblGrid>
      <w:tr>
        <w:trPr>
          <w:trHeight w:val="315"/>
          <w:jc w:val="center"/>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center"/>
              <w:rPr>
                <w:noProof/>
                <w:sz w:val="22"/>
                <w:szCs w:val="22"/>
              </w:rPr>
            </w:pP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2010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2011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2012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2013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2014 г.</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rPr>
            </w:pPr>
            <w:r>
              <w:rPr>
                <w:b/>
                <w:noProof/>
                <w:sz w:val="22"/>
              </w:rPr>
              <w:t>2015 г.</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Внос ЕС 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987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1 355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1 447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1 434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1 615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rPr>
            </w:pPr>
            <w:r>
              <w:rPr>
                <w:noProof/>
                <w:sz w:val="22"/>
              </w:rPr>
              <w:t>1 496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Износ ЕС 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1 953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2 636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2 857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2 576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2 485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rPr>
            </w:pPr>
            <w:r>
              <w:rPr>
                <w:noProof/>
                <w:sz w:val="22"/>
              </w:rPr>
              <w:t>2 866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Салдо</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967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1 281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1 410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1 141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870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b/>
                <w:noProof/>
                <w:sz w:val="22"/>
                <w:szCs w:val="22"/>
              </w:rPr>
            </w:pPr>
            <w:r>
              <w:rPr>
                <w:b/>
                <w:noProof/>
                <w:sz w:val="22"/>
              </w:rPr>
              <w:t>1 370</w:t>
            </w:r>
          </w:p>
        </w:tc>
      </w:tr>
      <w:tr>
        <w:trPr>
          <w:trHeight w:val="315"/>
          <w:jc w:val="center"/>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Общо търговия</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2 940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3 992</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4 304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4 010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4 100</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center"/>
              <w:rPr>
                <w:b/>
                <w:noProof/>
                <w:sz w:val="22"/>
                <w:szCs w:val="22"/>
              </w:rPr>
            </w:pPr>
            <w:r>
              <w:rPr>
                <w:b/>
                <w:noProof/>
                <w:sz w:val="22"/>
              </w:rPr>
              <w:t>4 362</w:t>
            </w:r>
          </w:p>
        </w:tc>
      </w:tr>
      <w:tr>
        <w:trPr>
          <w:trHeight w:val="300"/>
          <w:jc w:val="center"/>
        </w:trPr>
        <w:tc>
          <w:tcPr>
            <w:tcW w:w="736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Източник: Евростат</w:t>
            </w:r>
          </w:p>
        </w:tc>
      </w:tr>
    </w:tbl>
    <w:p>
      <w:pPr>
        <w:spacing w:after="200"/>
        <w:rPr>
          <w:rFonts w:eastAsia="Calibri"/>
          <w:noProof/>
          <w:szCs w:val="24"/>
        </w:rPr>
      </w:pPr>
    </w:p>
    <w:p>
      <w:pPr>
        <w:spacing w:after="200"/>
        <w:rPr>
          <w:rFonts w:ascii="Arial" w:hAnsi="Arial" w:cs="Arial"/>
          <w:noProof/>
          <w:color w:val="1F497D"/>
        </w:rPr>
      </w:pPr>
      <w:r>
        <w:rPr>
          <w:noProof/>
        </w:rPr>
        <w:t xml:space="preserve">В </w:t>
      </w:r>
      <w:r>
        <w:rPr>
          <w:noProof/>
          <w:u w:val="single"/>
        </w:rPr>
        <w:t>Колумбия</w:t>
      </w:r>
      <w:r>
        <w:rPr>
          <w:noProof/>
        </w:rPr>
        <w:t xml:space="preserve"> през 2015 г. двустранната търговия с услуги е запазила равнището си на 4,3 милиарда евро. Съгласно статистическите данни на страната делът на ЕС в общата търговия с услуги на Колумбия през 2016 г. възлиза на 16,2 %.</w:t>
      </w:r>
    </w:p>
    <w:p>
      <w:pPr>
        <w:ind w:left="480" w:hanging="480"/>
        <w:jc w:val="center"/>
        <w:rPr>
          <w:rFonts w:eastAsiaTheme="minorHAnsi"/>
          <w:b/>
          <w:noProof/>
          <w:szCs w:val="24"/>
        </w:rPr>
      </w:pPr>
      <w:r>
        <w:rPr>
          <w:rFonts w:eastAsiaTheme="minorHAnsi"/>
          <w:b/>
          <w:noProof/>
        </w:rPr>
        <w:t>Таблица 4: Двустранна търговия с услуги ЕС — Перу, 2010—2015 г.</w:t>
      </w:r>
      <w:r>
        <w:rPr>
          <w:rFonts w:eastAsiaTheme="minorHAnsi"/>
          <w:b/>
          <w:noProof/>
          <w:szCs w:val="24"/>
        </w:rPr>
        <w:br/>
      </w:r>
      <w:r>
        <w:rPr>
          <w:rFonts w:eastAsiaTheme="minorHAnsi"/>
          <w:b/>
          <w:noProof/>
        </w:rPr>
        <w:t>(милиони евро)</w:t>
      </w:r>
    </w:p>
    <w:tbl>
      <w:tblPr>
        <w:tblW w:w="7300" w:type="dxa"/>
        <w:jc w:val="center"/>
        <w:tblInd w:w="93" w:type="dxa"/>
        <w:tblLook w:val="04A0" w:firstRow="1" w:lastRow="0" w:firstColumn="1" w:lastColumn="0" w:noHBand="0" w:noVBand="1"/>
      </w:tblPr>
      <w:tblGrid>
        <w:gridCol w:w="1540"/>
        <w:gridCol w:w="960"/>
        <w:gridCol w:w="960"/>
        <w:gridCol w:w="960"/>
        <w:gridCol w:w="960"/>
        <w:gridCol w:w="960"/>
        <w:gridCol w:w="960"/>
      </w:tblGrid>
      <w:tr>
        <w:trPr>
          <w:trHeight w:val="315"/>
          <w:jc w:val="center"/>
        </w:trPr>
        <w:tc>
          <w:tcPr>
            <w:tcW w:w="1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left"/>
              <w:rPr>
                <w:noProof/>
                <w:sz w:val="22"/>
                <w:szCs w:val="22"/>
              </w:rPr>
            </w:pPr>
            <w:r>
              <w:rPr>
                <w:noProof/>
                <w:sz w:val="22"/>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2010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2011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2012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2013 г.</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2014 г.</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rPr>
            </w:pPr>
            <w:r>
              <w:rPr>
                <w:b/>
                <w:noProof/>
                <w:sz w:val="22"/>
              </w:rPr>
              <w:t>2015 г.</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rPr>
            </w:pPr>
            <w:r>
              <w:rPr>
                <w:noProof/>
                <w:sz w:val="22"/>
              </w:rPr>
              <w:t>Внос ЕС 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879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rPr>
            </w:pPr>
            <w:r>
              <w:rPr>
                <w:noProof/>
                <w:sz w:val="22"/>
              </w:rPr>
              <w:t>803</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rPr>
            </w:pPr>
            <w:r>
              <w:rPr>
                <w:noProof/>
                <w:sz w:val="22"/>
              </w:rPr>
              <w:t>Износ ЕС 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1 067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1 094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1 503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1 704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1 472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rPr>
            </w:pPr>
            <w:r>
              <w:rPr>
                <w:noProof/>
                <w:sz w:val="22"/>
              </w:rPr>
              <w:t>1 667</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b/>
                <w:bCs/>
                <w:noProof/>
                <w:sz w:val="22"/>
                <w:szCs w:val="22"/>
              </w:rPr>
            </w:pPr>
            <w:r>
              <w:rPr>
                <w:b/>
                <w:noProof/>
                <w:sz w:val="22"/>
              </w:rPr>
              <w:t>Салдо</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648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873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593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b/>
                <w:bCs/>
                <w:noProof/>
                <w:sz w:val="22"/>
                <w:szCs w:val="22"/>
              </w:rPr>
            </w:pPr>
            <w:r>
              <w:rPr>
                <w:b/>
                <w:noProof/>
                <w:sz w:val="22"/>
              </w:rPr>
              <w:t>864</w:t>
            </w:r>
          </w:p>
        </w:tc>
      </w:tr>
      <w:tr>
        <w:trPr>
          <w:trHeight w:val="315"/>
          <w:jc w:val="center"/>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left"/>
              <w:rPr>
                <w:b/>
                <w:bCs/>
                <w:noProof/>
                <w:sz w:val="22"/>
                <w:szCs w:val="22"/>
              </w:rPr>
            </w:pPr>
            <w:r>
              <w:rPr>
                <w:b/>
                <w:noProof/>
                <w:sz w:val="22"/>
              </w:rPr>
              <w:t>Общо търговия</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1 964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1 943</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2 358</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2 535</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2 351</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right"/>
              <w:rPr>
                <w:b/>
                <w:bCs/>
                <w:noProof/>
                <w:sz w:val="22"/>
                <w:szCs w:val="22"/>
              </w:rPr>
            </w:pPr>
            <w:r>
              <w:rPr>
                <w:b/>
                <w:noProof/>
                <w:sz w:val="22"/>
              </w:rPr>
              <w:t>2 469</w:t>
            </w:r>
          </w:p>
        </w:tc>
      </w:tr>
      <w:tr>
        <w:trPr>
          <w:trHeight w:val="300"/>
          <w:jc w:val="center"/>
        </w:trPr>
        <w:tc>
          <w:tcPr>
            <w:tcW w:w="730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Източник: Евростат</w:t>
            </w:r>
          </w:p>
        </w:tc>
      </w:tr>
    </w:tbl>
    <w:p>
      <w:pPr>
        <w:ind w:left="480" w:hanging="480"/>
        <w:jc w:val="center"/>
        <w:rPr>
          <w:rFonts w:eastAsiaTheme="minorHAnsi"/>
          <w:b/>
          <w:noProof/>
          <w:szCs w:val="24"/>
        </w:rPr>
      </w:pPr>
    </w:p>
    <w:p>
      <w:pPr>
        <w:rPr>
          <w:rFonts w:eastAsia="Calibri"/>
          <w:noProof/>
        </w:rPr>
      </w:pPr>
      <w:r>
        <w:rPr>
          <w:noProof/>
        </w:rPr>
        <w:t xml:space="preserve">В </w:t>
      </w:r>
      <w:r>
        <w:rPr>
          <w:noProof/>
          <w:u w:val="single"/>
        </w:rPr>
        <w:t>Перу</w:t>
      </w:r>
      <w:r>
        <w:rPr>
          <w:noProof/>
        </w:rPr>
        <w:t xml:space="preserve"> през 2015 г. двустранната търговия с услуги се е повишила с 5 % в сравнение с 2012 г.  Докато износът на ЕС за периода се е увеличил с 11 %, този на Перу е намалял с 6 %.  Съгласно статистическите данни на страната делът на ЕС в общата търговия с услуги на Перу през 2015 г. представлява почти 30 %. </w:t>
      </w:r>
      <w:r>
        <w:rPr>
          <w:noProof/>
        </w:rPr>
        <w:br w:type="page"/>
      </w:r>
    </w:p>
    <w:p>
      <w:pPr>
        <w:rPr>
          <w:b/>
          <w:noProof/>
        </w:rPr>
      </w:pPr>
      <w:r>
        <w:rPr>
          <w:b/>
          <w:noProof/>
        </w:rPr>
        <w:t>3.2.2.</w:t>
      </w:r>
      <w:r>
        <w:rPr>
          <w:noProof/>
        </w:rPr>
        <w:tab/>
      </w:r>
      <w:r>
        <w:rPr>
          <w:b/>
          <w:noProof/>
        </w:rPr>
        <w:t xml:space="preserve">Инвестиции </w:t>
      </w:r>
    </w:p>
    <w:p>
      <w:pPr>
        <w:spacing w:after="0"/>
        <w:jc w:val="left"/>
        <w:rPr>
          <w:rFonts w:eastAsiaTheme="minorHAnsi"/>
          <w:b/>
          <w:noProof/>
          <w:szCs w:val="24"/>
        </w:rPr>
      </w:pPr>
    </w:p>
    <w:p>
      <w:pPr>
        <w:jc w:val="center"/>
        <w:rPr>
          <w:rFonts w:eastAsiaTheme="minorHAnsi"/>
          <w:b/>
          <w:noProof/>
          <w:szCs w:val="24"/>
        </w:rPr>
      </w:pPr>
      <w:r>
        <w:rPr>
          <w:rFonts w:eastAsiaTheme="minorHAnsi"/>
          <w:b/>
          <w:noProof/>
        </w:rPr>
        <w:t xml:space="preserve">Таблица 5: Инвестиционни потоци и </w:t>
      </w:r>
      <w:r>
        <w:rPr>
          <w:b/>
          <w:noProof/>
        </w:rPr>
        <w:t>размер на инвестициите</w:t>
      </w:r>
      <w:r>
        <w:rPr>
          <w:noProof/>
        </w:rPr>
        <w:br/>
      </w:r>
      <w:r>
        <w:rPr>
          <w:b/>
          <w:noProof/>
        </w:rPr>
        <w:t>ЕС — Колумбия, 2013—2015 г. (милиони евро)</w:t>
      </w:r>
    </w:p>
    <w:tbl>
      <w:tblPr>
        <w:tblW w:w="6720" w:type="dxa"/>
        <w:jc w:val="center"/>
        <w:tblInd w:w="93" w:type="dxa"/>
        <w:tblLook w:val="04A0" w:firstRow="1" w:lastRow="0" w:firstColumn="1" w:lastColumn="0" w:noHBand="0" w:noVBand="1"/>
      </w:tblPr>
      <w:tblGrid>
        <w:gridCol w:w="1038"/>
        <w:gridCol w:w="960"/>
        <w:gridCol w:w="960"/>
        <w:gridCol w:w="960"/>
        <w:gridCol w:w="960"/>
        <w:gridCol w:w="960"/>
        <w:gridCol w:w="960"/>
      </w:tblGrid>
      <w:tr>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rPr>
            </w:pPr>
            <w:r>
              <w:rPr>
                <w:noProof/>
              </w:rPr>
              <w:t> </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rPr>
            </w:pPr>
            <w:r>
              <w:rPr>
                <w:b/>
                <w:noProof/>
              </w:rPr>
              <w:t>Входящи</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rPr>
            </w:pPr>
            <w:r>
              <w:rPr>
                <w:b/>
                <w:noProof/>
              </w:rPr>
              <w:t>Изходящи</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rPr>
            </w:pPr>
            <w:r>
              <w:rPr>
                <w:noProof/>
              </w:rPr>
              <w:t> </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2013 г.</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2014 г.</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2015 г.</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2013 г.</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2014 г.</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2015 г.</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rPr>
            </w:pPr>
            <w:r>
              <w:rPr>
                <w:b/>
                <w:noProof/>
              </w:rPr>
              <w:t>Размер</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4 788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4 248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4 418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17 528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16 258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18 163</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rPr>
            </w:pPr>
            <w:r>
              <w:rPr>
                <w:b/>
                <w:noProof/>
              </w:rPr>
              <w:t>Потоци</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1 365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 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371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 278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1 458</w:t>
            </w:r>
          </w:p>
        </w:tc>
      </w:tr>
      <w:tr>
        <w:trPr>
          <w:trHeight w:val="6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Източник: Евростат</w:t>
            </w:r>
          </w:p>
        </w:tc>
      </w:tr>
    </w:tbl>
    <w:p>
      <w:pPr>
        <w:jc w:val="center"/>
        <w:rPr>
          <w:rFonts w:eastAsiaTheme="minorHAnsi"/>
          <w:b/>
          <w:noProof/>
          <w:szCs w:val="24"/>
        </w:rPr>
      </w:pPr>
    </w:p>
    <w:p>
      <w:pPr>
        <w:rPr>
          <w:noProof/>
        </w:rPr>
      </w:pPr>
      <w:r>
        <w:rPr>
          <w:noProof/>
        </w:rPr>
        <w:t xml:space="preserve">ЕС е първият чуждестранен инвеститор в Колумбия. Размерът на преките чуждестранни инвестиции от ЕС в Колумбия се е увеличил между 2013 г. и 2015 г. с 4 % и през 2015 г. възлиза на 18,2 милиарда евро. Размерът на преките чуждестранни инвестиции от Колумбия в ЕС е намалял с 8 % от 2013 г. и през 2015 г. възлиза на 4,4 милиарда евро. </w:t>
      </w:r>
    </w:p>
    <w:p>
      <w:pPr>
        <w:spacing w:after="120"/>
        <w:ind w:left="480" w:hanging="480"/>
        <w:jc w:val="center"/>
        <w:rPr>
          <w:rFonts w:eastAsiaTheme="minorHAnsi"/>
          <w:b/>
          <w:noProof/>
          <w:szCs w:val="24"/>
        </w:rPr>
      </w:pPr>
      <w:r>
        <w:rPr>
          <w:rFonts w:eastAsiaTheme="minorHAnsi"/>
          <w:b/>
          <w:noProof/>
        </w:rPr>
        <w:t xml:space="preserve">Таблица 6: Инвестиционни потоци и </w:t>
      </w:r>
      <w:r>
        <w:rPr>
          <w:b/>
          <w:noProof/>
        </w:rPr>
        <w:t>размер на инвестициите</w:t>
      </w:r>
      <w:r>
        <w:rPr>
          <w:noProof/>
        </w:rPr>
        <w:br/>
      </w:r>
      <w:r>
        <w:rPr>
          <w:b/>
          <w:noProof/>
        </w:rPr>
        <w:t>ЕС — Перу, 2013—2015 г. (милиони евро)</w:t>
      </w:r>
    </w:p>
    <w:tbl>
      <w:tblPr>
        <w:tblW w:w="6720" w:type="dxa"/>
        <w:jc w:val="center"/>
        <w:tblInd w:w="93" w:type="dxa"/>
        <w:tblLook w:val="04A0" w:firstRow="1" w:lastRow="0" w:firstColumn="1" w:lastColumn="0" w:noHBand="0" w:noVBand="1"/>
      </w:tblPr>
      <w:tblGrid>
        <w:gridCol w:w="1038"/>
        <w:gridCol w:w="925"/>
        <w:gridCol w:w="925"/>
        <w:gridCol w:w="1032"/>
        <w:gridCol w:w="925"/>
        <w:gridCol w:w="925"/>
        <w:gridCol w:w="1086"/>
      </w:tblGrid>
      <w:tr>
        <w:trPr>
          <w:trHeight w:val="315"/>
          <w:jc w:val="center"/>
        </w:trPr>
        <w:tc>
          <w:tcPr>
            <w:tcW w:w="960" w:type="dxa"/>
            <w:vMerge w:val="restart"/>
            <w:tcBorders>
              <w:top w:val="single" w:sz="8" w:space="0" w:color="auto"/>
              <w:left w:val="single" w:sz="8" w:space="0" w:color="auto"/>
              <w:bottom w:val="single" w:sz="4" w:space="0" w:color="auto"/>
              <w:right w:val="nil"/>
            </w:tcBorders>
            <w:shd w:val="clear" w:color="auto" w:fill="auto"/>
            <w:noWrap/>
            <w:vAlign w:val="bottom"/>
            <w:hideMark/>
          </w:tcPr>
          <w:p>
            <w:pPr>
              <w:spacing w:after="0"/>
              <w:jc w:val="center"/>
              <w:rPr>
                <w:noProof/>
                <w:szCs w:val="24"/>
              </w:rPr>
            </w:pPr>
            <w:r>
              <w:rPr>
                <w:noProof/>
              </w:rPr>
              <w:t> </w:t>
            </w:r>
          </w:p>
        </w:tc>
        <w:tc>
          <w:tcPr>
            <w:tcW w:w="288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Cs w:val="24"/>
              </w:rPr>
            </w:pPr>
            <w:r>
              <w:rPr>
                <w:b/>
                <w:noProof/>
              </w:rPr>
              <w:t>Входящи</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after="0"/>
              <w:jc w:val="center"/>
              <w:rPr>
                <w:b/>
                <w:bCs/>
                <w:noProof/>
                <w:szCs w:val="24"/>
              </w:rPr>
            </w:pPr>
            <w:r>
              <w:rPr>
                <w:b/>
                <w:noProof/>
              </w:rPr>
              <w:t>Изходящи</w:t>
            </w:r>
          </w:p>
        </w:tc>
      </w:tr>
      <w:tr>
        <w:trPr>
          <w:trHeight w:val="330"/>
          <w:jc w:val="center"/>
        </w:trPr>
        <w:tc>
          <w:tcPr>
            <w:tcW w:w="960" w:type="dxa"/>
            <w:vMerge/>
            <w:tcBorders>
              <w:top w:val="single" w:sz="8" w:space="0" w:color="auto"/>
              <w:left w:val="single" w:sz="8" w:space="0" w:color="auto"/>
              <w:bottom w:val="single" w:sz="4" w:space="0" w:color="auto"/>
              <w:right w:val="nil"/>
            </w:tcBorders>
            <w:vAlign w:val="center"/>
            <w:hideMark/>
          </w:tcPr>
          <w:p>
            <w:pPr>
              <w:spacing w:after="0"/>
              <w:jc w:val="left"/>
              <w:rPr>
                <w:noProof/>
                <w:szCs w:val="24"/>
              </w:rPr>
            </w:pPr>
          </w:p>
        </w:tc>
        <w:tc>
          <w:tcPr>
            <w:tcW w:w="924"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2013 г.</w:t>
            </w:r>
          </w:p>
        </w:tc>
        <w:tc>
          <w:tcPr>
            <w:tcW w:w="924"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2014 г.</w:t>
            </w:r>
          </w:p>
        </w:tc>
        <w:tc>
          <w:tcPr>
            <w:tcW w:w="1032"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2015 г.</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2013 г.</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2014 г.</w:t>
            </w:r>
          </w:p>
        </w:tc>
        <w:tc>
          <w:tcPr>
            <w:tcW w:w="1086" w:type="dxa"/>
            <w:tcBorders>
              <w:top w:val="nil"/>
              <w:left w:val="nil"/>
              <w:bottom w:val="single" w:sz="8" w:space="0" w:color="auto"/>
              <w:right w:val="single" w:sz="8" w:space="0" w:color="auto"/>
            </w:tcBorders>
            <w:shd w:val="clear" w:color="auto" w:fill="auto"/>
            <w:noWrap/>
            <w:vAlign w:val="center"/>
            <w:hideMark/>
          </w:tcPr>
          <w:p>
            <w:pPr>
              <w:spacing w:after="0"/>
              <w:jc w:val="center"/>
              <w:rPr>
                <w:b/>
                <w:bCs/>
                <w:noProof/>
                <w:szCs w:val="24"/>
              </w:rPr>
            </w:pPr>
            <w:r>
              <w:rPr>
                <w:b/>
                <w:noProof/>
              </w:rPr>
              <w:t>2015 г.</w:t>
            </w:r>
          </w:p>
        </w:tc>
      </w:tr>
      <w:tr>
        <w:trPr>
          <w:trHeight w:val="315"/>
          <w:jc w:val="center"/>
        </w:trPr>
        <w:tc>
          <w:tcPr>
            <w:tcW w:w="960" w:type="dxa"/>
            <w:tcBorders>
              <w:top w:val="nil"/>
              <w:left w:val="single" w:sz="8" w:space="0" w:color="auto"/>
              <w:bottom w:val="single" w:sz="4" w:space="0" w:color="auto"/>
              <w:right w:val="nil"/>
            </w:tcBorders>
            <w:shd w:val="clear" w:color="auto" w:fill="auto"/>
            <w:noWrap/>
            <w:vAlign w:val="bottom"/>
            <w:hideMark/>
          </w:tcPr>
          <w:p>
            <w:pPr>
              <w:spacing w:after="0"/>
              <w:jc w:val="left"/>
              <w:rPr>
                <w:b/>
                <w:bCs/>
                <w:noProof/>
                <w:szCs w:val="24"/>
              </w:rPr>
            </w:pPr>
            <w:r>
              <w:rPr>
                <w:b/>
                <w:noProof/>
              </w:rPr>
              <w:t>Размер</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noProof/>
                <w:szCs w:val="24"/>
              </w:rPr>
            </w:pPr>
            <w:r>
              <w:rPr>
                <w:noProof/>
              </w:rPr>
              <w:t>243</w:t>
            </w:r>
          </w:p>
        </w:tc>
        <w:tc>
          <w:tcPr>
            <w:tcW w:w="92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245</w:t>
            </w:r>
          </w:p>
        </w:tc>
        <w:tc>
          <w:tcPr>
            <w:tcW w:w="1032"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1 536</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9 135</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9 512</w:t>
            </w:r>
          </w:p>
        </w:tc>
        <w:tc>
          <w:tcPr>
            <w:tcW w:w="1086" w:type="dxa"/>
            <w:tcBorders>
              <w:top w:val="nil"/>
              <w:left w:val="nil"/>
              <w:bottom w:val="single" w:sz="4" w:space="0" w:color="auto"/>
              <w:right w:val="single" w:sz="8" w:space="0" w:color="auto"/>
            </w:tcBorders>
            <w:shd w:val="clear" w:color="auto" w:fill="auto"/>
            <w:noWrap/>
            <w:vAlign w:val="bottom"/>
            <w:hideMark/>
          </w:tcPr>
          <w:p>
            <w:pPr>
              <w:spacing w:after="0"/>
              <w:jc w:val="right"/>
              <w:rPr>
                <w:noProof/>
                <w:szCs w:val="24"/>
              </w:rPr>
            </w:pPr>
            <w:r>
              <w:rPr>
                <w:noProof/>
              </w:rPr>
              <w:t>10 465</w:t>
            </w:r>
          </w:p>
        </w:tc>
      </w:tr>
      <w:tr>
        <w:trPr>
          <w:trHeight w:val="330"/>
          <w:jc w:val="center"/>
        </w:trPr>
        <w:tc>
          <w:tcPr>
            <w:tcW w:w="960" w:type="dxa"/>
            <w:tcBorders>
              <w:top w:val="nil"/>
              <w:left w:val="single" w:sz="8" w:space="0" w:color="auto"/>
              <w:bottom w:val="single" w:sz="8" w:space="0" w:color="auto"/>
              <w:right w:val="nil"/>
            </w:tcBorders>
            <w:shd w:val="clear" w:color="auto" w:fill="auto"/>
            <w:noWrap/>
            <w:vAlign w:val="bottom"/>
            <w:hideMark/>
          </w:tcPr>
          <w:p>
            <w:pPr>
              <w:spacing w:after="0"/>
              <w:jc w:val="left"/>
              <w:rPr>
                <w:b/>
                <w:bCs/>
                <w:noProof/>
                <w:szCs w:val="24"/>
              </w:rPr>
            </w:pPr>
            <w:r>
              <w:rPr>
                <w:b/>
                <w:noProof/>
              </w:rPr>
              <w:t>Потоци</w:t>
            </w:r>
          </w:p>
        </w:tc>
        <w:tc>
          <w:tcPr>
            <w:tcW w:w="924"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right"/>
              <w:rPr>
                <w:noProof/>
                <w:szCs w:val="24"/>
              </w:rPr>
            </w:pPr>
            <w:r>
              <w:rPr>
                <w:noProof/>
              </w:rPr>
              <w:t>129</w:t>
            </w:r>
          </w:p>
        </w:tc>
        <w:tc>
          <w:tcPr>
            <w:tcW w:w="924"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264</w:t>
            </w:r>
          </w:p>
        </w:tc>
        <w:tc>
          <w:tcPr>
            <w:tcW w:w="1032"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672</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4</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618</w:t>
            </w:r>
          </w:p>
        </w:tc>
        <w:tc>
          <w:tcPr>
            <w:tcW w:w="1086" w:type="dxa"/>
            <w:tcBorders>
              <w:top w:val="nil"/>
              <w:left w:val="nil"/>
              <w:bottom w:val="single" w:sz="8" w:space="0" w:color="auto"/>
              <w:right w:val="single" w:sz="8" w:space="0" w:color="auto"/>
            </w:tcBorders>
            <w:shd w:val="clear" w:color="auto" w:fill="auto"/>
            <w:noWrap/>
            <w:vAlign w:val="bottom"/>
            <w:hideMark/>
          </w:tcPr>
          <w:p>
            <w:pPr>
              <w:spacing w:after="0"/>
              <w:jc w:val="right"/>
              <w:rPr>
                <w:noProof/>
                <w:szCs w:val="24"/>
              </w:rPr>
            </w:pPr>
            <w:r>
              <w:rPr>
                <w:noProof/>
              </w:rPr>
              <w:t>1 473</w:t>
            </w:r>
          </w:p>
        </w:tc>
      </w:tr>
      <w:tr>
        <w:trPr>
          <w:trHeight w:val="30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Източник: Евростат</w:t>
            </w:r>
          </w:p>
        </w:tc>
      </w:tr>
    </w:tbl>
    <w:p>
      <w:pPr>
        <w:spacing w:after="120"/>
        <w:ind w:left="480" w:hanging="480"/>
        <w:jc w:val="center"/>
        <w:rPr>
          <w:rFonts w:eastAsiaTheme="minorHAnsi"/>
          <w:b/>
          <w:noProof/>
          <w:szCs w:val="24"/>
        </w:rPr>
      </w:pPr>
    </w:p>
    <w:p>
      <w:pPr>
        <w:rPr>
          <w:noProof/>
        </w:rPr>
      </w:pPr>
      <w:r>
        <w:rPr>
          <w:noProof/>
        </w:rPr>
        <w:t xml:space="preserve">ЕС е първият чуждестранен инвеститор в Перу. Размерът на преките чуждестранни инвестиции от ЕС в Перу се е увеличил между 2013 г. и 2015 г. с 15 % и през 2015 г. възлиза на 10,4 милиарда евро. Размерът на преките чуждестранни инвестиции от Перу в ЕС се е увеличил през 2015 г. на 1,5 милиарда евро, което е покачване с 533 % в сравнение с 2013 г. </w:t>
      </w:r>
    </w:p>
    <w:p>
      <w:pPr>
        <w:jc w:val="left"/>
        <w:rPr>
          <w:b/>
          <w:noProof/>
        </w:rPr>
      </w:pPr>
      <w:r>
        <w:rPr>
          <w:b/>
          <w:noProof/>
        </w:rPr>
        <w:t>3.3</w:t>
      </w:r>
      <w:r>
        <w:rPr>
          <w:noProof/>
        </w:rPr>
        <w:tab/>
      </w:r>
      <w:r>
        <w:rPr>
          <w:b/>
          <w:noProof/>
        </w:rPr>
        <w:t xml:space="preserve">Процент на ползваните преференции </w:t>
      </w:r>
    </w:p>
    <w:p>
      <w:pPr>
        <w:rPr>
          <w:rFonts w:eastAsia="Calibri"/>
          <w:noProof/>
          <w:szCs w:val="24"/>
        </w:rPr>
      </w:pPr>
      <w:r>
        <w:rPr>
          <w:noProof/>
        </w:rPr>
        <w:t xml:space="preserve">Ползването на тарифни преференции може да се установи, като се направи оценка на частта от търговския поток, която се осъществява в рамките на Споразумението. </w:t>
      </w:r>
    </w:p>
    <w:p>
      <w:pPr>
        <w:widowControl w:val="0"/>
        <w:ind w:left="40" w:right="20"/>
        <w:rPr>
          <w:rFonts w:eastAsia="Calibri"/>
          <w:noProof/>
          <w:szCs w:val="24"/>
        </w:rPr>
      </w:pPr>
      <w:r>
        <w:rPr>
          <w:noProof/>
        </w:rPr>
        <w:t xml:space="preserve">Статистическите данни на ЕС сочат, че над 95 % от износа и на Колумбия, и на Перу към ЕС се извършва по линия на Споразумението. </w:t>
      </w:r>
    </w:p>
    <w:p>
      <w:pPr>
        <w:rPr>
          <w:rFonts w:eastAsia="Calibri"/>
          <w:noProof/>
          <w:szCs w:val="24"/>
        </w:rPr>
      </w:pPr>
      <w:r>
        <w:rPr>
          <w:noProof/>
          <w:color w:val="000000" w:themeColor="text1"/>
        </w:rPr>
        <w:t xml:space="preserve">Въз основа на статистически данни от Колумбия процентът на ползваните от ЕС преференции в Колумбия възлиза на 70,6 % през 2016 г. (спрямо 55,7 % през 2014 г., което показва, че износителите на ЕС използват </w:t>
      </w:r>
      <w:r>
        <w:rPr>
          <w:noProof/>
        </w:rPr>
        <w:t xml:space="preserve">Споразумението по-пълноценно). Не бе възможно да се получат статистически данни за процента на ползваните от ЕС преференции в Перу. </w:t>
      </w:r>
    </w:p>
    <w:p>
      <w:pPr>
        <w:ind w:left="480" w:hanging="480"/>
        <w:rPr>
          <w:b/>
          <w:noProof/>
        </w:rPr>
      </w:pPr>
      <w:r>
        <w:rPr>
          <w:b/>
          <w:noProof/>
        </w:rPr>
        <w:t>3.4</w:t>
      </w:r>
      <w:r>
        <w:rPr>
          <w:noProof/>
        </w:rPr>
        <w:tab/>
      </w:r>
      <w:r>
        <w:rPr>
          <w:b/>
          <w:noProof/>
        </w:rPr>
        <w:t xml:space="preserve">Въздействие върху МСП </w:t>
      </w:r>
    </w:p>
    <w:p>
      <w:pPr>
        <w:rPr>
          <w:noProof/>
        </w:rPr>
      </w:pPr>
      <w:r>
        <w:rPr>
          <w:noProof/>
        </w:rPr>
        <w:t xml:space="preserve">Съгласно данни на </w:t>
      </w:r>
      <w:r>
        <w:rPr>
          <w:b/>
          <w:noProof/>
        </w:rPr>
        <w:t>колумбийските</w:t>
      </w:r>
      <w:r>
        <w:rPr>
          <w:noProof/>
        </w:rPr>
        <w:t xml:space="preserve"> органи през 2016 г. 2 002 дружества са изнасяли в ЕС, в сравнение с 1 656 през 2012 г. Сред извършилите износ за ЕС за поне 10 000 щатски долара 314 са малки или средни предприятия (МСП)</w:t>
      </w:r>
      <w:r>
        <w:rPr>
          <w:rStyle w:val="FootnoteReference"/>
          <w:noProof/>
        </w:rPr>
        <w:footnoteReference w:id="5"/>
      </w:r>
      <w:r>
        <w:rPr>
          <w:noProof/>
        </w:rPr>
        <w:t>, а 634 са микропредприятия</w:t>
      </w:r>
      <w:r>
        <w:rPr>
          <w:rStyle w:val="FootnoteReference"/>
          <w:noProof/>
        </w:rPr>
        <w:footnoteReference w:id="6"/>
      </w:r>
      <w:r>
        <w:rPr>
          <w:noProof/>
        </w:rPr>
        <w:t xml:space="preserve">. МСП са широко представени при износа на неминерални продукти, който се е повишил с 35 % от 2012 г. Микропредприятията са увеличили своя износ в ЕС с 81 % от 2012 г. </w:t>
      </w:r>
    </w:p>
    <w:p>
      <w:pPr>
        <w:rPr>
          <w:noProof/>
        </w:rPr>
      </w:pPr>
      <w:r>
        <w:rPr>
          <w:noProof/>
          <w:color w:val="000000" w:themeColor="text1"/>
        </w:rPr>
        <w:t xml:space="preserve">Според </w:t>
      </w:r>
      <w:r>
        <w:rPr>
          <w:b/>
          <w:noProof/>
          <w:color w:val="000000" w:themeColor="text1"/>
        </w:rPr>
        <w:t>перуанския</w:t>
      </w:r>
      <w:r>
        <w:rPr>
          <w:noProof/>
          <w:color w:val="000000" w:themeColor="text1"/>
        </w:rPr>
        <w:t xml:space="preserve"> Съвет за насърчаване на износа и туризма от влизането в сила на </w:t>
      </w:r>
      <w:r>
        <w:rPr>
          <w:noProof/>
        </w:rPr>
        <w:t>Споразумението 2 269 нови дружества са започнали износ за ЕС, от които 857 от селското стопанство и хранително-вкусовата промишленост и 458 от текстилната промишленост. Новите извършващи износ дружества са основно МСП (95,3 %), като бързо расте износът на продукти като плодове, зеленчуци, хранителни и рибни продукти.</w:t>
      </w:r>
    </w:p>
    <w:p>
      <w:pPr>
        <w:pStyle w:val="Heading1"/>
        <w:tabs>
          <w:tab w:val="clear" w:pos="480"/>
          <w:tab w:val="num" w:pos="120"/>
        </w:tabs>
        <w:rPr>
          <w:noProof/>
          <w:sz w:val="28"/>
          <w:szCs w:val="28"/>
        </w:rPr>
      </w:pPr>
      <w:r>
        <w:rPr>
          <w:noProof/>
          <w:sz w:val="28"/>
        </w:rPr>
        <w:t xml:space="preserve">Дейности на изпълнителните органи  </w:t>
      </w:r>
    </w:p>
    <w:p>
      <w:pPr>
        <w:rPr>
          <w:noProof/>
        </w:rPr>
      </w:pPr>
      <w:r>
        <w:rPr>
          <w:noProof/>
        </w:rPr>
        <w:t>Третото заседание на Комитета по търговията ЕС — Колумбия/Перу се състоя на 9 декември 2016 г. в Брюксел, Белгия. То бе предшествано от заседания на всички осем подкомитета. Основните заключения от тези заседания са както следва:</w:t>
      </w:r>
    </w:p>
    <w:p>
      <w:pPr>
        <w:rPr>
          <w:i/>
          <w:noProof/>
        </w:rPr>
      </w:pPr>
      <w:r>
        <w:rPr>
          <w:i/>
          <w:noProof/>
        </w:rPr>
        <w:t>а) Подкомитет по митниците, улесняването на търговията и правилата за произход (28—29 ноември 2016 г. — чрез видеоконферентна връзка)</w:t>
      </w:r>
    </w:p>
    <w:p>
      <w:pPr>
        <w:rPr>
          <w:noProof/>
        </w:rPr>
      </w:pPr>
      <w:r>
        <w:rPr>
          <w:noProof/>
        </w:rPr>
        <w:t>Страните обсъдиха разпоредбата, с която се определя директният транспорт, с оглед на евентуалното ѝ изменение, за да се позволи разделянето на пратките за продукти, преминаващи транзитно през трета държава. Договореност не беше постигната, въпросът ще продължи да бъде разглеждан.</w:t>
      </w:r>
    </w:p>
    <w:p>
      <w:pPr>
        <w:rPr>
          <w:noProof/>
        </w:rPr>
      </w:pPr>
      <w:r>
        <w:rPr>
          <w:noProof/>
        </w:rPr>
        <w:t xml:space="preserve">От ЕС беше повдигнат въпросът за завишената митническа стойност при вноса на хайвер от пъстърва в Перу. От Перу обясниха, че случаят е бил разгледан и митническата стойност ще се основава на договорната стойност, като вносителите ще имат право на възстановяване на надвзетото мито. </w:t>
      </w:r>
    </w:p>
    <w:p>
      <w:pPr>
        <w:rPr>
          <w:noProof/>
        </w:rPr>
      </w:pPr>
      <w:r>
        <w:rPr>
          <w:noProof/>
        </w:rPr>
        <w:t xml:space="preserve">От страна на Колумбия и Перу бяха повдигнати въпроси, свързани с доказването на произхода и с броя на исканията за проверки от Испания. </w:t>
      </w:r>
    </w:p>
    <w:p>
      <w:pPr>
        <w:rPr>
          <w:i/>
          <w:noProof/>
        </w:rPr>
      </w:pPr>
      <w:r>
        <w:rPr>
          <w:i/>
          <w:noProof/>
        </w:rPr>
        <w:t>б) Подкомитет по държавните поръчки (2 декември 2016 г. — чрез видеоконферентна връзка)</w:t>
      </w:r>
    </w:p>
    <w:p>
      <w:pPr>
        <w:rPr>
          <w:noProof/>
        </w:rPr>
      </w:pPr>
      <w:r>
        <w:rPr>
          <w:noProof/>
        </w:rPr>
        <w:t xml:space="preserve">Пред Перу от страна на ЕС беше изразена загриженост поради възможността в технически спецификации да се препраща към стандарти по начин, по който се създават пречки операторите от Съюза да имат достъп до пазара на държавните поръчки. </w:t>
      </w:r>
    </w:p>
    <w:p>
      <w:pPr>
        <w:rPr>
          <w:noProof/>
        </w:rPr>
      </w:pPr>
      <w:r>
        <w:rPr>
          <w:noProof/>
        </w:rPr>
        <w:t xml:space="preserve">По отношение на Колумбия от ЕС беше поставен въпросът за достъпа до пазара на регионално и местно равнище, по-специално за децентрализирани (общински) структури, отговарящи за инфраструктурата. Страните се договориха да продължат разговорите с цел намиране на решение. </w:t>
      </w:r>
    </w:p>
    <w:p>
      <w:pPr>
        <w:rPr>
          <w:i/>
          <w:noProof/>
        </w:rPr>
      </w:pPr>
      <w:r>
        <w:rPr>
          <w:i/>
          <w:noProof/>
        </w:rPr>
        <w:t>в) Подкомитет по техническите пречки</w:t>
      </w:r>
      <w:r>
        <w:rPr>
          <w:noProof/>
        </w:rPr>
        <w:t xml:space="preserve"> </w:t>
      </w:r>
      <w:r>
        <w:rPr>
          <w:i/>
          <w:noProof/>
        </w:rPr>
        <w:t xml:space="preserve">пред търговията (5 декември 2016 г. — за Перу чрез видеоконферентна връзка) </w:t>
      </w:r>
    </w:p>
    <w:p>
      <w:pPr>
        <w:rPr>
          <w:noProof/>
        </w:rPr>
      </w:pPr>
      <w:r>
        <w:rPr>
          <w:noProof/>
        </w:rPr>
        <w:t xml:space="preserve">Пред Колумбия от страна на ЕС бе повдигнат въпросът за прилагането на националната подсистема за качеството, и по-конкретно на въведените в регулаторната практика промени, засягащи разработването на технически правила. Страните обсъдиха инициативи за улесняване на търговията, отнасящи се до извършването на оценка на съответствието с цел да се подобри признаването на сертифицирането, извършвано на територията на другите страни. Колумбия представи предложение за признаването на тези сертификати. </w:t>
      </w:r>
    </w:p>
    <w:p>
      <w:pPr>
        <w:rPr>
          <w:noProof/>
        </w:rPr>
      </w:pPr>
      <w:r>
        <w:rPr>
          <w:noProof/>
        </w:rPr>
        <w:t xml:space="preserve">По адрес на Перу от страна на ЕС бе изразено безпокойство заради признаването на държавите членки, прилагащи „строг здравен контрол“ по отношение на износа на фармацевтични продукти и медицински изделия, и бе поискано всички държави членки да бъдат третирани еднакво. </w:t>
      </w:r>
    </w:p>
    <w:p>
      <w:pPr>
        <w:rPr>
          <w:i/>
          <w:noProof/>
        </w:rPr>
      </w:pPr>
      <w:r>
        <w:rPr>
          <w:i/>
          <w:noProof/>
        </w:rPr>
        <w:t>г) Подкомитет по санитарните и фитосанитарните мерки (6—7 декември 2016 г.)</w:t>
      </w:r>
    </w:p>
    <w:p>
      <w:pPr>
        <w:rPr>
          <w:noProof/>
        </w:rPr>
      </w:pPr>
      <w:r>
        <w:rPr>
          <w:noProof/>
        </w:rPr>
        <w:t>Страните отчетоха напредъка по изпълнението на санитарните и фитосанитарните разпоредби, особено по установяването на хармонизирани условия за внос и сертифициране на млечните и месните продукти. От Перу и Колумбия приеха прилагането на принципа на регионализация и премахването на изискването, съгласно което „животните трябва да са родени, отгледани и заклани в една и съща държава членка“. Двете държави изразиха интерес за сътрудничество с ЕС в областта на антимикробната резистентност. Що се отнася до хуманното отношение към животните, от Колумбия и Перу потвърдиха интереса си за сътрудничество и обмен на информация за действия в тази област. Страните се договориха за работен план за подобряване на условията за търговия.  </w:t>
      </w:r>
    </w:p>
    <w:p>
      <w:pPr>
        <w:spacing w:after="0"/>
        <w:jc w:val="left"/>
        <w:rPr>
          <w:i/>
          <w:noProof/>
        </w:rPr>
      </w:pPr>
      <w:r>
        <w:rPr>
          <w:i/>
          <w:noProof/>
        </w:rPr>
        <w:t>д) Подкомитет по селското стопанство (7 декември 2016 г.)  </w:t>
      </w:r>
    </w:p>
    <w:p>
      <w:pPr>
        <w:rPr>
          <w:noProof/>
        </w:rPr>
      </w:pPr>
      <w:r>
        <w:rPr>
          <w:noProof/>
        </w:rPr>
        <w:t>Страните направиха преглед на търговските потоци и ползването на квотите, механизма за стабилизиране по отношение на бананите и програмата на ЕС за подкрепа на млекопреработвателната промишленост в Колумбия, както и на възможностите за по-нататъшно сътрудничество по въпроси от областта на селското стопанство.</w:t>
      </w:r>
    </w:p>
    <w:p>
      <w:pPr>
        <w:rPr>
          <w:noProof/>
        </w:rPr>
      </w:pPr>
      <w:r>
        <w:rPr>
          <w:noProof/>
        </w:rPr>
        <w:t xml:space="preserve">По отношение на спиртните напитки — обект на спор пред СТО, чието уреждане не е приключило, от Колумбия информираха, че е приет нов закон за спиртните напитки. От страна на ЕС беше изразена загриженост поради таксите в Перу, поставящи в неравностойно положение вносните спиртни напитки спрямо местната напитка писко, както и заради законодателството относно анализа за тежки метали, което изключва пиското, но е налагано спрямо сходни стоки от внос. </w:t>
      </w:r>
    </w:p>
    <w:p>
      <w:pPr>
        <w:rPr>
          <w:i/>
          <w:noProof/>
        </w:rPr>
      </w:pPr>
      <w:r>
        <w:rPr>
          <w:i/>
          <w:noProof/>
        </w:rPr>
        <w:t>е) Подкомитет по търговията и устойчивото развитие (7—8 декември 2016 г.)</w:t>
      </w:r>
    </w:p>
    <w:p>
      <w:pPr>
        <w:rPr>
          <w:noProof/>
        </w:rPr>
      </w:pPr>
      <w:r>
        <w:rPr>
          <w:noProof/>
        </w:rPr>
        <w:t xml:space="preserve">Страните проведоха заседанията на институциите, отговарящи за контрола по изпълнението на разпоредбите от Споразумението относно търговията и устойчивото развитие (вж. част 5 по-долу). </w:t>
      </w:r>
    </w:p>
    <w:p>
      <w:pPr>
        <w:rPr>
          <w:i/>
          <w:noProof/>
        </w:rPr>
      </w:pPr>
      <w:r>
        <w:rPr>
          <w:i/>
          <w:noProof/>
        </w:rPr>
        <w:t>ж) Подкомитет по интелектуалната собственост (8 декември 2016 г.)</w:t>
      </w:r>
    </w:p>
    <w:p>
      <w:pPr>
        <w:rPr>
          <w:noProof/>
          <w:szCs w:val="24"/>
        </w:rPr>
      </w:pPr>
      <w:r>
        <w:rPr>
          <w:noProof/>
        </w:rPr>
        <w:t xml:space="preserve">Дискусиите относно географските означения обхванаха оставащите проблеми във връзка с регистрирането на тези означения, въпроси за тяхното спазване и обсъждания за опростена процедура по актуализиране на списъците с географските означения. От страна на Перу и Колумбия бе обявено намерение за добавяне на нови географски означения, които да бъдат защитени. </w:t>
      </w:r>
    </w:p>
    <w:p>
      <w:pPr>
        <w:rPr>
          <w:noProof/>
          <w:szCs w:val="24"/>
        </w:rPr>
      </w:pPr>
      <w:r>
        <w:rPr>
          <w:noProof/>
        </w:rPr>
        <w:t xml:space="preserve">По отношение на други права върху интелектуалната собственост от ЕС бе обърнато внимание на някои пунктове, свързани с фармацевтичните патенти:  пред Колумбия бе изразена загриженост във връзка с ролята на Министерството на здравеопазването в разглеждането на патентите, а пред Перу бяха изтъкнати проблеми, свързани с регулаторната защита на данните (например данните от клинични изпитвания). От ЕС бяха повдигнати въпроси относно авторското право и сродните му права в двете държави: в Колумбия – за спазването на „правото за публично изпълнение“ в обществения транспорт, а в Перу – за проблеми, свързани с организациите за колективно управление с оглед на прозрачността, разпределението на приходите и надзора. </w:t>
      </w:r>
    </w:p>
    <w:p>
      <w:pPr>
        <w:rPr>
          <w:noProof/>
          <w:szCs w:val="24"/>
        </w:rPr>
      </w:pPr>
      <w:r>
        <w:rPr>
          <w:noProof/>
        </w:rPr>
        <w:t xml:space="preserve">Представителите на ЕС поставиха въпроси относно упражняването на правата, като се позоваваха на опасения, изразени от заинтересовани страни. От Перу информираха за положителен напредък, например по-бързи процедури и приемане на обезпечителни мерки, както и продължаване на работата по укрепване на съдилищата по правата върху интелектуалната собственост. От Колумбия отбелязаха новата си стратегия за упражняване на правата в приоритетни области, която е в процес на преглед след едногодишно изпълнение. </w:t>
      </w:r>
    </w:p>
    <w:p>
      <w:pPr>
        <w:rPr>
          <w:i/>
          <w:noProof/>
        </w:rPr>
      </w:pPr>
      <w:r>
        <w:rPr>
          <w:i/>
          <w:noProof/>
        </w:rPr>
        <w:t>з) Подкомитет за достъпа до пазара (8 декември 2016 г.)</w:t>
      </w:r>
    </w:p>
    <w:p>
      <w:pPr>
        <w:rPr>
          <w:noProof/>
        </w:rPr>
      </w:pPr>
      <w:r>
        <w:rPr>
          <w:noProof/>
        </w:rPr>
        <w:t xml:space="preserve">Страните обмениха мнения относно търговските потоци, включително ползването на преференции и тарифните квоти. </w:t>
      </w:r>
    </w:p>
    <w:p>
      <w:pPr>
        <w:rPr>
          <w:noProof/>
        </w:rPr>
      </w:pPr>
      <w:r>
        <w:rPr>
          <w:noProof/>
        </w:rPr>
        <w:t xml:space="preserve">Що се отнася до достъпа до пазара в Колумбия, от страна на ЕС бяха изтъкнати някои основания за безпокойство във връзка с политиката по разглобяването на камиони за скрап. Колумбия се позова на предстоящ правилник за прилагане на Декрет 1517 за подобряване на достъпа до пазара, докато политиката бъде напълно преустановена до края на 2018 г. Също така от страна на ЕС беше повдигнат въпросът за прага от 30 000 щатски долара франко борд, над който се прилага по-висока данъчна ставка за продадените леки пътнически автомобили, както и за задължението, въведено в 11 колумбийски департамента, за поставяне на бандероли върху вносното пиво. </w:t>
      </w:r>
    </w:p>
    <w:p>
      <w:pPr>
        <w:rPr>
          <w:i/>
          <w:noProof/>
          <w:u w:val="single"/>
        </w:rPr>
      </w:pPr>
      <w:r>
        <w:rPr>
          <w:noProof/>
        </w:rPr>
        <w:t>По отношение на Перу от ЕС беше изразена загриженост във връзка с прилагането на неговата система за възстановяване на мита.</w:t>
      </w:r>
      <w:r>
        <w:rPr>
          <w:noProof/>
        </w:rPr>
        <w:br w:type="page"/>
      </w:r>
    </w:p>
    <w:p>
      <w:pPr>
        <w:rPr>
          <w:i/>
          <w:noProof/>
          <w:u w:val="single"/>
        </w:rPr>
      </w:pPr>
      <w:r>
        <w:rPr>
          <w:i/>
          <w:noProof/>
          <w:u w:val="single"/>
        </w:rPr>
        <w:t>Комитет по търговията (9 декември 2016 г.)</w:t>
      </w:r>
    </w:p>
    <w:p>
      <w:pPr>
        <w:autoSpaceDE w:val="0"/>
        <w:autoSpaceDN w:val="0"/>
        <w:adjustRightInd w:val="0"/>
        <w:rPr>
          <w:noProof/>
        </w:rPr>
      </w:pPr>
      <w:r>
        <w:rPr>
          <w:noProof/>
        </w:rPr>
        <w:t xml:space="preserve">Комитетът по търговията се запозна с работата на подкомитетите. От страна на ЕС бяха повторно изразени някои негови основни безпокойства, а именно засягащи директния транспорт и разделянето на пратките в Колумбия и Перу, достъпа на ЕС до пазара на обществените поръчки на регионално и местно равнище в Колумбия, продължаващото дискриминационно отношение спрямо вносните спиртни напитки в Перу, неспазването на географските означения в Перу (порто и фета), задължението в някои департаменти в Колумбия вносното пиво да бъде облепяно с бандероли. От страна на Перу беше изразена загриженост във връзка с Регламент (ЕС) 2015/2283 относно новите храни. </w:t>
      </w:r>
    </w:p>
    <w:p>
      <w:pPr>
        <w:rPr>
          <w:noProof/>
        </w:rPr>
      </w:pPr>
      <w:r>
        <w:rPr>
          <w:noProof/>
        </w:rPr>
        <w:t xml:space="preserve">ЕС предостави актуална информация относно ратификациите на Споразумението от държавите членки. От Колумбия и Перу информираха за процеса по ратификация на Протокола за присъединяването на Хърватия. Страните приветстваха продължаващия процес по ратификация на Протокола за присъединяването на Еквадор и временното му прилагане от 1 януари 2017 г. </w:t>
      </w:r>
    </w:p>
    <w:p>
      <w:pPr>
        <w:pStyle w:val="Heading1"/>
        <w:tabs>
          <w:tab w:val="clear" w:pos="480"/>
          <w:tab w:val="num" w:pos="-480"/>
        </w:tabs>
        <w:rPr>
          <w:noProof/>
          <w:sz w:val="28"/>
          <w:szCs w:val="28"/>
        </w:rPr>
      </w:pPr>
      <w:r>
        <w:rPr>
          <w:noProof/>
          <w:sz w:val="28"/>
        </w:rPr>
        <w:t xml:space="preserve">Изпълнение на разпоредбите относно търговията и устойчивото развитие </w:t>
      </w:r>
    </w:p>
    <w:p>
      <w:pPr>
        <w:pStyle w:val="Heading2"/>
        <w:tabs>
          <w:tab w:val="clear" w:pos="1080"/>
          <w:tab w:val="num" w:pos="360"/>
        </w:tabs>
        <w:rPr>
          <w:rFonts w:eastAsiaTheme="minorHAnsi"/>
          <w:noProof/>
        </w:rPr>
      </w:pPr>
      <w:r>
        <w:rPr>
          <w:noProof/>
        </w:rPr>
        <w:t>Подкомитет по търговията и устойчивото развитие</w:t>
      </w:r>
    </w:p>
    <w:p>
      <w:pPr>
        <w:keepNext/>
        <w:spacing w:before="240" w:after="120"/>
        <w:ind w:left="480"/>
        <w:rPr>
          <w:rFonts w:eastAsiaTheme="minorHAnsi"/>
          <w:noProof/>
          <w:szCs w:val="24"/>
        </w:rPr>
      </w:pPr>
      <w:r>
        <w:rPr>
          <w:noProof/>
        </w:rPr>
        <w:t>Третото заседание на Подкомитета по търговията и устойчивото развитие (наричан по-долу „Подкомитетът“) се проведе на 7 и 8 декември 2016 г. в Брюксел. </w:t>
      </w:r>
    </w:p>
    <w:p>
      <w:pPr>
        <w:pStyle w:val="Heading3"/>
        <w:tabs>
          <w:tab w:val="clear" w:pos="1920"/>
          <w:tab w:val="num" w:pos="360"/>
        </w:tabs>
        <w:ind w:left="1320"/>
        <w:rPr>
          <w:noProof/>
        </w:rPr>
      </w:pPr>
      <w:r>
        <w:rPr>
          <w:noProof/>
        </w:rPr>
        <w:t>Изпълнение на разпоредбите, свързани с труда</w:t>
      </w:r>
    </w:p>
    <w:p>
      <w:pPr>
        <w:spacing w:before="120" w:after="120"/>
        <w:ind w:left="1320"/>
        <w:rPr>
          <w:rFonts w:eastAsiaTheme="minorHAnsi"/>
          <w:noProof/>
          <w:szCs w:val="24"/>
        </w:rPr>
      </w:pPr>
      <w:r>
        <w:rPr>
          <w:noProof/>
        </w:rPr>
        <w:t xml:space="preserve">От ЕС бе представена информация относно ратификацията на конвенциите на Международната организация на труда (МОТ) от страна на неговите държави членки, и в частност на Протокола относно принудителния труд от 2014 г. и на конвенциите на МОТ относно достойния труд на домашните работници и относно условията на труд в сектора на риболова. Също така бе дадена информация за европейската платформа за недекларирания труд като средство за справяне с неформалната икономика, както и за текущия преглед на законодателството на ЕС в областта на  здравословните и безопасните условия на труд.  Бе изразено и безпокойство по повод на повдигнати в рамките на надзорната система на МОТ въпроси от областта на труда, като Колумбия и Перу бяха допълнително насърчени да се справят с установените недостатъци и да прилагат по-ефективно международните трудови стандарти.  </w:t>
      </w:r>
    </w:p>
    <w:p>
      <w:pPr>
        <w:spacing w:before="120" w:after="120"/>
        <w:ind w:left="1320"/>
        <w:rPr>
          <w:rFonts w:eastAsiaTheme="minorHAnsi"/>
          <w:noProof/>
          <w:szCs w:val="24"/>
        </w:rPr>
      </w:pPr>
      <w:r>
        <w:rPr>
          <w:noProof/>
        </w:rPr>
        <w:t xml:space="preserve">Участниците от Колумбия описаха реформите, целящи да се гарантират свободата на сдружаване на работниците и напредъкът по намаляването на степента на безнаказаност и насилие, както и ратифицирането от нейна страна на Конвенцията на МОТ относно домашните работници.  Също така от Колумбия информираха за работата по изпълнението на препоръките в сферата на трудовата политика в контекста на процеса по присъединяване към Организацията за икономическо сътрудничество и развитие (ОИСР). Изтъкнат бе и положителният опит в областта на социалния диалог и  механизмите за решаване на трудови конфликти. Отбелязани бяха предизвикателствата вследствие на мирния процес по отношение на достойния труд и неформалните условия в селските райони.  Беше представена актуална информация относно мерките, целящи укрепването на инспекцията на труда и справянето с превъзлагането на дейности на подизпълнители и с неформалните трудови практики. </w:t>
      </w:r>
    </w:p>
    <w:p>
      <w:pPr>
        <w:spacing w:before="120" w:after="120"/>
        <w:ind w:left="1320"/>
        <w:rPr>
          <w:rFonts w:eastAsiaTheme="minorHAnsi"/>
          <w:noProof/>
          <w:szCs w:val="24"/>
        </w:rPr>
      </w:pPr>
      <w:r>
        <w:rPr>
          <w:noProof/>
        </w:rPr>
        <w:t xml:space="preserve">От Перу определиха приоритетите на новото правителство: формализиране; социален диалог; предотвратяване и премахване на детския и принудителния труд; инспекция на труда. Бяха изтъкнати неотдавнашната ратификация на Конвенцията на МОТ относно закрилата на майчинството и механизмите за включване на социалните партньори посредством Националния Съвет по труда и насърчаването на заетостта.  </w:t>
      </w:r>
    </w:p>
    <w:p>
      <w:pPr>
        <w:pStyle w:val="Heading3"/>
        <w:tabs>
          <w:tab w:val="clear" w:pos="1920"/>
          <w:tab w:val="num" w:pos="720"/>
        </w:tabs>
        <w:ind w:left="1320"/>
        <w:rPr>
          <w:noProof/>
        </w:rPr>
      </w:pPr>
      <w:r>
        <w:rPr>
          <w:noProof/>
        </w:rPr>
        <w:t>Изпълнение на разпоредбите, свързани с околната среда</w:t>
      </w:r>
    </w:p>
    <w:p>
      <w:pPr>
        <w:spacing w:before="120" w:after="120"/>
        <w:ind w:left="1320"/>
        <w:rPr>
          <w:rFonts w:eastAsiaTheme="minorHAnsi"/>
          <w:noProof/>
          <w:szCs w:val="24"/>
        </w:rPr>
      </w:pPr>
      <w:r>
        <w:rPr>
          <w:noProof/>
        </w:rPr>
        <w:t>От страна на ЕС бяха изтъкнати новостите по многостранните споразумения в областта на околната среда, както и действията за изпълнение на ангажиментите по Парижкото споразумение. На Конференцията на страните по Конвенцията по международната търговия със застрашени видове от дивата фауна и флора (CITES) ЕС насърчи Колумбия да изпълни своите ангажименти за надеждни механизми за контрол на търговията с включените в списъка на CITES крокодилски и каймански кожи. От Колумбия посочиха, че на по-късен етап ще предоставят на ЕС допълнителна информация за предприетите за решаването на въпроса мерки. От страна на ЕС беше представен пакетът за кръговата икономика и бе изразен интерес от провеждането на делови срещи по темата в Колумбия.</w:t>
      </w:r>
    </w:p>
    <w:p>
      <w:pPr>
        <w:spacing w:before="120" w:after="120"/>
        <w:ind w:left="1320"/>
        <w:rPr>
          <w:rFonts w:eastAsiaTheme="minorHAnsi"/>
          <w:noProof/>
          <w:szCs w:val="24"/>
        </w:rPr>
      </w:pPr>
      <w:r>
        <w:rPr>
          <w:noProof/>
        </w:rPr>
        <w:t>От Перу изтъкнаха своите стратегически оси Perú Limpio и Perú Natural, както и приоритетите на новото правителство: устойчивото използване на биологичното разнообразие, и особено на горите; адаптацията към изменението на климата и неговото смекчаване; ефикасното управление на твърдите отпадъци; интегрираното управление на крайбрежните зони; предотвратяването и контрола на замърсяването и екологичната ефективност. Участниците от Перу изтъкнаха необходимостта от подходяща институционална рамка и от работа между секторите и на различните нива на управление.</w:t>
      </w:r>
    </w:p>
    <w:p>
      <w:pPr>
        <w:pStyle w:val="Heading2"/>
        <w:rPr>
          <w:rFonts w:eastAsiaTheme="minorHAnsi"/>
          <w:noProof/>
        </w:rPr>
      </w:pPr>
      <w:r>
        <w:rPr>
          <w:noProof/>
        </w:rPr>
        <w:t>Вътрешни консултации и сесии на Подкомитета с гражданското общество</w:t>
      </w:r>
    </w:p>
    <w:p>
      <w:pPr>
        <w:pStyle w:val="Text1"/>
        <w:ind w:firstLine="598"/>
        <w:rPr>
          <w:rFonts w:eastAsiaTheme="minorHAnsi"/>
          <w:noProof/>
          <w:u w:val="single"/>
        </w:rPr>
      </w:pPr>
      <w:r>
        <w:rPr>
          <w:rFonts w:eastAsiaTheme="minorHAnsi"/>
          <w:noProof/>
          <w:u w:val="single"/>
        </w:rPr>
        <w:t>Вътрешни консултации</w:t>
      </w:r>
    </w:p>
    <w:p>
      <w:pPr>
        <w:spacing w:before="120" w:after="120"/>
        <w:ind w:left="1080"/>
        <w:rPr>
          <w:rFonts w:eastAsiaTheme="minorHAnsi"/>
          <w:noProof/>
          <w:szCs w:val="24"/>
        </w:rPr>
      </w:pPr>
      <w:r>
        <w:rPr>
          <w:noProof/>
        </w:rPr>
        <w:t xml:space="preserve">От своето създаване вътрешната консултативна група — механизмът на ЕС за консултации с гражданското общество, се е събирала пет пъти, като Европейският икономически и социален комитет, от страна на който участват трима членове, подсигурява функциите на секретариат.  </w:t>
      </w:r>
    </w:p>
    <w:p>
      <w:pPr>
        <w:spacing w:before="120" w:after="120"/>
        <w:ind w:left="1080"/>
        <w:rPr>
          <w:rFonts w:eastAsiaTheme="minorHAnsi"/>
          <w:noProof/>
          <w:szCs w:val="24"/>
        </w:rPr>
      </w:pPr>
      <w:r>
        <w:rPr>
          <w:noProof/>
        </w:rPr>
        <w:t>Представителите на колумбийското гражданско общество са провели няколко срещи в Делегацията на ЕС в Богота, включително една с председателя на вътрешната консултативна група на ЕС, при което е била дискутирана възможността за създаването на подгрупа (подгрупи) на консултативните ѝ механизми с цел последващи действия по Споразумението.</w:t>
      </w:r>
    </w:p>
    <w:p>
      <w:pPr>
        <w:spacing w:before="120" w:after="120"/>
        <w:ind w:left="1080"/>
        <w:rPr>
          <w:rFonts w:eastAsiaTheme="minorHAnsi"/>
          <w:noProof/>
          <w:szCs w:val="24"/>
          <w:u w:val="single"/>
        </w:rPr>
      </w:pPr>
      <w:r>
        <w:rPr>
          <w:rFonts w:eastAsiaTheme="minorHAnsi"/>
          <w:noProof/>
          <w:u w:val="single"/>
        </w:rPr>
        <w:t xml:space="preserve">Сесия на </w:t>
      </w:r>
      <w:r>
        <w:rPr>
          <w:noProof/>
        </w:rPr>
        <w:t>Подкомитета с гражданското общество</w:t>
      </w:r>
    </w:p>
    <w:p>
      <w:pPr>
        <w:spacing w:before="120" w:after="120"/>
        <w:ind w:left="1080"/>
        <w:rPr>
          <w:rFonts w:eastAsiaTheme="minorHAnsi"/>
          <w:noProof/>
          <w:szCs w:val="24"/>
        </w:rPr>
      </w:pPr>
      <w:r>
        <w:rPr>
          <w:noProof/>
        </w:rPr>
        <w:t xml:space="preserve">Открита сесия на Подкомитета с гражданското общество беше проведена на 8 декември 2016 г. с около 60 представители. Сесията беше предавана на живо по интернет. Страните информираха гражданското общество за дискусиите в Подкомитета чрез устен и писмен доклад, които бяха последвани от въпроси и отговори и от обсъждания. Представители на гражданското общество от ЕС, Колумбия и Перу направиха съвместно изявление, в което бяха повдигнати въпроси от сферата на труда, околната среда и правата на човека, достъпа до пазара за дребните производители и МСП и бяха отправени препоръки относно участието на гражданското общество.   </w:t>
      </w:r>
    </w:p>
    <w:p>
      <w:pPr>
        <w:pStyle w:val="Heading2"/>
        <w:rPr>
          <w:rFonts w:eastAsiaTheme="minorHAnsi"/>
          <w:b w:val="0"/>
          <w:noProof/>
        </w:rPr>
      </w:pPr>
      <w:r>
        <w:rPr>
          <w:noProof/>
        </w:rPr>
        <w:t>Бъдеща работа и други дейности</w:t>
      </w:r>
    </w:p>
    <w:p>
      <w:pPr>
        <w:spacing w:before="120" w:after="120"/>
        <w:ind w:left="1080"/>
        <w:rPr>
          <w:rFonts w:eastAsiaTheme="minorHAnsi"/>
          <w:bCs/>
          <w:noProof/>
          <w:szCs w:val="24"/>
        </w:rPr>
      </w:pPr>
      <w:r>
        <w:rPr>
          <w:noProof/>
        </w:rPr>
        <w:t>Всички страни изразиха съгласие за по-засилени контакти с цел развиването на дейности, чрез които да се изпълнят разпоредбите относно търговията и устойчивото развитие.  Освен околната среда и труда страните обсъдиха и евентуална работа по въпроси на отговорното стопанско поведение/корпоративната социална отговорност като междусекторен инструмент.</w:t>
      </w:r>
    </w:p>
    <w:p>
      <w:pPr>
        <w:spacing w:before="120" w:after="120"/>
        <w:ind w:left="1080"/>
        <w:rPr>
          <w:rFonts w:eastAsiaTheme="minorHAnsi"/>
          <w:bCs/>
          <w:noProof/>
          <w:szCs w:val="24"/>
        </w:rPr>
      </w:pPr>
      <w:r>
        <w:rPr>
          <w:noProof/>
        </w:rPr>
        <w:t xml:space="preserve">По искане на Колумбия и Перу на 6 декември 2016 г. от ЕС организираха технически семинар с видеовръзка с Богота и Лима, на който бяха представени и обсъдени методиките, използвани при оценката на въздействието на търговските споразумения на ЕС.  </w:t>
      </w:r>
    </w:p>
    <w:p>
      <w:pPr>
        <w:spacing w:before="120" w:after="120"/>
        <w:ind w:left="1080"/>
        <w:rPr>
          <w:rFonts w:eastAsiaTheme="minorHAnsi"/>
          <w:bCs/>
          <w:noProof/>
          <w:szCs w:val="24"/>
          <w:u w:val="single"/>
        </w:rPr>
      </w:pPr>
      <w:r>
        <w:rPr>
          <w:rFonts w:eastAsiaTheme="minorHAnsi"/>
          <w:noProof/>
          <w:u w:val="single"/>
        </w:rPr>
        <w:t>Колумбия</w:t>
      </w:r>
    </w:p>
    <w:p>
      <w:pPr>
        <w:spacing w:before="120" w:after="120"/>
        <w:ind w:left="1080"/>
        <w:rPr>
          <w:rFonts w:eastAsiaTheme="minorHAnsi"/>
          <w:bCs/>
          <w:noProof/>
          <w:szCs w:val="24"/>
        </w:rPr>
      </w:pPr>
      <w:r>
        <w:rPr>
          <w:noProof/>
        </w:rPr>
        <w:t>През декември 2016 г. представители на ЕС участваха в регионален семинар на ОИСР в Колумбия относно отговорните вериги за доставка на минерали, на който поставиха акцент върху Регламента относно полезните изкопаеми от зони на конфликти, чието приемане предстоеше. Вследствие на това Делегацията на ЕС в Богота сформира заедно с други посолства координационна група по въпросите на незаконния минен добив с цел съгласуване на позициите и планиране на съвместни действия.</w:t>
      </w:r>
    </w:p>
    <w:p>
      <w:pPr>
        <w:spacing w:before="120" w:after="120"/>
        <w:ind w:left="1080"/>
        <w:rPr>
          <w:rFonts w:eastAsiaTheme="minorHAnsi"/>
          <w:bCs/>
          <w:noProof/>
          <w:szCs w:val="24"/>
        </w:rPr>
      </w:pPr>
      <w:r>
        <w:rPr>
          <w:noProof/>
        </w:rPr>
        <w:t>По време на посещението през февруари 2016 г. на Фил Хоган, член на Комисията на ЕС, отговарящ за земеделието, ЕС и Колумбия се споразумяха за започване на преговори по двустранно споразумение за търговията с биологични продукти.</w:t>
      </w:r>
    </w:p>
    <w:p>
      <w:pPr>
        <w:spacing w:before="120" w:after="120"/>
        <w:ind w:left="1080"/>
        <w:rPr>
          <w:rFonts w:eastAsiaTheme="minorHAnsi"/>
          <w:bCs/>
          <w:noProof/>
          <w:szCs w:val="24"/>
        </w:rPr>
      </w:pPr>
      <w:r>
        <w:rPr>
          <w:noProof/>
        </w:rPr>
        <w:t xml:space="preserve">Редица прояви бяха организирани с цел обръщане на по-голямо внимание на устойчивото развитие и връзката му с мирния процес, включително посещения в области, засегнати от конфликта. Последната проява беше конференция през февруари 2017 г. за начините, по които Споразумението за търговия може да спомогне за създаването на икономически възможности в контекста на мирния процес. С цел по-доброто разбиране на ситуацията с труда в Колумбия Делегацията на ЕС организира тридневен работен семинар, на който беше обсъдено прилагането на трудовите стандарти. </w:t>
      </w:r>
    </w:p>
    <w:p>
      <w:pPr>
        <w:spacing w:before="120" w:after="120"/>
        <w:ind w:left="1080"/>
        <w:rPr>
          <w:rFonts w:eastAsiaTheme="minorHAnsi"/>
          <w:bCs/>
          <w:noProof/>
          <w:szCs w:val="24"/>
          <w:u w:val="single"/>
        </w:rPr>
      </w:pPr>
      <w:r>
        <w:rPr>
          <w:rFonts w:eastAsiaTheme="minorHAnsi"/>
          <w:noProof/>
          <w:u w:val="single"/>
        </w:rPr>
        <w:t>Перу</w:t>
      </w:r>
    </w:p>
    <w:p>
      <w:pPr>
        <w:spacing w:before="120" w:after="120"/>
        <w:ind w:left="1080"/>
        <w:rPr>
          <w:rFonts w:eastAsiaTheme="minorHAnsi"/>
          <w:bCs/>
          <w:noProof/>
          <w:szCs w:val="24"/>
        </w:rPr>
      </w:pPr>
      <w:r>
        <w:rPr>
          <w:noProof/>
        </w:rPr>
        <w:t>Като част от проекта „Насърчаване на корпоративната социална отговорност/отговорното стопанско поведение в Латинска Америка и Карибския басейн — пилотна фаза“, на 29 ноември 2016 г. делегацията на ЕС в Перу проведе в Лима семинара „Към членство в ОИСР: насърчаване на отговорното стопанско поведение в Перу“.</w:t>
      </w:r>
    </w:p>
    <w:p>
      <w:pPr>
        <w:spacing w:before="120" w:after="120"/>
        <w:ind w:left="1080"/>
        <w:rPr>
          <w:rFonts w:eastAsiaTheme="minorHAnsi"/>
          <w:bCs/>
          <w:noProof/>
          <w:szCs w:val="24"/>
        </w:rPr>
      </w:pPr>
      <w:r>
        <w:rPr>
          <w:noProof/>
        </w:rPr>
        <w:t>Делегацията на ЕС в Перу участва на състоялия се на 24 октомври 2016 г. в Лима семинар NEXOS +1, посветен на екологично устойчивите модели на стопанската дейност.</w:t>
      </w:r>
    </w:p>
    <w:p>
      <w:pPr>
        <w:pStyle w:val="Heading1"/>
        <w:rPr>
          <w:noProof/>
          <w:sz w:val="28"/>
          <w:szCs w:val="28"/>
        </w:rPr>
      </w:pPr>
      <w:r>
        <w:rPr>
          <w:noProof/>
          <w:sz w:val="28"/>
        </w:rPr>
        <w:t xml:space="preserve">Конкретни области, </w:t>
      </w:r>
      <w:r>
        <w:rPr>
          <w:noProof/>
        </w:rPr>
        <w:t>за които се изисква докладване или мониторинг</w:t>
      </w:r>
    </w:p>
    <w:p>
      <w:pPr>
        <w:pStyle w:val="Heading2"/>
        <w:rPr>
          <w:noProof/>
        </w:rPr>
      </w:pPr>
      <w:r>
        <w:rPr>
          <w:noProof/>
        </w:rPr>
        <w:t xml:space="preserve">Използване на тарифните квоти </w:t>
      </w:r>
    </w:p>
    <w:p>
      <w:pPr>
        <w:spacing w:after="120"/>
        <w:rPr>
          <w:rFonts w:eastAsia="Calibri"/>
          <w:noProof/>
        </w:rPr>
      </w:pPr>
      <w:r>
        <w:rPr>
          <w:noProof/>
        </w:rPr>
        <w:t>Споразумението предвижда тарифни квоти (ТК), които предоставят на другата страна преференциално тарифно третиране до размера на количествените прагове на квотите, над които вносът подлежи на облагане с приложимото мито за най-облагодетелствана нация.</w:t>
      </w:r>
    </w:p>
    <w:p>
      <w:pPr>
        <w:widowControl w:val="0"/>
        <w:rPr>
          <w:b/>
          <w:noProof/>
        </w:rPr>
      </w:pPr>
      <w:r>
        <w:rPr>
          <w:b/>
          <w:noProof/>
        </w:rPr>
        <w:t>Тарифни квоти, определени от ЕС</w:t>
      </w:r>
    </w:p>
    <w:p>
      <w:pPr>
        <w:spacing w:after="120"/>
        <w:rPr>
          <w:rFonts w:eastAsia="Calibri"/>
          <w:noProof/>
        </w:rPr>
      </w:pPr>
      <w:r>
        <w:rPr>
          <w:noProof/>
        </w:rPr>
        <w:t>Таблици 7 и 8 показват степента на използване на тарифните квоти, които ЕС е определил за Колумбия и Перу. Посочени са само използваните тарифни квоти.</w:t>
      </w:r>
    </w:p>
    <w:p>
      <w:pPr>
        <w:widowControl w:val="0"/>
        <w:spacing w:after="120"/>
        <w:rPr>
          <w:noProof/>
        </w:rPr>
      </w:pPr>
      <w:r>
        <w:rPr>
          <w:noProof/>
        </w:rPr>
        <w:t xml:space="preserve">Използването от Колумбия на тарифните квоти за захар от захарна тръстика или от цвекло и химически чиста захароза е нараснало от 88,4 % на 96,2 %. Други тарифни квоти почти или изобщо не са използвани. </w:t>
      </w:r>
    </w:p>
    <w:p>
      <w:pPr>
        <w:widowControl w:val="0"/>
        <w:spacing w:after="120"/>
        <w:jc w:val="center"/>
        <w:rPr>
          <w:b/>
          <w:noProof/>
        </w:rPr>
      </w:pPr>
      <w:r>
        <w:rPr>
          <w:b/>
          <w:noProof/>
        </w:rPr>
        <w:t xml:space="preserve">Таблица 7: Степен на използване на ТК на ЕС от Колумбия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836"/>
        <w:gridCol w:w="956"/>
        <w:gridCol w:w="836"/>
        <w:gridCol w:w="836"/>
      </w:tblGrid>
      <w:tr>
        <w:trPr>
          <w:jc w:val="center"/>
        </w:trPr>
        <w:tc>
          <w:tcPr>
            <w:tcW w:w="4075" w:type="dxa"/>
            <w:shd w:val="clear" w:color="auto" w:fill="F2F2F2" w:themeFill="background1" w:themeFillShade="F2"/>
            <w:vAlign w:val="center"/>
          </w:tcPr>
          <w:p>
            <w:pPr>
              <w:spacing w:after="120" w:line="276" w:lineRule="auto"/>
              <w:jc w:val="center"/>
              <w:rPr>
                <w:noProof/>
                <w:color w:val="000000"/>
                <w:szCs w:val="24"/>
              </w:rPr>
            </w:pP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2013 г.</w:t>
            </w:r>
          </w:p>
        </w:tc>
        <w:tc>
          <w:tcPr>
            <w:tcW w:w="956" w:type="dxa"/>
            <w:shd w:val="clear" w:color="auto" w:fill="F2F2F2" w:themeFill="background1" w:themeFillShade="F2"/>
            <w:vAlign w:val="center"/>
          </w:tcPr>
          <w:p>
            <w:pPr>
              <w:widowControl w:val="0"/>
              <w:spacing w:after="120" w:line="276" w:lineRule="auto"/>
              <w:jc w:val="center"/>
              <w:rPr>
                <w:noProof/>
                <w:szCs w:val="24"/>
              </w:rPr>
            </w:pPr>
            <w:r>
              <w:rPr>
                <w:b/>
                <w:noProof/>
              </w:rPr>
              <w:t>2014 г.</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2015 г.</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2016 г.</w:t>
            </w:r>
          </w:p>
        </w:tc>
      </w:tr>
      <w:tr>
        <w:trPr>
          <w:jc w:val="center"/>
        </w:trPr>
        <w:tc>
          <w:tcPr>
            <w:tcW w:w="4075" w:type="dxa"/>
            <w:vAlign w:val="center"/>
            <w:hideMark/>
          </w:tcPr>
          <w:p>
            <w:pPr>
              <w:spacing w:after="120" w:line="276" w:lineRule="auto"/>
              <w:rPr>
                <w:noProof/>
                <w:szCs w:val="24"/>
              </w:rPr>
            </w:pPr>
            <w:r>
              <w:rPr>
                <w:noProof/>
                <w:color w:val="000000"/>
              </w:rPr>
              <w:t>Захар от захарна тръстика и химически чиста захароза</w:t>
            </w:r>
          </w:p>
        </w:tc>
        <w:tc>
          <w:tcPr>
            <w:tcW w:w="836" w:type="dxa"/>
            <w:vAlign w:val="center"/>
          </w:tcPr>
          <w:p>
            <w:pPr>
              <w:widowControl w:val="0"/>
              <w:spacing w:after="120" w:line="276" w:lineRule="auto"/>
              <w:jc w:val="center"/>
              <w:rPr>
                <w:noProof/>
                <w:szCs w:val="24"/>
              </w:rPr>
            </w:pPr>
            <w:r>
              <w:rPr>
                <w:noProof/>
              </w:rPr>
              <w:t>88,4 %</w:t>
            </w:r>
          </w:p>
        </w:tc>
        <w:tc>
          <w:tcPr>
            <w:tcW w:w="956" w:type="dxa"/>
            <w:vAlign w:val="center"/>
            <w:hideMark/>
          </w:tcPr>
          <w:p>
            <w:pPr>
              <w:widowControl w:val="0"/>
              <w:spacing w:after="120" w:line="276" w:lineRule="auto"/>
              <w:jc w:val="center"/>
              <w:rPr>
                <w:noProof/>
                <w:szCs w:val="24"/>
              </w:rPr>
            </w:pPr>
            <w:r>
              <w:rPr>
                <w:noProof/>
              </w:rPr>
              <w:t>85,72 %</w:t>
            </w:r>
          </w:p>
        </w:tc>
        <w:tc>
          <w:tcPr>
            <w:tcW w:w="836" w:type="dxa"/>
            <w:vAlign w:val="center"/>
            <w:hideMark/>
          </w:tcPr>
          <w:p>
            <w:pPr>
              <w:widowControl w:val="0"/>
              <w:spacing w:after="120" w:line="276" w:lineRule="auto"/>
              <w:jc w:val="center"/>
              <w:rPr>
                <w:noProof/>
                <w:szCs w:val="24"/>
              </w:rPr>
            </w:pPr>
            <w:r>
              <w:rPr>
                <w:noProof/>
              </w:rPr>
              <w:t>93,8 %</w:t>
            </w:r>
          </w:p>
        </w:tc>
        <w:tc>
          <w:tcPr>
            <w:tcW w:w="836" w:type="dxa"/>
            <w:vAlign w:val="center"/>
            <w:hideMark/>
          </w:tcPr>
          <w:p>
            <w:pPr>
              <w:widowControl w:val="0"/>
              <w:spacing w:after="120" w:line="276" w:lineRule="auto"/>
              <w:jc w:val="center"/>
              <w:rPr>
                <w:noProof/>
                <w:szCs w:val="24"/>
              </w:rPr>
            </w:pPr>
            <w:r>
              <w:rPr>
                <w:noProof/>
              </w:rPr>
              <w:t>96,2 %</w:t>
            </w:r>
          </w:p>
        </w:tc>
      </w:tr>
      <w:tr>
        <w:trPr>
          <w:jc w:val="center"/>
        </w:trPr>
        <w:tc>
          <w:tcPr>
            <w:tcW w:w="4075" w:type="dxa"/>
            <w:vAlign w:val="center"/>
            <w:hideMark/>
          </w:tcPr>
          <w:p>
            <w:pPr>
              <w:widowControl w:val="0"/>
              <w:spacing w:after="120" w:line="276" w:lineRule="auto"/>
              <w:rPr>
                <w:noProof/>
                <w:szCs w:val="24"/>
              </w:rPr>
            </w:pPr>
            <w:r>
              <w:rPr>
                <w:noProof/>
              </w:rPr>
              <w:t>Други захарни изделия</w:t>
            </w:r>
          </w:p>
        </w:tc>
        <w:tc>
          <w:tcPr>
            <w:tcW w:w="836" w:type="dxa"/>
            <w:vAlign w:val="center"/>
          </w:tcPr>
          <w:p>
            <w:pPr>
              <w:widowControl w:val="0"/>
              <w:spacing w:after="120" w:line="276" w:lineRule="auto"/>
              <w:jc w:val="center"/>
              <w:rPr>
                <w:noProof/>
                <w:szCs w:val="24"/>
              </w:rPr>
            </w:pPr>
            <w:r>
              <w:rPr>
                <w:noProof/>
              </w:rPr>
              <w:t>1,37 %</w:t>
            </w:r>
          </w:p>
        </w:tc>
        <w:tc>
          <w:tcPr>
            <w:tcW w:w="956" w:type="dxa"/>
            <w:vAlign w:val="center"/>
            <w:hideMark/>
          </w:tcPr>
          <w:p>
            <w:pPr>
              <w:widowControl w:val="0"/>
              <w:spacing w:after="120" w:line="276" w:lineRule="auto"/>
              <w:jc w:val="center"/>
              <w:rPr>
                <w:noProof/>
                <w:szCs w:val="24"/>
              </w:rPr>
            </w:pPr>
            <w:r>
              <w:rPr>
                <w:noProof/>
              </w:rPr>
              <w:t>1,32 %</w:t>
            </w:r>
          </w:p>
        </w:tc>
        <w:tc>
          <w:tcPr>
            <w:tcW w:w="836" w:type="dxa"/>
            <w:vAlign w:val="center"/>
            <w:hideMark/>
          </w:tcPr>
          <w:p>
            <w:pPr>
              <w:widowControl w:val="0"/>
              <w:spacing w:after="120" w:line="276" w:lineRule="auto"/>
              <w:jc w:val="center"/>
              <w:rPr>
                <w:noProof/>
                <w:szCs w:val="24"/>
              </w:rPr>
            </w:pPr>
            <w:r>
              <w:rPr>
                <w:noProof/>
              </w:rPr>
              <w:t>1,23 %</w:t>
            </w:r>
          </w:p>
        </w:tc>
        <w:tc>
          <w:tcPr>
            <w:tcW w:w="836" w:type="dxa"/>
            <w:vAlign w:val="center"/>
            <w:hideMark/>
          </w:tcPr>
          <w:p>
            <w:pPr>
              <w:widowControl w:val="0"/>
              <w:spacing w:after="120" w:line="276" w:lineRule="auto"/>
              <w:jc w:val="center"/>
              <w:rPr>
                <w:noProof/>
                <w:szCs w:val="24"/>
              </w:rPr>
            </w:pPr>
            <w:r>
              <w:rPr>
                <w:noProof/>
              </w:rPr>
              <w:t>1,5 %</w:t>
            </w:r>
          </w:p>
        </w:tc>
      </w:tr>
    </w:tbl>
    <w:p>
      <w:pPr>
        <w:widowControl w:val="0"/>
        <w:jc w:val="center"/>
        <w:rPr>
          <w:noProof/>
          <w:sz w:val="20"/>
        </w:rPr>
      </w:pPr>
      <w:r>
        <w:rPr>
          <w:noProof/>
          <w:sz w:val="20"/>
        </w:rPr>
        <w:t>Източник: ГД „Данъчно облагане и митнически съюз“ (TAXUD), база данни от надзора</w:t>
      </w:r>
    </w:p>
    <w:p>
      <w:pPr>
        <w:spacing w:after="0"/>
        <w:jc w:val="left"/>
        <w:rPr>
          <w:noProof/>
        </w:rPr>
      </w:pPr>
      <w:r>
        <w:rPr>
          <w:noProof/>
        </w:rPr>
        <w:br w:type="page"/>
      </w:r>
    </w:p>
    <w:p>
      <w:pPr>
        <w:widowControl w:val="0"/>
        <w:spacing w:after="120"/>
        <w:rPr>
          <w:noProof/>
        </w:rPr>
      </w:pPr>
      <w:r>
        <w:rPr>
          <w:noProof/>
        </w:rPr>
        <w:t xml:space="preserve">От влизането в сила на Споразумението тарифните квоти за захарта от захарна тръстика в Перу са използвани почти изцяло. Степента на използване на тарифните квоти за царевицата също е висока. Перу започва да се възползва и от тарифните квоти за чесъна. Степента на използване на другите тарифни квоти е много ниска. </w:t>
      </w:r>
    </w:p>
    <w:p>
      <w:pPr>
        <w:widowControl w:val="0"/>
        <w:spacing w:after="120"/>
        <w:jc w:val="center"/>
        <w:rPr>
          <w:b/>
          <w:noProof/>
        </w:rPr>
      </w:pPr>
      <w:r>
        <w:rPr>
          <w:b/>
          <w:noProof/>
        </w:rPr>
        <w:t>Таблица 8: Степен на използване на ТК на ЕС от Перу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60"/>
        <w:gridCol w:w="1188"/>
        <w:gridCol w:w="1172"/>
        <w:gridCol w:w="960"/>
      </w:tblGrid>
      <w:tr>
        <w:trPr>
          <w:trHeight w:val="315"/>
        </w:trPr>
        <w:tc>
          <w:tcPr>
            <w:tcW w:w="1800" w:type="dxa"/>
            <w:shd w:val="clear" w:color="auto" w:fill="F2F2F2" w:themeFill="background1" w:themeFillShade="F2"/>
            <w:vAlign w:val="center"/>
          </w:tcPr>
          <w:p>
            <w:pPr>
              <w:spacing w:after="0"/>
              <w:contextualSpacing/>
              <w:jc w:val="center"/>
              <w:rPr>
                <w:noProof/>
                <w:color w:val="000000" w:themeColor="text1"/>
                <w:szCs w:val="24"/>
              </w:rPr>
            </w:pPr>
          </w:p>
        </w:tc>
        <w:tc>
          <w:tcPr>
            <w:tcW w:w="960"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2013 г.</w:t>
            </w:r>
          </w:p>
        </w:tc>
        <w:tc>
          <w:tcPr>
            <w:tcW w:w="1188"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2014 г.</w:t>
            </w:r>
          </w:p>
        </w:tc>
        <w:tc>
          <w:tcPr>
            <w:tcW w:w="1172"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2015 г.</w:t>
            </w:r>
          </w:p>
        </w:tc>
        <w:tc>
          <w:tcPr>
            <w:tcW w:w="960"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2016 г.</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Захар от захарна тръстика</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100 %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100 %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3,5 %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99,8 %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Сладка царевица</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21 %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76 %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83,2 %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87,3 %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Чесън</w:t>
            </w:r>
          </w:p>
        </w:tc>
        <w:tc>
          <w:tcPr>
            <w:tcW w:w="960" w:type="dxa"/>
            <w:shd w:val="clear" w:color="auto" w:fill="auto"/>
            <w:noWrap/>
            <w:vAlign w:val="center"/>
          </w:tcPr>
          <w:p>
            <w:pPr>
              <w:spacing w:after="0"/>
              <w:contextualSpacing/>
              <w:jc w:val="center"/>
              <w:rPr>
                <w:noProof/>
                <w:color w:val="000000"/>
                <w:szCs w:val="24"/>
              </w:rPr>
            </w:pPr>
            <w:r>
              <w:rPr>
                <w:noProof/>
                <w:color w:val="000000"/>
              </w:rPr>
              <w:t>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2,4 %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53,8 %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Ром</w:t>
            </w:r>
          </w:p>
        </w:tc>
        <w:tc>
          <w:tcPr>
            <w:tcW w:w="960" w:type="dxa"/>
            <w:shd w:val="clear" w:color="auto" w:fill="auto"/>
            <w:noWrap/>
            <w:vAlign w:val="center"/>
          </w:tcPr>
          <w:p>
            <w:pPr>
              <w:spacing w:after="0"/>
              <w:contextualSpacing/>
              <w:jc w:val="center"/>
              <w:rPr>
                <w:noProof/>
                <w:color w:val="000000"/>
                <w:szCs w:val="24"/>
              </w:rPr>
            </w:pPr>
            <w:r>
              <w:rPr>
                <w:noProof/>
                <w:color w:val="000000"/>
              </w:rPr>
              <w:t>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7 %</w:t>
            </w:r>
          </w:p>
        </w:tc>
      </w:tr>
      <w:tr>
        <w:trPr>
          <w:trHeight w:val="315"/>
        </w:trPr>
        <w:tc>
          <w:tcPr>
            <w:tcW w:w="1800" w:type="dxa"/>
            <w:shd w:val="clear" w:color="auto" w:fill="auto"/>
            <w:vAlign w:val="center"/>
          </w:tcPr>
          <w:p>
            <w:pPr>
              <w:spacing w:after="0"/>
              <w:contextualSpacing/>
              <w:jc w:val="center"/>
              <w:rPr>
                <w:noProof/>
                <w:color w:val="000000"/>
                <w:szCs w:val="24"/>
              </w:rPr>
            </w:pPr>
            <w:r>
              <w:rPr>
                <w:noProof/>
                <w:color w:val="000000" w:themeColor="text1"/>
              </w:rPr>
              <w:t>Царевица</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0,7 %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2,9 %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1,8 %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6,1 %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Захарни изделия</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0,02 %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0,01 %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0,16 %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0,1 %</w:t>
            </w:r>
          </w:p>
        </w:tc>
      </w:tr>
    </w:tbl>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lang w:val="en-GB"/>
        </w:rPr>
      </w:pPr>
    </w:p>
    <w:p>
      <w:pPr>
        <w:widowControl w:val="0"/>
        <w:spacing w:after="0"/>
        <w:contextualSpacing/>
        <w:jc w:val="center"/>
        <w:rPr>
          <w:noProof/>
          <w:sz w:val="20"/>
          <w:lang w:val="en-GB"/>
        </w:rPr>
      </w:pPr>
    </w:p>
    <w:p>
      <w:pPr>
        <w:widowControl w:val="0"/>
        <w:spacing w:after="0"/>
        <w:contextualSpacing/>
        <w:jc w:val="center"/>
        <w:rPr>
          <w:noProof/>
          <w:sz w:val="20"/>
          <w:lang w:val="en-GB"/>
        </w:rPr>
      </w:pPr>
    </w:p>
    <w:p>
      <w:pPr>
        <w:widowControl w:val="0"/>
        <w:spacing w:after="0"/>
        <w:contextualSpacing/>
        <w:jc w:val="center"/>
        <w:rPr>
          <w:noProof/>
          <w:sz w:val="20"/>
          <w:lang w:val="en-GB"/>
        </w:rPr>
      </w:pPr>
    </w:p>
    <w:p>
      <w:pPr>
        <w:widowControl w:val="0"/>
        <w:spacing w:after="0"/>
        <w:contextualSpacing/>
        <w:jc w:val="center"/>
        <w:rPr>
          <w:noProof/>
          <w:sz w:val="20"/>
        </w:rPr>
      </w:pPr>
      <w:r>
        <w:rPr>
          <w:noProof/>
          <w:sz w:val="20"/>
        </w:rPr>
        <w:t>Източник: ГД „Данъчно облагане и митнически съюз“ (TAXUD), база данни от надзора</w:t>
      </w:r>
    </w:p>
    <w:p>
      <w:pPr>
        <w:jc w:val="left"/>
        <w:rPr>
          <w:b/>
          <w:noProof/>
        </w:rPr>
      </w:pPr>
    </w:p>
    <w:p>
      <w:pPr>
        <w:jc w:val="left"/>
        <w:rPr>
          <w:b/>
          <w:noProof/>
        </w:rPr>
      </w:pPr>
      <w:r>
        <w:rPr>
          <w:b/>
          <w:noProof/>
        </w:rPr>
        <w:t xml:space="preserve">Тарифни квоти, определени от Колумбия </w:t>
      </w:r>
    </w:p>
    <w:p>
      <w:pPr>
        <w:spacing w:after="120"/>
        <w:rPr>
          <w:noProof/>
        </w:rPr>
      </w:pPr>
      <w:r>
        <w:rPr>
          <w:noProof/>
        </w:rPr>
        <w:t xml:space="preserve">ЕС използва изцяло тарифните квоти, определени за гъбите, млечните продукти, например киселото и прясното мляко и сметаната на прах, суроватката, детските храни и сладката царевица, а в по-малка степен тези за сладоледа (макар и да бележат нарастване) и съвсем слабо тарифните квоти за сиренето (средно 8 %) и сладкарските изделия (средно 3 %).  </w:t>
      </w:r>
    </w:p>
    <w:p>
      <w:pPr>
        <w:widowControl w:val="0"/>
        <w:spacing w:after="120"/>
        <w:jc w:val="center"/>
        <w:rPr>
          <w:b/>
          <w:noProof/>
        </w:rPr>
      </w:pPr>
      <w:r>
        <w:rPr>
          <w:b/>
          <w:noProof/>
        </w:rPr>
        <w:t xml:space="preserve">Таблица 9: Степен на използване на ТК на Колумбия от ЕС </w:t>
      </w:r>
    </w:p>
    <w:tbl>
      <w:tblPr>
        <w:tblW w:w="6426" w:type="dxa"/>
        <w:jc w:val="center"/>
        <w:tblInd w:w="93" w:type="dxa"/>
        <w:tblLook w:val="04A0" w:firstRow="1" w:lastRow="0" w:firstColumn="1" w:lastColumn="0" w:noHBand="0" w:noVBand="1"/>
      </w:tblPr>
      <w:tblGrid>
        <w:gridCol w:w="1800"/>
        <w:gridCol w:w="1077"/>
        <w:gridCol w:w="1200"/>
        <w:gridCol w:w="1080"/>
        <w:gridCol w:w="1269"/>
      </w:tblGrid>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spacing w:after="0"/>
              <w:jc w:val="center"/>
              <w:rPr>
                <w:noProof/>
                <w:color w:val="000000"/>
                <w:szCs w:val="24"/>
              </w:rPr>
            </w:pPr>
          </w:p>
        </w:tc>
        <w:tc>
          <w:tcPr>
            <w:tcW w:w="10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2013 г.</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2014 г.</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2015 г.</w:t>
            </w:r>
          </w:p>
        </w:tc>
        <w:tc>
          <w:tcPr>
            <w:tcW w:w="126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2016 г.</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Гъби</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Мляко и сметана на прах</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34,9 %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Суроватка</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57,6 %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50 %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92,9 %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Вече няма ТК</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Детски храни</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40,4 %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67,5 %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99,1 %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auto" w:fill="auto"/>
            <w:vAlign w:val="center"/>
          </w:tcPr>
          <w:p>
            <w:pPr>
              <w:spacing w:after="0"/>
              <w:jc w:val="center"/>
              <w:rPr>
                <w:noProof/>
                <w:color w:val="000000"/>
                <w:szCs w:val="24"/>
              </w:rPr>
            </w:pPr>
            <w:r>
              <w:rPr>
                <w:noProof/>
                <w:color w:val="000000"/>
              </w:rPr>
              <w:t>Кисело мляко</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0,8 %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Сладка царевица</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0,42 %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54,2 %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 xml:space="preserve">Сладолед </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5,26 %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13,4 %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7,4 %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25,9 %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Сирене</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8 %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8,2 %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7,9 %</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Захарни изделия</w:t>
            </w:r>
          </w:p>
        </w:tc>
        <w:tc>
          <w:tcPr>
            <w:tcW w:w="1077"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1,8 %</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3,4 %</w:t>
            </w:r>
          </w:p>
        </w:tc>
        <w:tc>
          <w:tcPr>
            <w:tcW w:w="108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3,1 %</w:t>
            </w:r>
          </w:p>
        </w:tc>
        <w:tc>
          <w:tcPr>
            <w:tcW w:w="1269"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3,8 %</w:t>
            </w:r>
          </w:p>
        </w:tc>
      </w:tr>
    </w:tbl>
    <w:p>
      <w:pPr>
        <w:widowControl w:val="0"/>
        <w:shd w:val="clear" w:color="auto" w:fill="FFFFFF"/>
        <w:spacing w:after="200" w:line="276" w:lineRule="auto"/>
        <w:jc w:val="center"/>
        <w:rPr>
          <w:noProof/>
          <w:sz w:val="20"/>
        </w:rPr>
      </w:pPr>
      <w:r>
        <w:rPr>
          <w:noProof/>
          <w:sz w:val="20"/>
        </w:rPr>
        <w:t>Източник: DIAN (Dirección de Impuestos y Aduanas Nacionales)</w:t>
      </w:r>
    </w:p>
    <w:p>
      <w:pPr>
        <w:jc w:val="left"/>
        <w:rPr>
          <w:b/>
          <w:noProof/>
        </w:rPr>
      </w:pPr>
      <w:r>
        <w:rPr>
          <w:b/>
          <w:noProof/>
        </w:rPr>
        <w:t>Тарифни квоти, определени от Перу</w:t>
      </w:r>
    </w:p>
    <w:p>
      <w:pPr>
        <w:widowControl w:val="0"/>
        <w:rPr>
          <w:noProof/>
        </w:rPr>
      </w:pPr>
      <w:r>
        <w:rPr>
          <w:noProof/>
        </w:rPr>
        <w:t xml:space="preserve">ЕС използва изцяло тарифните квоти за млечното масло и млякото на прах и почти изцяло тези за сладоледа. Останалите тарифни квоти почти не са използвани. </w:t>
      </w:r>
    </w:p>
    <w:p>
      <w:pPr>
        <w:widowControl w:val="0"/>
        <w:rPr>
          <w:noProof/>
        </w:rPr>
      </w:pPr>
    </w:p>
    <w:p>
      <w:pPr>
        <w:widowControl w:val="0"/>
        <w:rPr>
          <w:noProof/>
        </w:rPr>
      </w:pPr>
    </w:p>
    <w:p>
      <w:pPr>
        <w:widowControl w:val="0"/>
        <w:spacing w:after="120"/>
        <w:jc w:val="center"/>
        <w:rPr>
          <w:b/>
          <w:noProof/>
        </w:rPr>
      </w:pPr>
      <w:r>
        <w:rPr>
          <w:b/>
          <w:noProof/>
        </w:rPr>
        <w:t xml:space="preserve">Таблица 10: Степен на използване на ТК на Перу от ЕС </w:t>
      </w:r>
    </w:p>
    <w:tbl>
      <w:tblPr>
        <w:tblW w:w="608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960"/>
        <w:gridCol w:w="960"/>
        <w:gridCol w:w="1404"/>
      </w:tblGrid>
      <w:tr>
        <w:trPr>
          <w:trHeight w:val="315"/>
          <w:jc w:val="center"/>
        </w:trPr>
        <w:tc>
          <w:tcPr>
            <w:tcW w:w="1800" w:type="dxa"/>
            <w:shd w:val="clear" w:color="auto" w:fill="F2F2F2" w:themeFill="background1" w:themeFillShade="F2"/>
            <w:vAlign w:val="center"/>
          </w:tcPr>
          <w:p>
            <w:pPr>
              <w:spacing w:after="0"/>
              <w:jc w:val="center"/>
              <w:rPr>
                <w:noProof/>
                <w:color w:val="000000"/>
                <w:szCs w:val="24"/>
              </w:rPr>
            </w:pP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2013 г.</w:t>
            </w: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2014 г.</w:t>
            </w: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2015 г.</w:t>
            </w:r>
          </w:p>
        </w:tc>
        <w:tc>
          <w:tcPr>
            <w:tcW w:w="1404" w:type="dxa"/>
            <w:shd w:val="clear" w:color="auto" w:fill="F2F2F2" w:themeFill="background1" w:themeFillShade="F2"/>
            <w:noWrap/>
            <w:vAlign w:val="center"/>
          </w:tcPr>
          <w:p>
            <w:pPr>
              <w:spacing w:after="0"/>
              <w:jc w:val="center"/>
              <w:rPr>
                <w:noProof/>
                <w:color w:val="000000"/>
                <w:szCs w:val="24"/>
              </w:rPr>
            </w:pPr>
            <w:r>
              <w:rPr>
                <w:b/>
                <w:noProof/>
                <w:color w:val="000000"/>
              </w:rPr>
              <w:t>2016 г.</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Млечно масло</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96,0 %</w:t>
            </w:r>
          </w:p>
        </w:tc>
        <w:tc>
          <w:tcPr>
            <w:tcW w:w="1404" w:type="dxa"/>
            <w:shd w:val="clear" w:color="auto" w:fill="auto"/>
            <w:noWrap/>
            <w:vAlign w:val="center"/>
            <w:hideMark/>
          </w:tcPr>
          <w:p>
            <w:pPr>
              <w:spacing w:after="0"/>
              <w:jc w:val="center"/>
              <w:rPr>
                <w:noProof/>
                <w:color w:val="000000"/>
                <w:szCs w:val="24"/>
              </w:rPr>
            </w:pPr>
            <w:r>
              <w:rPr>
                <w:noProof/>
                <w:color w:val="000000"/>
              </w:rPr>
              <w:t>100 %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Сирене</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4,3 %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Сладолед</w:t>
            </w:r>
          </w:p>
        </w:tc>
        <w:tc>
          <w:tcPr>
            <w:tcW w:w="960" w:type="dxa"/>
            <w:shd w:val="clear" w:color="auto" w:fill="auto"/>
            <w:noWrap/>
            <w:vAlign w:val="center"/>
            <w:hideMark/>
          </w:tcPr>
          <w:p>
            <w:pPr>
              <w:spacing w:after="0"/>
              <w:jc w:val="center"/>
              <w:rPr>
                <w:noProof/>
                <w:color w:val="000000"/>
                <w:szCs w:val="24"/>
              </w:rPr>
            </w:pPr>
            <w:r>
              <w:rPr>
                <w:noProof/>
                <w:color w:val="000000"/>
              </w:rPr>
              <w:t>58,6 %</w:t>
            </w:r>
          </w:p>
        </w:tc>
        <w:tc>
          <w:tcPr>
            <w:tcW w:w="960" w:type="dxa"/>
            <w:shd w:val="clear" w:color="auto" w:fill="auto"/>
            <w:noWrap/>
            <w:vAlign w:val="center"/>
            <w:hideMark/>
          </w:tcPr>
          <w:p>
            <w:pPr>
              <w:spacing w:after="0"/>
              <w:jc w:val="center"/>
              <w:rPr>
                <w:noProof/>
                <w:color w:val="000000"/>
                <w:szCs w:val="24"/>
              </w:rPr>
            </w:pPr>
            <w:r>
              <w:rPr>
                <w:noProof/>
                <w:color w:val="000000"/>
              </w:rPr>
              <w:t>89,6 %</w:t>
            </w:r>
          </w:p>
        </w:tc>
        <w:tc>
          <w:tcPr>
            <w:tcW w:w="960" w:type="dxa"/>
            <w:shd w:val="clear" w:color="auto" w:fill="auto"/>
            <w:noWrap/>
            <w:vAlign w:val="center"/>
            <w:hideMark/>
          </w:tcPr>
          <w:p>
            <w:pPr>
              <w:spacing w:after="0"/>
              <w:jc w:val="center"/>
              <w:rPr>
                <w:noProof/>
                <w:color w:val="000000"/>
                <w:szCs w:val="24"/>
              </w:rPr>
            </w:pPr>
            <w:r>
              <w:rPr>
                <w:noProof/>
                <w:color w:val="000000"/>
              </w:rPr>
              <w:t>98,5 %</w:t>
            </w:r>
          </w:p>
        </w:tc>
        <w:tc>
          <w:tcPr>
            <w:tcW w:w="1404" w:type="dxa"/>
            <w:shd w:val="clear" w:color="auto" w:fill="auto"/>
            <w:noWrap/>
            <w:vAlign w:val="center"/>
            <w:hideMark/>
          </w:tcPr>
          <w:p>
            <w:pPr>
              <w:spacing w:after="0"/>
              <w:jc w:val="center"/>
              <w:rPr>
                <w:noProof/>
                <w:color w:val="000000"/>
                <w:szCs w:val="24"/>
              </w:rPr>
            </w:pPr>
            <w:r>
              <w:rPr>
                <w:noProof/>
                <w:color w:val="000000"/>
              </w:rPr>
              <w:t>95,6 %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Мляко на прах</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4,1 %</w:t>
            </w:r>
          </w:p>
        </w:tc>
        <w:tc>
          <w:tcPr>
            <w:tcW w:w="960" w:type="dxa"/>
            <w:shd w:val="clear" w:color="auto" w:fill="auto"/>
            <w:noWrap/>
            <w:vAlign w:val="center"/>
            <w:hideMark/>
          </w:tcPr>
          <w:p>
            <w:pPr>
              <w:spacing w:after="0"/>
              <w:jc w:val="center"/>
              <w:rPr>
                <w:noProof/>
                <w:color w:val="000000"/>
                <w:szCs w:val="24"/>
              </w:rPr>
            </w:pPr>
            <w:r>
              <w:rPr>
                <w:noProof/>
                <w:color w:val="000000"/>
              </w:rPr>
              <w:t>99,7 %</w:t>
            </w:r>
          </w:p>
        </w:tc>
        <w:tc>
          <w:tcPr>
            <w:tcW w:w="1404" w:type="dxa"/>
            <w:shd w:val="clear" w:color="auto" w:fill="auto"/>
            <w:noWrap/>
            <w:vAlign w:val="center"/>
            <w:hideMark/>
          </w:tcPr>
          <w:p>
            <w:pPr>
              <w:spacing w:after="0"/>
              <w:jc w:val="center"/>
              <w:rPr>
                <w:noProof/>
                <w:color w:val="000000"/>
                <w:szCs w:val="24"/>
              </w:rPr>
            </w:pPr>
            <w:r>
              <w:rPr>
                <w:noProof/>
                <w:color w:val="000000"/>
              </w:rPr>
              <w:t>100 %</w:t>
            </w:r>
          </w:p>
        </w:tc>
      </w:tr>
      <w:tr>
        <w:trPr>
          <w:trHeight w:val="315"/>
          <w:jc w:val="center"/>
        </w:trPr>
        <w:tc>
          <w:tcPr>
            <w:tcW w:w="1800" w:type="dxa"/>
            <w:shd w:val="clear" w:color="auto" w:fill="auto"/>
            <w:vAlign w:val="center"/>
            <w:hideMark/>
          </w:tcPr>
          <w:p>
            <w:pPr>
              <w:spacing w:after="0"/>
              <w:jc w:val="center"/>
              <w:rPr>
                <w:noProof/>
                <w:color w:val="000000"/>
                <w:szCs w:val="24"/>
              </w:rPr>
            </w:pPr>
            <w:r>
              <w:rPr>
                <w:noProof/>
                <w:color w:val="000000"/>
              </w:rPr>
              <w:t>Мляко за кърмачета</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29,9 %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Дъвки</w:t>
            </w:r>
          </w:p>
        </w:tc>
        <w:tc>
          <w:tcPr>
            <w:tcW w:w="960" w:type="dxa"/>
            <w:shd w:val="clear" w:color="auto" w:fill="auto"/>
            <w:noWrap/>
            <w:vAlign w:val="center"/>
            <w:hideMark/>
          </w:tcPr>
          <w:p>
            <w:pPr>
              <w:spacing w:after="0"/>
              <w:jc w:val="center"/>
              <w:rPr>
                <w:noProof/>
                <w:color w:val="000000"/>
                <w:szCs w:val="24"/>
              </w:rPr>
            </w:pPr>
            <w:r>
              <w:rPr>
                <w:noProof/>
                <w:color w:val="000000"/>
              </w:rPr>
              <w:t>0,3 %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0,1 %</w:t>
            </w:r>
          </w:p>
        </w:tc>
        <w:tc>
          <w:tcPr>
            <w:tcW w:w="1404" w:type="dxa"/>
            <w:shd w:val="clear" w:color="auto" w:fill="auto"/>
            <w:noWrap/>
            <w:vAlign w:val="center"/>
            <w:hideMark/>
          </w:tcPr>
          <w:p>
            <w:pPr>
              <w:spacing w:after="0"/>
              <w:jc w:val="center"/>
              <w:rPr>
                <w:noProof/>
                <w:color w:val="000000"/>
                <w:szCs w:val="24"/>
              </w:rPr>
            </w:pPr>
            <w:r>
              <w:rPr>
                <w:noProof/>
                <w:color w:val="000000"/>
              </w:rPr>
              <w:t>2,2 %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Захар</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0,8 %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Ром</w:t>
            </w:r>
          </w:p>
        </w:tc>
        <w:tc>
          <w:tcPr>
            <w:tcW w:w="960" w:type="dxa"/>
            <w:shd w:val="clear" w:color="auto" w:fill="auto"/>
            <w:noWrap/>
            <w:vAlign w:val="center"/>
            <w:hideMark/>
          </w:tcPr>
          <w:p>
            <w:pPr>
              <w:spacing w:after="0"/>
              <w:jc w:val="center"/>
              <w:rPr>
                <w:noProof/>
                <w:color w:val="000000"/>
                <w:szCs w:val="24"/>
              </w:rPr>
            </w:pPr>
            <w:r>
              <w:rPr>
                <w:noProof/>
                <w:color w:val="000000"/>
              </w:rPr>
              <w:t>3,5 %</w:t>
            </w:r>
          </w:p>
        </w:tc>
        <w:tc>
          <w:tcPr>
            <w:tcW w:w="960" w:type="dxa"/>
            <w:shd w:val="clear" w:color="auto" w:fill="auto"/>
            <w:noWrap/>
            <w:vAlign w:val="center"/>
            <w:hideMark/>
          </w:tcPr>
          <w:p>
            <w:pPr>
              <w:spacing w:after="0"/>
              <w:jc w:val="center"/>
              <w:rPr>
                <w:noProof/>
                <w:color w:val="000000"/>
                <w:szCs w:val="24"/>
              </w:rPr>
            </w:pPr>
            <w:r>
              <w:rPr>
                <w:noProof/>
                <w:color w:val="000000"/>
              </w:rPr>
              <w:t>0,0 %</w:t>
            </w:r>
          </w:p>
        </w:tc>
        <w:tc>
          <w:tcPr>
            <w:tcW w:w="960" w:type="dxa"/>
            <w:shd w:val="clear" w:color="auto" w:fill="auto"/>
            <w:noWrap/>
            <w:vAlign w:val="center"/>
            <w:hideMark/>
          </w:tcPr>
          <w:p>
            <w:pPr>
              <w:spacing w:after="0"/>
              <w:jc w:val="center"/>
              <w:rPr>
                <w:noProof/>
                <w:color w:val="000000"/>
                <w:szCs w:val="24"/>
              </w:rPr>
            </w:pPr>
            <w:r>
              <w:rPr>
                <w:noProof/>
                <w:color w:val="000000"/>
              </w:rPr>
              <w:t>3,5 %</w:t>
            </w:r>
          </w:p>
        </w:tc>
        <w:tc>
          <w:tcPr>
            <w:tcW w:w="1404" w:type="dxa"/>
            <w:shd w:val="clear" w:color="auto" w:fill="auto"/>
            <w:noWrap/>
            <w:vAlign w:val="center"/>
            <w:hideMark/>
          </w:tcPr>
          <w:p>
            <w:pPr>
              <w:spacing w:after="0"/>
              <w:jc w:val="center"/>
              <w:rPr>
                <w:noProof/>
                <w:color w:val="000000"/>
                <w:szCs w:val="24"/>
              </w:rPr>
            </w:pPr>
            <w:r>
              <w:rPr>
                <w:noProof/>
                <w:color w:val="000000"/>
              </w:rPr>
              <w:t>5,8 %</w:t>
            </w:r>
          </w:p>
        </w:tc>
      </w:tr>
    </w:tbl>
    <w:p>
      <w:pPr>
        <w:widowControl w:val="0"/>
        <w:shd w:val="clear" w:color="auto" w:fill="FFFFFF"/>
        <w:spacing w:after="200" w:line="276" w:lineRule="auto"/>
        <w:jc w:val="center"/>
        <w:rPr>
          <w:noProof/>
          <w:sz w:val="20"/>
        </w:rPr>
      </w:pPr>
      <w:r>
        <w:rPr>
          <w:noProof/>
          <w:sz w:val="20"/>
        </w:rPr>
        <w:t>Източник: SUNAT (Superintendencia Nacional de Aduanas y de Administración Tributaria)</w:t>
      </w:r>
    </w:p>
    <w:p>
      <w:pPr>
        <w:pStyle w:val="Heading2"/>
        <w:rPr>
          <w:noProof/>
        </w:rPr>
      </w:pPr>
      <w:r>
        <w:rPr>
          <w:noProof/>
        </w:rPr>
        <w:t xml:space="preserve">Изпълнение на Регламент (ЕС) № 19/2013 на Европейския парламент и на Съвета за прилагане на двустранната защитна клауза и механизма за стабилизиране по отношение на бананите </w:t>
      </w:r>
    </w:p>
    <w:p>
      <w:pPr>
        <w:pStyle w:val="Default"/>
        <w:spacing w:after="240"/>
        <w:ind w:left="1080"/>
        <w:jc w:val="both"/>
        <w:rPr>
          <w:rFonts w:ascii="Times New Roman" w:eastAsia="Times New Roman" w:hAnsi="Times New Roman" w:cs="Times New Roman"/>
          <w:noProof/>
          <w:szCs w:val="20"/>
        </w:rPr>
      </w:pPr>
      <w:r>
        <w:rPr>
          <w:noProof/>
        </w:rPr>
        <w:t>В Регламент (ЕС) № 19/2013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търговия между Европейския съюз и неговите държави членки, от една страна, и Колумбия и Перу, от друга страна</w:t>
      </w:r>
      <w:r>
        <w:rPr>
          <w:rFonts w:ascii="Times New Roman" w:hAnsi="Times New Roman"/>
          <w:noProof/>
          <w:color w:val="auto"/>
          <w:vertAlign w:val="superscript"/>
        </w:rPr>
        <w:footnoteReference w:id="7"/>
      </w:r>
      <w:r>
        <w:rPr>
          <w:noProof/>
        </w:rPr>
        <w:t xml:space="preserve"> (наричан по-долу „Регламентът“)</w:t>
      </w:r>
      <w:r>
        <w:rPr>
          <w:rFonts w:ascii="Times New Roman" w:hAnsi="Times New Roman"/>
          <w:noProof/>
        </w:rPr>
        <w:t xml:space="preserve"> е предвидена възможността за започване на разследване във връзка със защитната клауза или за въвеждане на мерки за предварително наблюдение при условията, посочени в Регламента. В съответствие с членове 3 и 13 от </w:t>
      </w:r>
      <w:r>
        <w:rPr>
          <w:noProof/>
        </w:rPr>
        <w:t xml:space="preserve">Регламента Комисията извършва мониторинг на тенденциите при вноса на пресни банани (ХС 08039010) </w:t>
      </w:r>
      <w:r>
        <w:rPr>
          <w:rFonts w:ascii="Times New Roman" w:hAnsi="Times New Roman"/>
          <w:noProof/>
        </w:rPr>
        <w:t xml:space="preserve">от Колумбия и Перу. </w:t>
      </w:r>
    </w:p>
    <w:p>
      <w:pPr>
        <w:ind w:left="1080"/>
        <w:rPr>
          <w:noProof/>
        </w:rPr>
      </w:pPr>
      <w:r>
        <w:rPr>
          <w:noProof/>
        </w:rPr>
        <w:t xml:space="preserve">През 2015 г. вносът в ЕС на пресни банани от </w:t>
      </w:r>
      <w:r>
        <w:rPr>
          <w:b/>
          <w:noProof/>
        </w:rPr>
        <w:t>Перу</w:t>
      </w:r>
      <w:r>
        <w:rPr>
          <w:noProof/>
        </w:rPr>
        <w:t xml:space="preserve"> се повишава в обемно изражение с почти 5 % в сравнение с 2014 г. Тази тенденция продължава и през 2016 г., като повишението спрямо 2015 г. е от почти 10 %. През месец октомври 2015 и 2016 г. вносът в ЕС от Перу достига критичния обем на вноса, определен в Споразумението (86 250 тона през 2015 г. и 90 000 тона през 2016 г.). В съответствие с член 15, параграф 3 от Регламента Комисията проучва въздействието върху пазара на банани в ЕС, като взема предвид, наред с останалото, въздействието върху равнището на цените, развитието на вноса от други източници и общата стабилност на пазара на Съюза. </w:t>
      </w:r>
    </w:p>
    <w:p>
      <w:pPr>
        <w:ind w:left="1080"/>
        <w:rPr>
          <w:noProof/>
        </w:rPr>
      </w:pPr>
      <w:r>
        <w:rPr>
          <w:noProof/>
        </w:rPr>
        <w:t>Предвид на това, че: 1) вносът в ЕС на пресни банани от Перу представлява едва около 4 % от общия внос през 2015 г. и малко под 2 % през 2016 г., 2) вносът на пресни банани от други традиционни държави износителки остава далеч под праговете, определени в сравними механизми за стабилизиране, 3) средната цена на едро на бананите не показва значителни промени и 4) няма признаци за отрицателно въздействие върху стабилността на пазара на ЕС, производителите от ЕС или най-отдалечените региони на ЕС, Комисията заключава, че временното спиране на прилагането на преференциалното мито по отношение на вноса на банани с произход от Перу е нецелесъобразно</w:t>
      </w:r>
      <w:r>
        <w:rPr>
          <w:rStyle w:val="FootnoteReference"/>
          <w:noProof/>
        </w:rPr>
        <w:footnoteReference w:id="8"/>
      </w:r>
      <w:r>
        <w:rPr>
          <w:noProof/>
        </w:rPr>
        <w:t>.</w:t>
      </w:r>
    </w:p>
    <w:p>
      <w:pPr>
        <w:spacing w:after="0"/>
        <w:jc w:val="left"/>
        <w:rPr>
          <w:b/>
          <w:noProof/>
        </w:rPr>
      </w:pPr>
      <w:r>
        <w:rPr>
          <w:noProof/>
        </w:rPr>
        <w:br w:type="page"/>
      </w:r>
    </w:p>
    <w:p>
      <w:pPr>
        <w:spacing w:after="0"/>
        <w:jc w:val="center"/>
        <w:rPr>
          <w:b/>
          <w:noProof/>
        </w:rPr>
      </w:pPr>
      <w:r>
        <w:rPr>
          <w:b/>
          <w:noProof/>
        </w:rPr>
        <w:t xml:space="preserve">Таблица 11:  Внос в ЕС на банани от Перу през 2015 и 2016 г. </w:t>
      </w:r>
      <w:r>
        <w:rPr>
          <w:b/>
          <w:noProof/>
        </w:rPr>
        <w:br/>
        <w:t>(общ обем в тонове)</w:t>
      </w:r>
    </w:p>
    <w:p>
      <w:pPr>
        <w:spacing w:after="0"/>
        <w:jc w:val="center"/>
        <w:rPr>
          <w:b/>
          <w:noProof/>
        </w:rPr>
      </w:pPr>
    </w:p>
    <w:p>
      <w:pPr>
        <w:spacing w:after="0"/>
        <w:jc w:val="center"/>
        <w:rPr>
          <w:b/>
          <w:noProof/>
        </w:rPr>
      </w:pPr>
      <w:r>
        <w:rPr>
          <w:noProof/>
          <w:lang w:val="en-US" w:eastAsia="en-US" w:bidi="ar-SA"/>
        </w:rPr>
        <w:drawing>
          <wp:inline distT="0" distB="0" distL="0" distR="0">
            <wp:extent cx="5760720" cy="26967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696744"/>
                    </a:xfrm>
                    <a:prstGeom prst="rect">
                      <a:avLst/>
                    </a:prstGeom>
                    <a:noFill/>
                    <a:ln>
                      <a:noFill/>
                    </a:ln>
                  </pic:spPr>
                </pic:pic>
              </a:graphicData>
            </a:graphic>
          </wp:inline>
        </w:drawing>
      </w:r>
    </w:p>
    <w:p>
      <w:pPr>
        <w:spacing w:after="0"/>
        <w:jc w:val="center"/>
        <w:rPr>
          <w:b/>
          <w:noProof/>
        </w:rPr>
      </w:pPr>
    </w:p>
    <w:p>
      <w:pPr>
        <w:ind w:left="720"/>
        <w:rPr>
          <w:noProof/>
        </w:rPr>
      </w:pPr>
      <w:r>
        <w:rPr>
          <w:noProof/>
        </w:rPr>
        <w:t xml:space="preserve">През 2015 г. вносът в ЕС на пресни банани от </w:t>
      </w:r>
      <w:r>
        <w:rPr>
          <w:b/>
          <w:noProof/>
        </w:rPr>
        <w:t>Колумбия</w:t>
      </w:r>
      <w:r>
        <w:rPr>
          <w:noProof/>
        </w:rPr>
        <w:t xml:space="preserve"> се повишава в обемно изражение с 21 % в сравнение с 2014 г. През 2016 г. обаче той намалява с 4 % спрямо предходната година (от 1 307 458 тона през 2015 г. на 1 249 513 тона през 2016 г.). </w:t>
      </w:r>
    </w:p>
    <w:p>
      <w:pPr>
        <w:ind w:left="720"/>
        <w:rPr>
          <w:noProof/>
        </w:rPr>
      </w:pPr>
      <w:r>
        <w:rPr>
          <w:noProof/>
        </w:rPr>
        <w:t>Колумбия остава значително под критичния обем на вноса, установен в Споразумението (на около 75 %), т.е. 1 687 500 тона през 2015 г. и 1 755 000 тона през 2016 г.</w:t>
      </w:r>
    </w:p>
    <w:p>
      <w:pPr>
        <w:spacing w:after="0"/>
        <w:jc w:val="center"/>
        <w:rPr>
          <w:b/>
          <w:noProof/>
        </w:rPr>
      </w:pPr>
      <w:r>
        <w:rPr>
          <w:b/>
          <w:noProof/>
        </w:rPr>
        <w:t xml:space="preserve">Таблица 12:  Внос в ЕС на банани от Колумбия през 2015 и 2016 г. </w:t>
      </w:r>
      <w:r>
        <w:rPr>
          <w:b/>
          <w:noProof/>
        </w:rPr>
        <w:br/>
        <w:t>(общ обем в тонове)</w:t>
      </w:r>
    </w:p>
    <w:p>
      <w:pPr>
        <w:spacing w:after="0"/>
        <w:jc w:val="center"/>
        <w:rPr>
          <w:b/>
          <w:noProof/>
        </w:rPr>
      </w:pPr>
    </w:p>
    <w:p>
      <w:pPr>
        <w:spacing w:after="0"/>
        <w:jc w:val="center"/>
        <w:rPr>
          <w:noProof/>
        </w:rPr>
      </w:pPr>
      <w:r>
        <w:rPr>
          <w:noProof/>
          <w:lang w:val="en-US" w:eastAsia="en-US" w:bidi="ar-SA"/>
        </w:rPr>
        <w:drawing>
          <wp:inline distT="0" distB="0" distL="0" distR="0">
            <wp:extent cx="5760720" cy="239871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398716"/>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trPr>
          <w:tblCellSpacing w:w="15" w:type="dxa"/>
        </w:trPr>
        <w:tc>
          <w:tcPr>
            <w:tcW w:w="0" w:type="auto"/>
            <w:vAlign w:val="center"/>
          </w:tcPr>
          <w:p>
            <w:pPr>
              <w:spacing w:after="0"/>
              <w:jc w:val="center"/>
              <w:rPr>
                <w:noProof/>
                <w:szCs w:val="24"/>
              </w:rPr>
            </w:pPr>
          </w:p>
        </w:tc>
        <w:tc>
          <w:tcPr>
            <w:tcW w:w="0" w:type="auto"/>
            <w:vAlign w:val="center"/>
          </w:tcPr>
          <w:p>
            <w:pPr>
              <w:spacing w:after="0"/>
              <w:jc w:val="right"/>
              <w:rPr>
                <w:noProof/>
                <w:szCs w:val="24"/>
              </w:rPr>
            </w:pPr>
          </w:p>
        </w:tc>
      </w:tr>
      <w:tr>
        <w:trPr>
          <w:tblCellSpacing w:w="15" w:type="dxa"/>
        </w:trPr>
        <w:tc>
          <w:tcPr>
            <w:tcW w:w="0" w:type="auto"/>
            <w:vAlign w:val="center"/>
          </w:tcPr>
          <w:p>
            <w:pPr>
              <w:spacing w:after="0"/>
              <w:jc w:val="center"/>
              <w:rPr>
                <w:noProof/>
                <w:szCs w:val="24"/>
              </w:rPr>
            </w:pPr>
          </w:p>
        </w:tc>
        <w:tc>
          <w:tcPr>
            <w:tcW w:w="0" w:type="auto"/>
            <w:vAlign w:val="center"/>
          </w:tcPr>
          <w:p>
            <w:pPr>
              <w:spacing w:after="0"/>
              <w:jc w:val="right"/>
              <w:rPr>
                <w:noProof/>
                <w:szCs w:val="24"/>
              </w:rPr>
            </w:pPr>
          </w:p>
        </w:tc>
      </w:tr>
    </w:tbl>
    <w:p>
      <w:pPr>
        <w:spacing w:before="120" w:after="120"/>
        <w:ind w:left="850" w:hanging="850"/>
        <w:jc w:val="center"/>
        <w:rPr>
          <w:noProof/>
        </w:rPr>
      </w:pPr>
    </w:p>
    <w:p>
      <w:pPr>
        <w:pStyle w:val="Heading1"/>
        <w:rPr>
          <w:noProof/>
        </w:rPr>
      </w:pPr>
      <w:r>
        <w:rPr>
          <w:noProof/>
          <w:sz w:val="28"/>
        </w:rPr>
        <w:t>Заключения</w:t>
      </w:r>
      <w:r>
        <w:rPr>
          <w:noProof/>
        </w:rPr>
        <w:t xml:space="preserve"> </w:t>
      </w:r>
    </w:p>
    <w:p>
      <w:pPr>
        <w:rPr>
          <w:noProof/>
          <w:color w:val="000000" w:themeColor="text1"/>
        </w:rPr>
      </w:pPr>
      <w:r>
        <w:rPr>
          <w:noProof/>
        </w:rPr>
        <w:t>Четири години след влизането си в сила Споразумението като цяло функционира добре. Несъмнено е, че забавянето на икономическия растеж в Латинска Америка и спадът в цените на стоките на световния пазар засегнаха търговските потоци.</w:t>
      </w:r>
      <w:r>
        <w:rPr>
          <w:noProof/>
          <w:color w:val="000000" w:themeColor="text1"/>
        </w:rPr>
        <w:t xml:space="preserve"> И все пак намаляването на двустранната търговия между ЕС и Колумбия (23,5 %) и между ЕС и Перу (11 %) е по-слабо в сравнение с общото намаляване на търговията на двете държави със света (приблизително 36 % за Колумбия и 18 % за Перу). </w:t>
      </w:r>
    </w:p>
    <w:p>
      <w:pPr>
        <w:spacing w:after="0"/>
        <w:rPr>
          <w:noProof/>
        </w:rPr>
      </w:pPr>
      <w:r>
        <w:rPr>
          <w:noProof/>
        </w:rPr>
        <w:t xml:space="preserve">Макар делът на минералните продукти в износа на Колумбия и Перу към ЕС да е намалял и днес да е значително по-малък от този към останалия свят, Споразумението допринесе за диверсификацията на износа и на двете държави. То предостави възможности за износ на нови стоки, най-вече на селскостопански продукти, които понастоящем са основен елемент в структурата на износа в ЕС както на Колумбия, така и на Перу и представляват съответно почти 40 % и 51 % от стойността на общия им износ в Съюза. Тази диверсификация доведе също така до значително увеличаване на броя на новите износители към ЕС, по-специално на малките и средните предприятия, сериозно представени в бързо развиващите се категории износ на селскостопански продукти. </w:t>
      </w:r>
    </w:p>
    <w:p>
      <w:pPr>
        <w:spacing w:after="0"/>
        <w:rPr>
          <w:noProof/>
        </w:rPr>
      </w:pPr>
    </w:p>
    <w:p>
      <w:pPr>
        <w:rPr>
          <w:rFonts w:eastAsia="Calibri"/>
          <w:noProof/>
          <w:szCs w:val="24"/>
        </w:rPr>
      </w:pPr>
      <w:r>
        <w:rPr>
          <w:noProof/>
        </w:rPr>
        <w:t>Цялостното изпълнение на Споразумението продължава да бъде от ключово значение, за да се реализират очакваните ползи и за двете страни. Макар в повечето области изпълнението да върви добре, в някои от тях е необходимо по-задълбочено внимание, какъвто например е случаят с изпълнението от страна на Перу на задълженията му в сферата на санитарните и фитосанитарните мерки, за да може да изнася в ЕС селскостопански продукти.</w:t>
      </w:r>
    </w:p>
    <w:p>
      <w:pPr>
        <w:rPr>
          <w:noProof/>
        </w:rPr>
      </w:pPr>
      <w:r>
        <w:rPr>
          <w:noProof/>
        </w:rPr>
        <w:t xml:space="preserve">По облагането на спиртните напитки — отдавнашен проблем в Колумбия — след започнатото от ЕС дело за уреждане на спорове (DS502), беше отчетен сериозен напредък с приемането на реформа на законодателството за спиртните напитки. Със Закон 1816, който влезе в сила на 1 януари 2017 г., беше реформиран режимът за спиртните напитки, като се премахна данъчната дискриминация, и бе въведен ред по отношение на монополите, упражнявани от колумбийските департаменти върху производството, въвеждането и търговското разпространение на спиртни напитки. Комисията следи отблизо изпълнението на тези мерки. За сметка на това продължава да е нерешен въпросът с дискриминационното облагане на спиртните напитки в Перу. </w:t>
      </w:r>
    </w:p>
    <w:p>
      <w:pPr>
        <w:rPr>
          <w:noProof/>
        </w:rPr>
      </w:pPr>
      <w:r>
        <w:rPr>
          <w:noProof/>
        </w:rPr>
        <w:t xml:space="preserve">Дискусиите с Колумбия по изпълнението на задълженията в областта на достъпа до пазара на държавни поръчки на регионално и местно равнище също са положителни. </w:t>
      </w:r>
    </w:p>
    <w:p>
      <w:pPr>
        <w:rPr>
          <w:rFonts w:eastAsia="Calibri"/>
          <w:noProof/>
          <w:szCs w:val="24"/>
        </w:rPr>
      </w:pPr>
      <w:r>
        <w:rPr>
          <w:noProof/>
        </w:rPr>
        <w:t xml:space="preserve">И двете държави трябва да направят допълнителни усилия, за да гарантират спазването на географските означения на ЕС на своята територия. </w:t>
      </w:r>
    </w:p>
    <w:p>
      <w:pPr>
        <w:spacing w:after="0"/>
        <w:rPr>
          <w:rFonts w:eastAsia="Calibri"/>
          <w:noProof/>
          <w:szCs w:val="24"/>
        </w:rPr>
      </w:pPr>
      <w:r>
        <w:rPr>
          <w:noProof/>
        </w:rPr>
        <w:t>По изпълнението на главата за търговията и устойчивото развитие има напредък и с двете държави се води все по-открит диалог по въпросите на труда. Въпреки това продължават да са налице предизвикателства в областта както на труда, така и на околната среда и за да се окаже подкрепа за изпълнението на тази глава, са необходими още усилия, включително дейности на сътрудничество.</w:t>
      </w:r>
    </w:p>
    <w:p>
      <w:pPr>
        <w:spacing w:after="0"/>
        <w:rPr>
          <w:rFonts w:ascii="Calibri" w:eastAsia="Calibri" w:hAnsi="Calibri" w:cs="Arial"/>
          <w:noProof/>
          <w:sz w:val="22"/>
          <w:szCs w:val="22"/>
        </w:rPr>
      </w:pPr>
    </w:p>
    <w:p>
      <w:pPr>
        <w:rPr>
          <w:rFonts w:eastAsia="Calibri"/>
          <w:noProof/>
          <w:szCs w:val="24"/>
        </w:rPr>
      </w:pPr>
      <w:r>
        <w:rPr>
          <w:noProof/>
        </w:rPr>
        <w:t>Що се отнася до механизма за стабилизиране по отношение на бананите, няма признаци, че стабилността на пазара на ЕС или положението на производителите от ЕС са засегнати от равнището на колумбийския и перуанския износ. Близкият и засилен мониторинг на вноса на банани и оценяването на състоянието на пазара ще продължат.</w:t>
      </w:r>
    </w:p>
    <w:p>
      <w:pPr>
        <w:autoSpaceDE w:val="0"/>
        <w:autoSpaceDN w:val="0"/>
        <w:adjustRightInd w:val="0"/>
        <w:rPr>
          <w:noProof/>
        </w:rPr>
      </w:pPr>
      <w:r>
        <w:rPr>
          <w:noProof/>
        </w:rPr>
        <w:t>Комисията ще продължи да следи за изпълнението на Споразумението с Колумбия и Перу, а вече и с Еквадор, за да могат гражданите, икономическите оператори и другите заинтересовани участници от двете страни да извлекат максимална полза от възможностите, които Споразумението създава. Комисията призовава държавите — членки на ЕС, и Европейския парламент да продължат да оказват активно съдействие за този процес.</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897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jc w:val="both"/>
        <w:rPr>
          <w:lang w:val="ru-RU"/>
        </w:rPr>
      </w:pPr>
      <w:r>
        <w:rPr>
          <w:rStyle w:val="FootnoteReference"/>
        </w:rPr>
        <w:footnoteRef/>
      </w:r>
      <w:r>
        <w:t xml:space="preserve"> ОВ L 354, 21.12.2012 г., стр. 3.</w:t>
      </w:r>
    </w:p>
  </w:footnote>
  <w:footnote w:id="2">
    <w:p>
      <w:pPr>
        <w:pStyle w:val="FootnoteText"/>
        <w:ind w:left="120" w:hanging="120"/>
        <w:jc w:val="both"/>
        <w:rPr>
          <w:lang w:val="ru-RU"/>
        </w:rPr>
      </w:pPr>
      <w:r>
        <w:rPr>
          <w:rStyle w:val="FootnoteReference"/>
        </w:rPr>
        <w:footnoteRef/>
      </w:r>
      <w:r>
        <w:t xml:space="preserve"> </w:t>
      </w:r>
      <w:hyperlink r:id="rId1">
        <w:r>
          <w:rPr>
            <w:rStyle w:val="Hyperlink"/>
          </w:rPr>
          <w:t>http://www.consilium.europa.eu/bg/documents-publications/agreements-conventions/agreement/?aid=2011057</w:t>
        </w:r>
      </w:hyperlink>
      <w:r>
        <w:t xml:space="preserve"> </w:t>
      </w:r>
    </w:p>
  </w:footnote>
  <w:footnote w:id="3">
    <w:p>
      <w:pPr>
        <w:pStyle w:val="PlainText"/>
        <w:ind w:left="120" w:hanging="120"/>
        <w:jc w:val="both"/>
        <w:rPr>
          <w:lang w:val="ru-RU"/>
        </w:rPr>
      </w:pPr>
      <w:r>
        <w:rPr>
          <w:rStyle w:val="FootnoteReference"/>
        </w:rPr>
        <w:footnoteRef/>
      </w:r>
      <w:r>
        <w:t xml:space="preserve"> </w:t>
      </w:r>
      <w:hyperlink r:id="rId2">
        <w:r>
          <w:rPr>
            <w:rStyle w:val="Hyperlink"/>
            <w:rFonts w:ascii="Times New Roman" w:hAnsi="Times New Roman"/>
            <w:sz w:val="20"/>
          </w:rPr>
          <w:t>http://www.consilium.europa.eu/bg/documents-publications/agreements-conventions/agreement/?aid=2016044</w:t>
        </w:r>
      </w:hyperlink>
    </w:p>
  </w:footnote>
  <w:footnote w:id="4">
    <w:p>
      <w:pPr>
        <w:pStyle w:val="FootnoteText"/>
        <w:ind w:left="120" w:hanging="120"/>
        <w:jc w:val="both"/>
      </w:pPr>
      <w:r>
        <w:rPr>
          <w:rStyle w:val="FootnoteReference"/>
        </w:rPr>
        <w:footnoteRef/>
      </w:r>
      <w:r>
        <w:t xml:space="preserve"> ОВ L 17, 19.1.2013 г., стр. 1.</w:t>
      </w:r>
    </w:p>
  </w:footnote>
  <w:footnote w:id="5">
    <w:p>
      <w:pPr>
        <w:pStyle w:val="FootnoteText"/>
        <w:rPr>
          <w:color w:val="000000" w:themeColor="text1"/>
        </w:rPr>
      </w:pPr>
      <w:r>
        <w:rPr>
          <w:rStyle w:val="FootnoteReference"/>
          <w:color w:val="000000" w:themeColor="text1"/>
        </w:rPr>
        <w:footnoteRef/>
      </w:r>
      <w:r>
        <w:rPr>
          <w:color w:val="000000" w:themeColor="text1"/>
        </w:rPr>
        <w:t xml:space="preserve"> МСП е дружество, което извършва износ общо за между 500 000 и 5 милиона щатски долара франко борд.</w:t>
      </w:r>
    </w:p>
  </w:footnote>
  <w:footnote w:id="6">
    <w:p>
      <w:pPr>
        <w:pStyle w:val="FootnoteText"/>
      </w:pPr>
      <w:r>
        <w:rPr>
          <w:rStyle w:val="FootnoteReference"/>
          <w:color w:val="000000" w:themeColor="text1"/>
        </w:rPr>
        <w:footnoteRef/>
      </w:r>
      <w:r>
        <w:rPr>
          <w:color w:val="000000" w:themeColor="text1"/>
        </w:rPr>
        <w:t xml:space="preserve"> Микропредприятието извършва износ общо за под 500 000 щатски долара.</w:t>
      </w:r>
    </w:p>
  </w:footnote>
  <w:footnote w:id="7">
    <w:p>
      <w:pPr>
        <w:pStyle w:val="FootnoteText"/>
      </w:pPr>
      <w:r>
        <w:rPr>
          <w:rStyle w:val="FootnoteReference"/>
        </w:rPr>
        <w:footnoteRef/>
      </w:r>
      <w:r>
        <w:tab/>
        <w:t>ОВ L 17, 19.1.2013 г., стр. 1.</w:t>
      </w:r>
    </w:p>
  </w:footnote>
  <w:footnote w:id="8">
    <w:p>
      <w:pPr>
        <w:pStyle w:val="FootnoteText"/>
      </w:pPr>
      <w:r>
        <w:rPr>
          <w:rStyle w:val="FootnoteReference"/>
        </w:rPr>
        <w:footnoteRef/>
      </w:r>
      <w:r>
        <w:t xml:space="preserve"> </w:t>
      </w:r>
      <w:r>
        <w:tab/>
        <w:t>ОВ L 328, 12.12.2015 г., стр. 116 и ОВ L 326, 1.12.2016 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4AC"/>
    <w:multiLevelType w:val="hybridMultilevel"/>
    <w:tmpl w:val="EF64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9B546D"/>
    <w:multiLevelType w:val="hybridMultilevel"/>
    <w:tmpl w:val="B3A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406C5"/>
    <w:multiLevelType w:val="hybridMultilevel"/>
    <w:tmpl w:val="A68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823475"/>
    <w:multiLevelType w:val="hybridMultilevel"/>
    <w:tmpl w:val="69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C93543"/>
    <w:multiLevelType w:val="hybridMultilevel"/>
    <w:tmpl w:val="0180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CD3F99"/>
    <w:multiLevelType w:val="hybridMultilevel"/>
    <w:tmpl w:val="DE060976"/>
    <w:lvl w:ilvl="0" w:tplc="E6F015E2">
      <w:start w:val="455"/>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5"/>
  </w:num>
  <w:num w:numId="6">
    <w:abstractNumId w:val="0"/>
  </w:num>
  <w:num w:numId="7">
    <w:abstractNumId w:val="4"/>
  </w:num>
  <w:num w:numId="8">
    <w:abstractNumId w:val="4"/>
  </w:num>
  <w:num w:numId="9">
    <w:abstractNumId w:val="6"/>
  </w:num>
  <w:num w:numId="10">
    <w:abstractNumId w:val="3"/>
  </w:num>
  <w:num w:numId="11">
    <w:abstractNumId w:val="2"/>
  </w:num>
  <w:num w:numId="12">
    <w:abstractNumId w:val="1"/>
  </w:num>
  <w:num w:numId="13">
    <w:abstractNumId w:val="4"/>
  </w:num>
  <w:num w:numId="14">
    <w:abstractNumId w:val="4"/>
  </w:num>
  <w:num w:numId="15">
    <w:abstractNumId w:val="4"/>
  </w:num>
  <w:num w:numId="16">
    <w:abstractNumId w:val="4"/>
  </w:num>
  <w:num w:numId="17">
    <w:abstractNumId w:val="4"/>
  </w:num>
  <w:num w:numId="18">
    <w:abstractNumId w:val="0"/>
  </w:num>
  <w:num w:numId="19">
    <w:abstractNumId w:val="4"/>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9039D1693B04E15B9FEB86F57E6759C"/>
    <w:docVar w:name="LW_CROSSREFERENCE" w:val="&lt;UNUSED&gt;"/>
    <w:docVar w:name="LW_DocType" w:val="NORMAL"/>
    <w:docVar w:name="LW_EMISSION" w:val="10.10.2017"/>
    <w:docVar w:name="LW_EMISSION_ISODATE" w:val="2017-10-1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85"/>
    <w:docVar w:name="LW_REF.INTERNE" w:val="&lt;UNUSED&gt;"/>
    <w:docVar w:name="LW_SOUS.TITRE.OBJ.CP" w:val="&lt;UNUSED&gt;"/>
    <w:docVar w:name="LW_SUPERTITRE" w:val="&lt;UNUSED&gt;"/>
    <w:docVar w:name="LW_TITRE.OBJ.CP" w:val="\u1058?\u1088?\u1077?\u1090?\u1080? \u1075?\u1086?\u1076?\u1080?\u1096?\u1077?\u1085? \u1076?\u1086?\u1082?\u1083?\u1072?\u1076? \u1086?\u1090?\u1085?\u1086?\u1089?\u1085?\u1086? \u1080?\u1079?\u1087?\u1098?\u1083?\u1085?\u1077?\u1085?\u1080?\u1077?\u1090?\u1086? \u1085?\u1072? \u1057?\u1087?\u1086?\u1088?\u1072?\u1079?\u1091?\u1084?\u1077?\u1085?\u1080?\u1077?\u1090?\u1086? \u1079?\u1072? \u1090?\u1098?\u1088?\u1075?\u1086?\u1074?\u1080?\u1103? \u1084?\u1077?\u1078?\u1076?\u1091? \u1045?\u1057? \u1080? \u1050?\u1086?\u1083?\u1091?\u1084?\u1073?\u1080?\u1103? \u1080? \u1055?\u1077?\u1088?\u1091?"/>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TypedudocumentChar">
    <w:name w:val="Type du document Char"/>
    <w:link w:val="Typedudocument"/>
    <w:rPr>
      <w:rFonts w:eastAsia="Times New Roman"/>
      <w:b/>
      <w:sz w:val="24"/>
      <w:lang w:eastAsia="bg-BG"/>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rPr>
  </w:style>
  <w:style w:type="character" w:customStyle="1" w:styleId="FootnoteTextChar">
    <w:name w:val="Footnote Text Char"/>
    <w:basedOn w:val="DefaultParagraphFont"/>
    <w:link w:val="FootnoteText"/>
    <w:uiPriority w:val="99"/>
    <w:rPr>
      <w:rFonts w:eastAsia="Times New Roman"/>
      <w:lang w:eastAsia="bg-BG"/>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eastAsia="Times New Roman" w:hAnsi="Calibri"/>
      <w:sz w:val="22"/>
      <w:szCs w:val="21"/>
      <w:lang w:eastAsia="bg-BG"/>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TypedudocumentChar">
    <w:name w:val="Type du document Char"/>
    <w:link w:val="Typedudocument"/>
    <w:rPr>
      <w:rFonts w:eastAsia="Times New Roman"/>
      <w:b/>
      <w:sz w:val="24"/>
      <w:lang w:eastAsia="bg-BG"/>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rPr>
  </w:style>
  <w:style w:type="character" w:customStyle="1" w:styleId="FootnoteTextChar">
    <w:name w:val="Footnote Text Char"/>
    <w:basedOn w:val="DefaultParagraphFont"/>
    <w:link w:val="FootnoteText"/>
    <w:uiPriority w:val="99"/>
    <w:rPr>
      <w:rFonts w:eastAsia="Times New Roman"/>
      <w:lang w:eastAsia="bg-BG"/>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eastAsia="Times New Roman" w:hAnsi="Calibri"/>
      <w:sz w:val="22"/>
      <w:szCs w:val="21"/>
      <w:lang w:eastAsia="bg-BG"/>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856">
      <w:bodyDiv w:val="1"/>
      <w:marLeft w:val="0"/>
      <w:marRight w:val="0"/>
      <w:marTop w:val="0"/>
      <w:marBottom w:val="0"/>
      <w:divBdr>
        <w:top w:val="none" w:sz="0" w:space="0" w:color="auto"/>
        <w:left w:val="none" w:sz="0" w:space="0" w:color="auto"/>
        <w:bottom w:val="none" w:sz="0" w:space="0" w:color="auto"/>
        <w:right w:val="none" w:sz="0" w:space="0" w:color="auto"/>
      </w:divBdr>
    </w:div>
    <w:div w:id="169417765">
      <w:bodyDiv w:val="1"/>
      <w:marLeft w:val="0"/>
      <w:marRight w:val="0"/>
      <w:marTop w:val="0"/>
      <w:marBottom w:val="0"/>
      <w:divBdr>
        <w:top w:val="none" w:sz="0" w:space="0" w:color="auto"/>
        <w:left w:val="none" w:sz="0" w:space="0" w:color="auto"/>
        <w:bottom w:val="none" w:sz="0" w:space="0" w:color="auto"/>
        <w:right w:val="none" w:sz="0" w:space="0" w:color="auto"/>
      </w:divBdr>
    </w:div>
    <w:div w:id="170491369">
      <w:bodyDiv w:val="1"/>
      <w:marLeft w:val="0"/>
      <w:marRight w:val="0"/>
      <w:marTop w:val="0"/>
      <w:marBottom w:val="0"/>
      <w:divBdr>
        <w:top w:val="none" w:sz="0" w:space="0" w:color="auto"/>
        <w:left w:val="none" w:sz="0" w:space="0" w:color="auto"/>
        <w:bottom w:val="none" w:sz="0" w:space="0" w:color="auto"/>
        <w:right w:val="none" w:sz="0" w:space="0" w:color="auto"/>
      </w:divBdr>
    </w:div>
    <w:div w:id="175308920">
      <w:bodyDiv w:val="1"/>
      <w:marLeft w:val="0"/>
      <w:marRight w:val="0"/>
      <w:marTop w:val="0"/>
      <w:marBottom w:val="0"/>
      <w:divBdr>
        <w:top w:val="none" w:sz="0" w:space="0" w:color="auto"/>
        <w:left w:val="none" w:sz="0" w:space="0" w:color="auto"/>
        <w:bottom w:val="none" w:sz="0" w:space="0" w:color="auto"/>
        <w:right w:val="none" w:sz="0" w:space="0" w:color="auto"/>
      </w:divBdr>
    </w:div>
    <w:div w:id="447698162">
      <w:bodyDiv w:val="1"/>
      <w:marLeft w:val="0"/>
      <w:marRight w:val="0"/>
      <w:marTop w:val="0"/>
      <w:marBottom w:val="0"/>
      <w:divBdr>
        <w:top w:val="none" w:sz="0" w:space="0" w:color="auto"/>
        <w:left w:val="none" w:sz="0" w:space="0" w:color="auto"/>
        <w:bottom w:val="none" w:sz="0" w:space="0" w:color="auto"/>
        <w:right w:val="none" w:sz="0" w:space="0" w:color="auto"/>
      </w:divBdr>
    </w:div>
    <w:div w:id="505020600">
      <w:bodyDiv w:val="1"/>
      <w:marLeft w:val="0"/>
      <w:marRight w:val="0"/>
      <w:marTop w:val="0"/>
      <w:marBottom w:val="0"/>
      <w:divBdr>
        <w:top w:val="none" w:sz="0" w:space="0" w:color="auto"/>
        <w:left w:val="none" w:sz="0" w:space="0" w:color="auto"/>
        <w:bottom w:val="none" w:sz="0" w:space="0" w:color="auto"/>
        <w:right w:val="none" w:sz="0" w:space="0" w:color="auto"/>
      </w:divBdr>
    </w:div>
    <w:div w:id="511535501">
      <w:bodyDiv w:val="1"/>
      <w:marLeft w:val="0"/>
      <w:marRight w:val="0"/>
      <w:marTop w:val="0"/>
      <w:marBottom w:val="0"/>
      <w:divBdr>
        <w:top w:val="none" w:sz="0" w:space="0" w:color="auto"/>
        <w:left w:val="none" w:sz="0" w:space="0" w:color="auto"/>
        <w:bottom w:val="none" w:sz="0" w:space="0" w:color="auto"/>
        <w:right w:val="none" w:sz="0" w:space="0" w:color="auto"/>
      </w:divBdr>
    </w:div>
    <w:div w:id="568271729">
      <w:bodyDiv w:val="1"/>
      <w:marLeft w:val="0"/>
      <w:marRight w:val="0"/>
      <w:marTop w:val="0"/>
      <w:marBottom w:val="0"/>
      <w:divBdr>
        <w:top w:val="none" w:sz="0" w:space="0" w:color="auto"/>
        <w:left w:val="none" w:sz="0" w:space="0" w:color="auto"/>
        <w:bottom w:val="none" w:sz="0" w:space="0" w:color="auto"/>
        <w:right w:val="none" w:sz="0" w:space="0" w:color="auto"/>
      </w:divBdr>
    </w:div>
    <w:div w:id="604077702">
      <w:bodyDiv w:val="1"/>
      <w:marLeft w:val="0"/>
      <w:marRight w:val="0"/>
      <w:marTop w:val="0"/>
      <w:marBottom w:val="0"/>
      <w:divBdr>
        <w:top w:val="none" w:sz="0" w:space="0" w:color="auto"/>
        <w:left w:val="none" w:sz="0" w:space="0" w:color="auto"/>
        <w:bottom w:val="none" w:sz="0" w:space="0" w:color="auto"/>
        <w:right w:val="none" w:sz="0" w:space="0" w:color="auto"/>
      </w:divBdr>
    </w:div>
    <w:div w:id="735083204">
      <w:bodyDiv w:val="1"/>
      <w:marLeft w:val="0"/>
      <w:marRight w:val="0"/>
      <w:marTop w:val="0"/>
      <w:marBottom w:val="0"/>
      <w:divBdr>
        <w:top w:val="none" w:sz="0" w:space="0" w:color="auto"/>
        <w:left w:val="none" w:sz="0" w:space="0" w:color="auto"/>
        <w:bottom w:val="none" w:sz="0" w:space="0" w:color="auto"/>
        <w:right w:val="none" w:sz="0" w:space="0" w:color="auto"/>
      </w:divBdr>
    </w:div>
    <w:div w:id="942540620">
      <w:bodyDiv w:val="1"/>
      <w:marLeft w:val="0"/>
      <w:marRight w:val="0"/>
      <w:marTop w:val="0"/>
      <w:marBottom w:val="0"/>
      <w:divBdr>
        <w:top w:val="none" w:sz="0" w:space="0" w:color="auto"/>
        <w:left w:val="none" w:sz="0" w:space="0" w:color="auto"/>
        <w:bottom w:val="none" w:sz="0" w:space="0" w:color="auto"/>
        <w:right w:val="none" w:sz="0" w:space="0" w:color="auto"/>
      </w:divBdr>
    </w:div>
    <w:div w:id="945499093">
      <w:bodyDiv w:val="1"/>
      <w:marLeft w:val="0"/>
      <w:marRight w:val="0"/>
      <w:marTop w:val="0"/>
      <w:marBottom w:val="0"/>
      <w:divBdr>
        <w:top w:val="none" w:sz="0" w:space="0" w:color="auto"/>
        <w:left w:val="none" w:sz="0" w:space="0" w:color="auto"/>
        <w:bottom w:val="none" w:sz="0" w:space="0" w:color="auto"/>
        <w:right w:val="none" w:sz="0" w:space="0" w:color="auto"/>
      </w:divBdr>
    </w:div>
    <w:div w:id="1050350025">
      <w:bodyDiv w:val="1"/>
      <w:marLeft w:val="0"/>
      <w:marRight w:val="0"/>
      <w:marTop w:val="0"/>
      <w:marBottom w:val="0"/>
      <w:divBdr>
        <w:top w:val="none" w:sz="0" w:space="0" w:color="auto"/>
        <w:left w:val="none" w:sz="0" w:space="0" w:color="auto"/>
        <w:bottom w:val="none" w:sz="0" w:space="0" w:color="auto"/>
        <w:right w:val="none" w:sz="0" w:space="0" w:color="auto"/>
      </w:divBdr>
    </w:div>
    <w:div w:id="1107847184">
      <w:bodyDiv w:val="1"/>
      <w:marLeft w:val="0"/>
      <w:marRight w:val="0"/>
      <w:marTop w:val="0"/>
      <w:marBottom w:val="0"/>
      <w:divBdr>
        <w:top w:val="none" w:sz="0" w:space="0" w:color="auto"/>
        <w:left w:val="none" w:sz="0" w:space="0" w:color="auto"/>
        <w:bottom w:val="none" w:sz="0" w:space="0" w:color="auto"/>
        <w:right w:val="none" w:sz="0" w:space="0" w:color="auto"/>
      </w:divBdr>
    </w:div>
    <w:div w:id="1152988787">
      <w:bodyDiv w:val="1"/>
      <w:marLeft w:val="0"/>
      <w:marRight w:val="0"/>
      <w:marTop w:val="0"/>
      <w:marBottom w:val="0"/>
      <w:divBdr>
        <w:top w:val="none" w:sz="0" w:space="0" w:color="auto"/>
        <w:left w:val="none" w:sz="0" w:space="0" w:color="auto"/>
        <w:bottom w:val="none" w:sz="0" w:space="0" w:color="auto"/>
        <w:right w:val="none" w:sz="0" w:space="0" w:color="auto"/>
      </w:divBdr>
      <w:divsChild>
        <w:div w:id="1730613975">
          <w:marLeft w:val="0"/>
          <w:marRight w:val="0"/>
          <w:marTop w:val="0"/>
          <w:marBottom w:val="0"/>
          <w:divBdr>
            <w:top w:val="none" w:sz="0" w:space="0" w:color="auto"/>
            <w:left w:val="none" w:sz="0" w:space="0" w:color="auto"/>
            <w:bottom w:val="none" w:sz="0" w:space="0" w:color="auto"/>
            <w:right w:val="none" w:sz="0" w:space="0" w:color="auto"/>
          </w:divBdr>
          <w:divsChild>
            <w:div w:id="2057775940">
              <w:marLeft w:val="0"/>
              <w:marRight w:val="0"/>
              <w:marTop w:val="0"/>
              <w:marBottom w:val="0"/>
              <w:divBdr>
                <w:top w:val="none" w:sz="0" w:space="0" w:color="auto"/>
                <w:left w:val="none" w:sz="0" w:space="0" w:color="auto"/>
                <w:bottom w:val="none" w:sz="0" w:space="0" w:color="auto"/>
                <w:right w:val="none" w:sz="0" w:space="0" w:color="auto"/>
              </w:divBdr>
              <w:divsChild>
                <w:div w:id="1289897185">
                  <w:marLeft w:val="0"/>
                  <w:marRight w:val="0"/>
                  <w:marTop w:val="0"/>
                  <w:marBottom w:val="0"/>
                  <w:divBdr>
                    <w:top w:val="none" w:sz="0" w:space="0" w:color="auto"/>
                    <w:left w:val="none" w:sz="0" w:space="0" w:color="auto"/>
                    <w:bottom w:val="none" w:sz="0" w:space="0" w:color="auto"/>
                    <w:right w:val="none" w:sz="0" w:space="0" w:color="auto"/>
                  </w:divBdr>
                  <w:divsChild>
                    <w:div w:id="425537344">
                      <w:marLeft w:val="0"/>
                      <w:marRight w:val="0"/>
                      <w:marTop w:val="0"/>
                      <w:marBottom w:val="0"/>
                      <w:divBdr>
                        <w:top w:val="none" w:sz="0" w:space="0" w:color="auto"/>
                        <w:left w:val="none" w:sz="0" w:space="0" w:color="auto"/>
                        <w:bottom w:val="none" w:sz="0" w:space="0" w:color="auto"/>
                        <w:right w:val="none" w:sz="0" w:space="0" w:color="auto"/>
                      </w:divBdr>
                      <w:divsChild>
                        <w:div w:id="1050304840">
                          <w:marLeft w:val="0"/>
                          <w:marRight w:val="0"/>
                          <w:marTop w:val="0"/>
                          <w:marBottom w:val="0"/>
                          <w:divBdr>
                            <w:top w:val="none" w:sz="0" w:space="0" w:color="auto"/>
                            <w:left w:val="none" w:sz="0" w:space="0" w:color="auto"/>
                            <w:bottom w:val="none" w:sz="0" w:space="0" w:color="auto"/>
                            <w:right w:val="none" w:sz="0" w:space="0" w:color="auto"/>
                          </w:divBdr>
                          <w:divsChild>
                            <w:div w:id="686517277">
                              <w:marLeft w:val="0"/>
                              <w:marRight w:val="0"/>
                              <w:marTop w:val="0"/>
                              <w:marBottom w:val="0"/>
                              <w:divBdr>
                                <w:top w:val="none" w:sz="0" w:space="0" w:color="auto"/>
                                <w:left w:val="none" w:sz="0" w:space="0" w:color="auto"/>
                                <w:bottom w:val="none" w:sz="0" w:space="0" w:color="auto"/>
                                <w:right w:val="none" w:sz="0" w:space="0" w:color="auto"/>
                              </w:divBdr>
                              <w:divsChild>
                                <w:div w:id="1306621447">
                                  <w:marLeft w:val="0"/>
                                  <w:marRight w:val="0"/>
                                  <w:marTop w:val="0"/>
                                  <w:marBottom w:val="0"/>
                                  <w:divBdr>
                                    <w:top w:val="none" w:sz="0" w:space="0" w:color="auto"/>
                                    <w:left w:val="none" w:sz="0" w:space="0" w:color="auto"/>
                                    <w:bottom w:val="none" w:sz="0" w:space="0" w:color="auto"/>
                                    <w:right w:val="none" w:sz="0" w:space="0" w:color="auto"/>
                                  </w:divBdr>
                                  <w:divsChild>
                                    <w:div w:id="146015805">
                                      <w:marLeft w:val="0"/>
                                      <w:marRight w:val="0"/>
                                      <w:marTop w:val="0"/>
                                      <w:marBottom w:val="0"/>
                                      <w:divBdr>
                                        <w:top w:val="none" w:sz="0" w:space="0" w:color="auto"/>
                                        <w:left w:val="none" w:sz="0" w:space="0" w:color="auto"/>
                                        <w:bottom w:val="none" w:sz="0" w:space="0" w:color="auto"/>
                                        <w:right w:val="none" w:sz="0" w:space="0" w:color="auto"/>
                                      </w:divBdr>
                                      <w:divsChild>
                                        <w:div w:id="29696816">
                                          <w:marLeft w:val="0"/>
                                          <w:marRight w:val="0"/>
                                          <w:marTop w:val="0"/>
                                          <w:marBottom w:val="0"/>
                                          <w:divBdr>
                                            <w:top w:val="none" w:sz="0" w:space="0" w:color="auto"/>
                                            <w:left w:val="none" w:sz="0" w:space="0" w:color="auto"/>
                                            <w:bottom w:val="none" w:sz="0" w:space="0" w:color="auto"/>
                                            <w:right w:val="none" w:sz="0" w:space="0" w:color="auto"/>
                                          </w:divBdr>
                                          <w:divsChild>
                                            <w:div w:id="971790649">
                                              <w:marLeft w:val="0"/>
                                              <w:marRight w:val="0"/>
                                              <w:marTop w:val="0"/>
                                              <w:marBottom w:val="0"/>
                                              <w:divBdr>
                                                <w:top w:val="none" w:sz="0" w:space="0" w:color="auto"/>
                                                <w:left w:val="none" w:sz="0" w:space="0" w:color="auto"/>
                                                <w:bottom w:val="none" w:sz="0" w:space="0" w:color="auto"/>
                                                <w:right w:val="none" w:sz="0" w:space="0" w:color="auto"/>
                                              </w:divBdr>
                                              <w:divsChild>
                                                <w:div w:id="17007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141223">
      <w:bodyDiv w:val="1"/>
      <w:marLeft w:val="0"/>
      <w:marRight w:val="0"/>
      <w:marTop w:val="0"/>
      <w:marBottom w:val="0"/>
      <w:divBdr>
        <w:top w:val="none" w:sz="0" w:space="0" w:color="auto"/>
        <w:left w:val="none" w:sz="0" w:space="0" w:color="auto"/>
        <w:bottom w:val="none" w:sz="0" w:space="0" w:color="auto"/>
        <w:right w:val="none" w:sz="0" w:space="0" w:color="auto"/>
      </w:divBdr>
    </w:div>
    <w:div w:id="1249116564">
      <w:bodyDiv w:val="1"/>
      <w:marLeft w:val="0"/>
      <w:marRight w:val="0"/>
      <w:marTop w:val="0"/>
      <w:marBottom w:val="0"/>
      <w:divBdr>
        <w:top w:val="none" w:sz="0" w:space="0" w:color="auto"/>
        <w:left w:val="none" w:sz="0" w:space="0" w:color="auto"/>
        <w:bottom w:val="none" w:sz="0" w:space="0" w:color="auto"/>
        <w:right w:val="none" w:sz="0" w:space="0" w:color="auto"/>
      </w:divBdr>
    </w:div>
    <w:div w:id="1265386416">
      <w:bodyDiv w:val="1"/>
      <w:marLeft w:val="0"/>
      <w:marRight w:val="0"/>
      <w:marTop w:val="0"/>
      <w:marBottom w:val="0"/>
      <w:divBdr>
        <w:top w:val="none" w:sz="0" w:space="0" w:color="auto"/>
        <w:left w:val="none" w:sz="0" w:space="0" w:color="auto"/>
        <w:bottom w:val="none" w:sz="0" w:space="0" w:color="auto"/>
        <w:right w:val="none" w:sz="0" w:space="0" w:color="auto"/>
      </w:divBdr>
    </w:div>
    <w:div w:id="1269191381">
      <w:bodyDiv w:val="1"/>
      <w:marLeft w:val="0"/>
      <w:marRight w:val="0"/>
      <w:marTop w:val="0"/>
      <w:marBottom w:val="0"/>
      <w:divBdr>
        <w:top w:val="none" w:sz="0" w:space="0" w:color="auto"/>
        <w:left w:val="none" w:sz="0" w:space="0" w:color="auto"/>
        <w:bottom w:val="none" w:sz="0" w:space="0" w:color="auto"/>
        <w:right w:val="none" w:sz="0" w:space="0" w:color="auto"/>
      </w:divBdr>
    </w:div>
    <w:div w:id="1412316306">
      <w:bodyDiv w:val="1"/>
      <w:marLeft w:val="0"/>
      <w:marRight w:val="0"/>
      <w:marTop w:val="0"/>
      <w:marBottom w:val="0"/>
      <w:divBdr>
        <w:top w:val="none" w:sz="0" w:space="0" w:color="auto"/>
        <w:left w:val="none" w:sz="0" w:space="0" w:color="auto"/>
        <w:bottom w:val="none" w:sz="0" w:space="0" w:color="auto"/>
        <w:right w:val="none" w:sz="0" w:space="0" w:color="auto"/>
      </w:divBdr>
    </w:div>
    <w:div w:id="1440221029">
      <w:bodyDiv w:val="1"/>
      <w:marLeft w:val="0"/>
      <w:marRight w:val="0"/>
      <w:marTop w:val="0"/>
      <w:marBottom w:val="0"/>
      <w:divBdr>
        <w:top w:val="none" w:sz="0" w:space="0" w:color="auto"/>
        <w:left w:val="none" w:sz="0" w:space="0" w:color="auto"/>
        <w:bottom w:val="none" w:sz="0" w:space="0" w:color="auto"/>
        <w:right w:val="none" w:sz="0" w:space="0" w:color="auto"/>
      </w:divBdr>
    </w:div>
    <w:div w:id="1510371665">
      <w:bodyDiv w:val="1"/>
      <w:marLeft w:val="0"/>
      <w:marRight w:val="0"/>
      <w:marTop w:val="0"/>
      <w:marBottom w:val="0"/>
      <w:divBdr>
        <w:top w:val="none" w:sz="0" w:space="0" w:color="auto"/>
        <w:left w:val="none" w:sz="0" w:space="0" w:color="auto"/>
        <w:bottom w:val="none" w:sz="0" w:space="0" w:color="auto"/>
        <w:right w:val="none" w:sz="0" w:space="0" w:color="auto"/>
      </w:divBdr>
    </w:div>
    <w:div w:id="1699314590">
      <w:bodyDiv w:val="1"/>
      <w:marLeft w:val="0"/>
      <w:marRight w:val="0"/>
      <w:marTop w:val="0"/>
      <w:marBottom w:val="0"/>
      <w:divBdr>
        <w:top w:val="none" w:sz="0" w:space="0" w:color="auto"/>
        <w:left w:val="none" w:sz="0" w:space="0" w:color="auto"/>
        <w:bottom w:val="none" w:sz="0" w:space="0" w:color="auto"/>
        <w:right w:val="none" w:sz="0" w:space="0" w:color="auto"/>
      </w:divBdr>
    </w:div>
    <w:div w:id="1727757642">
      <w:bodyDiv w:val="1"/>
      <w:marLeft w:val="0"/>
      <w:marRight w:val="0"/>
      <w:marTop w:val="0"/>
      <w:marBottom w:val="0"/>
      <w:divBdr>
        <w:top w:val="none" w:sz="0" w:space="0" w:color="auto"/>
        <w:left w:val="none" w:sz="0" w:space="0" w:color="auto"/>
        <w:bottom w:val="none" w:sz="0" w:space="0" w:color="auto"/>
        <w:right w:val="none" w:sz="0" w:space="0" w:color="auto"/>
      </w:divBdr>
    </w:div>
    <w:div w:id="1738625694">
      <w:bodyDiv w:val="1"/>
      <w:marLeft w:val="0"/>
      <w:marRight w:val="0"/>
      <w:marTop w:val="0"/>
      <w:marBottom w:val="0"/>
      <w:divBdr>
        <w:top w:val="none" w:sz="0" w:space="0" w:color="auto"/>
        <w:left w:val="none" w:sz="0" w:space="0" w:color="auto"/>
        <w:bottom w:val="none" w:sz="0" w:space="0" w:color="auto"/>
        <w:right w:val="none" w:sz="0" w:space="0" w:color="auto"/>
      </w:divBdr>
    </w:div>
    <w:div w:id="1782796464">
      <w:bodyDiv w:val="1"/>
      <w:marLeft w:val="0"/>
      <w:marRight w:val="0"/>
      <w:marTop w:val="0"/>
      <w:marBottom w:val="0"/>
      <w:divBdr>
        <w:top w:val="none" w:sz="0" w:space="0" w:color="auto"/>
        <w:left w:val="none" w:sz="0" w:space="0" w:color="auto"/>
        <w:bottom w:val="none" w:sz="0" w:space="0" w:color="auto"/>
        <w:right w:val="none" w:sz="0" w:space="0" w:color="auto"/>
      </w:divBdr>
    </w:div>
    <w:div w:id="1841697220">
      <w:bodyDiv w:val="1"/>
      <w:marLeft w:val="0"/>
      <w:marRight w:val="0"/>
      <w:marTop w:val="0"/>
      <w:marBottom w:val="0"/>
      <w:divBdr>
        <w:top w:val="none" w:sz="0" w:space="0" w:color="auto"/>
        <w:left w:val="none" w:sz="0" w:space="0" w:color="auto"/>
        <w:bottom w:val="none" w:sz="0" w:space="0" w:color="auto"/>
        <w:right w:val="none" w:sz="0" w:space="0" w:color="auto"/>
      </w:divBdr>
    </w:div>
    <w:div w:id="1929002730">
      <w:bodyDiv w:val="1"/>
      <w:marLeft w:val="0"/>
      <w:marRight w:val="0"/>
      <w:marTop w:val="0"/>
      <w:marBottom w:val="0"/>
      <w:divBdr>
        <w:top w:val="none" w:sz="0" w:space="0" w:color="auto"/>
        <w:left w:val="none" w:sz="0" w:space="0" w:color="auto"/>
        <w:bottom w:val="none" w:sz="0" w:space="0" w:color="auto"/>
        <w:right w:val="none" w:sz="0" w:space="0" w:color="auto"/>
      </w:divBdr>
    </w:div>
    <w:div w:id="1999067148">
      <w:bodyDiv w:val="1"/>
      <w:marLeft w:val="0"/>
      <w:marRight w:val="0"/>
      <w:marTop w:val="0"/>
      <w:marBottom w:val="0"/>
      <w:divBdr>
        <w:top w:val="none" w:sz="0" w:space="0" w:color="auto"/>
        <w:left w:val="none" w:sz="0" w:space="0" w:color="auto"/>
        <w:bottom w:val="none" w:sz="0" w:space="0" w:color="auto"/>
        <w:right w:val="none" w:sz="0" w:space="0" w:color="auto"/>
      </w:divBdr>
    </w:div>
    <w:div w:id="2022969855">
      <w:bodyDiv w:val="1"/>
      <w:marLeft w:val="0"/>
      <w:marRight w:val="0"/>
      <w:marTop w:val="0"/>
      <w:marBottom w:val="0"/>
      <w:divBdr>
        <w:top w:val="none" w:sz="0" w:space="0" w:color="auto"/>
        <w:left w:val="none" w:sz="0" w:space="0" w:color="auto"/>
        <w:bottom w:val="none" w:sz="0" w:space="0" w:color="auto"/>
        <w:right w:val="none" w:sz="0" w:space="0" w:color="auto"/>
      </w:divBdr>
    </w:div>
    <w:div w:id="2087918183">
      <w:bodyDiv w:val="1"/>
      <w:marLeft w:val="0"/>
      <w:marRight w:val="0"/>
      <w:marTop w:val="0"/>
      <w:marBottom w:val="0"/>
      <w:divBdr>
        <w:top w:val="none" w:sz="0" w:space="0" w:color="auto"/>
        <w:left w:val="none" w:sz="0" w:space="0" w:color="auto"/>
        <w:bottom w:val="none" w:sz="0" w:space="0" w:color="auto"/>
        <w:right w:val="none" w:sz="0" w:space="0" w:color="auto"/>
      </w:divBdr>
    </w:div>
    <w:div w:id="2111269494">
      <w:bodyDiv w:val="1"/>
      <w:marLeft w:val="0"/>
      <w:marRight w:val="0"/>
      <w:marTop w:val="0"/>
      <w:marBottom w:val="0"/>
      <w:divBdr>
        <w:top w:val="none" w:sz="0" w:space="0" w:color="auto"/>
        <w:left w:val="none" w:sz="0" w:space="0" w:color="auto"/>
        <w:bottom w:val="none" w:sz="0" w:space="0" w:color="auto"/>
        <w:right w:val="none" w:sz="0" w:space="0" w:color="auto"/>
      </w:divBdr>
    </w:div>
    <w:div w:id="21251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bg/documents-publications/agreements-conventions/agreement/?aid=2016044" TargetMode="External"/><Relationship Id="rId1" Type="http://schemas.openxmlformats.org/officeDocument/2006/relationships/hyperlink" Target="http://www.consilium.europa.eu/bg/documents-publications/agreements-conventions/agreement/?aid=201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2D98-ED98-47B5-8910-47A0AA00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5930</Words>
  <Characters>30600</Characters>
  <Application>Microsoft Office Word</Application>
  <DocSecurity>0</DocSecurity>
  <Lines>900</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2017-08-22T14:34:00Z</cp:lastPrinted>
  <dcterms:created xsi:type="dcterms:W3CDTF">2017-08-22T14:19:00Z</dcterms:created>
  <dcterms:modified xsi:type="dcterms:W3CDTF">2017-10-02T10:03:00Z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