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B58C0CEA4C4EBBB19088DBD97495BB" style="width:450.8pt;height:320.55pt">
            <v:imagedata r:id="rId9" o:title=""/>
          </v:shape>
        </w:pict>
      </w:r>
    </w:p>
    <w:bookmarkEnd w:id="0"/>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Third Annual Report on the Implementation of the EU-Colombia/Peru Trade Agreement</w:t>
      </w:r>
    </w:p>
    <w:p>
      <w:pPr>
        <w:pStyle w:val="Heading1"/>
        <w:rPr>
          <w:noProof/>
          <w:sz w:val="28"/>
          <w:szCs w:val="28"/>
        </w:rPr>
      </w:pPr>
      <w:r>
        <w:rPr>
          <w:noProof/>
          <w:sz w:val="28"/>
          <w:szCs w:val="28"/>
        </w:rPr>
        <w:t xml:space="preserve">Introduction </w:t>
      </w:r>
    </w:p>
    <w:p>
      <w:pPr>
        <w:spacing w:after="0"/>
        <w:rPr>
          <w:rFonts w:eastAsia="Calibri"/>
          <w:noProof/>
          <w:szCs w:val="24"/>
        </w:rPr>
      </w:pPr>
      <w:r>
        <w:rPr>
          <w:rFonts w:eastAsia="Calibri"/>
          <w:noProof/>
        </w:rPr>
        <w:t xml:space="preserve">2016 was the fourth year of implementation of the </w:t>
      </w:r>
      <w:r>
        <w:rPr>
          <w:rFonts w:eastAsia="Calibri"/>
          <w:noProof/>
          <w:szCs w:val="24"/>
        </w:rPr>
        <w:t>Trade Agreement between the European Union and its Member States, of the one part, and Colombia and Peru, of the other part</w:t>
      </w:r>
      <w:r>
        <w:rPr>
          <w:rFonts w:eastAsia="Calibri"/>
          <w:noProof/>
          <w:szCs w:val="24"/>
          <w:vertAlign w:val="superscript"/>
        </w:rPr>
        <w:footnoteReference w:id="1"/>
      </w:r>
      <w:r>
        <w:rPr>
          <w:rFonts w:eastAsia="Calibri"/>
          <w:noProof/>
          <w:szCs w:val="24"/>
        </w:rPr>
        <w:t xml:space="preserve"> (hereafter the "Agreement"). The Agreement has </w:t>
      </w:r>
      <w:r>
        <w:rPr>
          <w:noProof/>
        </w:rPr>
        <w:t>been provisionally applied with Peru since March 2013 and with Colombia since August 2013</w:t>
      </w:r>
      <w:r>
        <w:rPr>
          <w:rFonts w:eastAsia="Calibri"/>
          <w:noProof/>
          <w:szCs w:val="24"/>
          <w:vertAlign w:val="superscript"/>
        </w:rPr>
        <w:footnoteReference w:id="2"/>
      </w:r>
      <w:r>
        <w:rPr>
          <w:rFonts w:eastAsia="Calibri"/>
          <w:noProof/>
          <w:szCs w:val="24"/>
        </w:rPr>
        <w:t>.</w:t>
      </w:r>
    </w:p>
    <w:p>
      <w:pPr>
        <w:spacing w:after="0"/>
        <w:rPr>
          <w:noProof/>
        </w:rPr>
      </w:pPr>
    </w:p>
    <w:p>
      <w:pPr>
        <w:autoSpaceDE w:val="0"/>
        <w:autoSpaceDN w:val="0"/>
        <w:adjustRightInd w:val="0"/>
        <w:spacing w:after="0"/>
        <w:rPr>
          <w:noProof/>
        </w:rPr>
      </w:pPr>
      <w:r>
        <w:rPr>
          <w:rFonts w:eastAsiaTheme="minorHAnsi"/>
          <w:noProof/>
          <w:szCs w:val="24"/>
        </w:rPr>
        <w:t xml:space="preserve">The Agreement saw its first amendment with the Protocol of Accession of Croatia to the EU. After completion of the </w:t>
      </w:r>
      <w:r>
        <w:rPr>
          <w:noProof/>
        </w:rPr>
        <w:t xml:space="preserve">ratification procedure by Peru on 6 April 2017, the Protocol entered into force with Peru on 1 May 2017. </w:t>
      </w:r>
    </w:p>
    <w:p>
      <w:pPr>
        <w:spacing w:after="0"/>
        <w:rPr>
          <w:rFonts w:eastAsia="Calibri"/>
          <w:noProof/>
          <w:szCs w:val="24"/>
        </w:rPr>
      </w:pPr>
    </w:p>
    <w:p>
      <w:pPr>
        <w:spacing w:after="0"/>
        <w:rPr>
          <w:rFonts w:eastAsia="Calibri"/>
          <w:noProof/>
          <w:szCs w:val="24"/>
        </w:rPr>
      </w:pPr>
      <w:r>
        <w:rPr>
          <w:rFonts w:eastAsiaTheme="minorHAnsi"/>
          <w:noProof/>
          <w:szCs w:val="24"/>
        </w:rPr>
        <w:t xml:space="preserve">The Agreement also saw its second amendment with the Protocol of Accession of Ecuador, which </w:t>
      </w:r>
      <w:r>
        <w:rPr>
          <w:rFonts w:eastAsia="Calibri"/>
          <w:noProof/>
          <w:szCs w:val="24"/>
        </w:rPr>
        <w:t>has been provisionally applied since 1 January 2017. The ratification process in Colombia and Peru as well as in EU Member States is ongoing</w:t>
      </w:r>
      <w:r>
        <w:rPr>
          <w:rStyle w:val="FootnoteReference"/>
          <w:rFonts w:eastAsia="Calibri"/>
          <w:noProof/>
          <w:szCs w:val="24"/>
        </w:rPr>
        <w:footnoteReference w:id="3"/>
      </w:r>
      <w:r>
        <w:rPr>
          <w:rFonts w:eastAsia="Calibri"/>
          <w:noProof/>
          <w:szCs w:val="24"/>
        </w:rPr>
        <w:t xml:space="preserve">. </w:t>
      </w:r>
    </w:p>
    <w:p>
      <w:pPr>
        <w:spacing w:after="0"/>
        <w:rPr>
          <w:rFonts w:eastAsia="Calibri"/>
          <w:noProof/>
          <w:szCs w:val="24"/>
        </w:rPr>
      </w:pPr>
    </w:p>
    <w:p>
      <w:pPr>
        <w:spacing w:after="0"/>
        <w:rPr>
          <w:rFonts w:eastAsiaTheme="minorHAnsi"/>
          <w:noProof/>
          <w:szCs w:val="24"/>
        </w:rPr>
      </w:pPr>
      <w:r>
        <w:rPr>
          <w:rFonts w:eastAsiaTheme="minorHAnsi"/>
          <w:noProof/>
          <w:szCs w:val="24"/>
        </w:rPr>
        <w:t>In accordance with Article 13 of Regulation (EU) No 19/2013 of the European Parliament and of the Council of 15 January 2013 implementing the bilateral safeguard clause and the stabilisation mechanism for bananas of the Trade Agreement between the European Union and its Member States, of the one part, and Colombia and Peru, of the other part</w:t>
      </w:r>
      <w:r>
        <w:rPr>
          <w:rFonts w:eastAsiaTheme="minorHAnsi"/>
          <w:noProof/>
          <w:vertAlign w:val="superscript"/>
        </w:rPr>
        <w:footnoteReference w:id="4"/>
      </w:r>
      <w:r>
        <w:rPr>
          <w:rFonts w:eastAsiaTheme="minorHAnsi"/>
          <w:noProof/>
          <w:szCs w:val="24"/>
          <w:vertAlign w:val="superscript"/>
        </w:rPr>
        <w:t xml:space="preserve"> </w:t>
      </w:r>
      <w:r>
        <w:rPr>
          <w:rFonts w:eastAsiaTheme="minorHAnsi"/>
          <w:noProof/>
          <w:szCs w:val="24"/>
        </w:rPr>
        <w:t xml:space="preserve">(hereafter the "Regulation"), the Commission committed to submit an annual report to the European Parliament and the Council on the application, implementation and fulfilment of obligations of the Agreement and the Regulation. The report responds to this requirement. </w:t>
      </w:r>
    </w:p>
    <w:p>
      <w:pPr>
        <w:pStyle w:val="Heading1"/>
        <w:rPr>
          <w:noProof/>
          <w:sz w:val="28"/>
          <w:szCs w:val="28"/>
        </w:rPr>
      </w:pPr>
      <w:r>
        <w:rPr>
          <w:noProof/>
          <w:sz w:val="28"/>
          <w:szCs w:val="28"/>
        </w:rPr>
        <w:t xml:space="preserve">Methodology used for the analysis </w:t>
      </w:r>
    </w:p>
    <w:p>
      <w:pPr>
        <w:spacing w:after="0"/>
        <w:rPr>
          <w:rFonts w:eastAsiaTheme="minorHAnsi"/>
          <w:noProof/>
          <w:szCs w:val="24"/>
        </w:rPr>
      </w:pPr>
      <w:r>
        <w:rPr>
          <w:rFonts w:eastAsia="Calibri"/>
          <w:noProof/>
          <w:szCs w:val="24"/>
        </w:rPr>
        <w:t xml:space="preserve">The analysis of bilateral trade flows is based on a comparison of </w:t>
      </w:r>
      <w:r>
        <w:rPr>
          <w:rFonts w:eastAsia="Calibri"/>
          <w:noProof/>
        </w:rPr>
        <w:t xml:space="preserve">EUROSTAT </w:t>
      </w:r>
      <w:r>
        <w:rPr>
          <w:rFonts w:eastAsia="Calibri"/>
          <w:noProof/>
          <w:szCs w:val="24"/>
        </w:rPr>
        <w:t xml:space="preserve">data for the fourth year of implementation of the Agreement (calendar year 2016) with the data for the calendar year immediately preceding the Agreement (2012). </w:t>
      </w:r>
      <w:r>
        <w:rPr>
          <w:rFonts w:eastAsiaTheme="minorHAnsi"/>
          <w:noProof/>
          <w:szCs w:val="24"/>
        </w:rPr>
        <w:t xml:space="preserve">For trade in services and investments flows and stocks, the analysis is based on annual data until 2015. </w:t>
      </w:r>
    </w:p>
    <w:p>
      <w:pPr>
        <w:autoSpaceDE w:val="0"/>
        <w:autoSpaceDN w:val="0"/>
        <w:adjustRightInd w:val="0"/>
        <w:spacing w:after="0"/>
        <w:jc w:val="left"/>
        <w:rPr>
          <w:rFonts w:eastAsiaTheme="minorHAnsi"/>
          <w:noProof/>
          <w:szCs w:val="24"/>
        </w:rPr>
      </w:pPr>
    </w:p>
    <w:p>
      <w:pPr>
        <w:autoSpaceDE w:val="0"/>
        <w:autoSpaceDN w:val="0"/>
        <w:adjustRightInd w:val="0"/>
        <w:spacing w:after="0"/>
        <w:rPr>
          <w:rFonts w:eastAsiaTheme="minorHAnsi"/>
          <w:noProof/>
          <w:szCs w:val="24"/>
        </w:rPr>
      </w:pPr>
      <w:r>
        <w:rPr>
          <w:rFonts w:eastAsiaTheme="minorHAnsi"/>
          <w:noProof/>
          <w:szCs w:val="24"/>
        </w:rPr>
        <w:t xml:space="preserve">Overall it should be noted that the causes for the fluctuation of trade flows reflect a multitude of factors and cannot be attributed solely to the existence or degree of advancement in the implementation of the Agreement.  </w:t>
      </w:r>
    </w:p>
    <w:p>
      <w:pPr>
        <w:rPr>
          <w:rFonts w:eastAsiaTheme="minorHAnsi"/>
          <w:noProof/>
        </w:rPr>
      </w:pPr>
      <w:r>
        <w:rPr>
          <w:rFonts w:eastAsiaTheme="minorHAnsi"/>
          <w:noProof/>
        </w:rPr>
        <w:br w:type="page"/>
      </w:r>
    </w:p>
    <w:p>
      <w:pPr>
        <w:pStyle w:val="Heading1"/>
        <w:tabs>
          <w:tab w:val="clear" w:pos="480"/>
        </w:tabs>
        <w:rPr>
          <w:noProof/>
          <w:sz w:val="28"/>
          <w:szCs w:val="28"/>
        </w:rPr>
      </w:pPr>
      <w:r>
        <w:rPr>
          <w:noProof/>
          <w:sz w:val="28"/>
          <w:szCs w:val="28"/>
        </w:rPr>
        <w:t>Evolution of trade (year-to-year and since the start of provisional application)</w:t>
      </w:r>
    </w:p>
    <w:p>
      <w:pPr>
        <w:ind w:left="480" w:hanging="480"/>
        <w:rPr>
          <w:b/>
          <w:noProof/>
        </w:rPr>
      </w:pPr>
      <w:r>
        <w:rPr>
          <w:b/>
          <w:noProof/>
        </w:rPr>
        <w:t>3.1</w:t>
      </w:r>
      <w:r>
        <w:rPr>
          <w:b/>
          <w:noProof/>
        </w:rPr>
        <w:tab/>
        <w:t xml:space="preserve">Trade in Goods </w:t>
      </w:r>
    </w:p>
    <w:p>
      <w:pPr>
        <w:ind w:left="480" w:hanging="480"/>
        <w:rPr>
          <w:rFonts w:eastAsiaTheme="minorHAnsi"/>
          <w:b/>
          <w:noProof/>
          <w:szCs w:val="24"/>
          <w:u w:val="single"/>
        </w:rPr>
      </w:pPr>
      <w:r>
        <w:rPr>
          <w:rFonts w:eastAsiaTheme="minorHAnsi"/>
          <w:b/>
          <w:noProof/>
          <w:szCs w:val="24"/>
          <w:u w:val="single"/>
        </w:rPr>
        <w:t xml:space="preserve">Colombia </w:t>
      </w:r>
    </w:p>
    <w:p>
      <w:pPr>
        <w:rPr>
          <w:noProof/>
          <w:color w:val="000000" w:themeColor="text1"/>
        </w:rPr>
      </w:pPr>
      <w:r>
        <w:rPr>
          <w:noProof/>
          <w:color w:val="000000" w:themeColor="text1"/>
        </w:rPr>
        <w:t>The EU is Colombia's second trading partner, after the US</w:t>
      </w:r>
      <w:r>
        <w:rPr>
          <w:noProof/>
          <w:color w:val="000000" w:themeColor="text1"/>
          <w:szCs w:val="24"/>
        </w:rPr>
        <w:t xml:space="preserve">. Following an increase between 2012 and 2014, trade between the EU and Colombia declined in the past two years. This appears mainly due to a slow-down in external demand in Colombia and the </w:t>
      </w:r>
      <w:r>
        <w:rPr>
          <w:noProof/>
          <w:color w:val="000000" w:themeColor="text1"/>
        </w:rPr>
        <w:t xml:space="preserve">fall in international commodity prices, which affected Colombia’s export of mineral products. While bilateral trade in 2016 was 23.5% lower than in 2012, Colombia's total trade with the rest of the world decreased by about 36% during the same period. </w:t>
      </w:r>
    </w:p>
    <w:p>
      <w:pPr>
        <w:rPr>
          <w:noProof/>
        </w:rPr>
      </w:pPr>
      <w:r>
        <w:rPr>
          <w:noProof/>
        </w:rPr>
        <w:t xml:space="preserve">In 2016, </w:t>
      </w:r>
      <w:r>
        <w:rPr>
          <w:noProof/>
          <w:u w:val="single"/>
        </w:rPr>
        <w:t>bilateral trade</w:t>
      </w:r>
      <w:r>
        <w:rPr>
          <w:noProof/>
        </w:rPr>
        <w:t xml:space="preserve"> amounted to 10.8 billion EUR compared to 14.2 billion EUR in 2012, resulting in a small trade surplus for the EU for the first time in a decade. </w:t>
      </w:r>
    </w:p>
    <w:p>
      <w:pPr>
        <w:rPr>
          <w:noProof/>
        </w:rPr>
      </w:pPr>
      <w:r>
        <w:rPr>
          <w:noProof/>
          <w:u w:val="single"/>
        </w:rPr>
        <w:t>EU exports</w:t>
      </w:r>
      <w:r>
        <w:rPr>
          <w:noProof/>
        </w:rPr>
        <w:t xml:space="preserve"> to Colombia increased from 5.5 billion EUR in 2012 to 6.5 billion EUR in 2015, but decreased by 15% in 2016 to 5.4 billion EUR. This is in line with the trend of reduced imports to Colombia from the rest of the world. </w:t>
      </w:r>
    </w:p>
    <w:p>
      <w:pPr>
        <w:rPr>
          <w:b/>
          <w:noProof/>
        </w:rPr>
      </w:pPr>
      <w:r>
        <w:rPr>
          <w:noProof/>
          <w:u w:val="single"/>
        </w:rPr>
        <w:t>EU imports</w:t>
      </w:r>
      <w:r>
        <w:rPr>
          <w:noProof/>
        </w:rPr>
        <w:t xml:space="preserve"> from Colombia amounted to 5.4 billion EUR in 2016, decreasing from 6.7 billion EUR in 2015 and 8.6 billion EUR in 2012 (37.5% drop). However, Colombia's overall exports decreased by 48% over the same period. </w:t>
      </w:r>
    </w:p>
    <w:p>
      <w:pPr>
        <w:spacing w:after="0"/>
        <w:jc w:val="center"/>
        <w:rPr>
          <w:rFonts w:eastAsiaTheme="minorHAnsi"/>
          <w:b/>
          <w:noProof/>
          <w:szCs w:val="24"/>
        </w:rPr>
      </w:pPr>
      <w:r>
        <w:rPr>
          <w:rFonts w:eastAsiaTheme="minorHAnsi"/>
          <w:b/>
          <w:noProof/>
          <w:szCs w:val="24"/>
        </w:rPr>
        <w:t>Table 1: EU-Colombia bilateral trade in goods 2012-2016 (million EUR)</w:t>
      </w:r>
    </w:p>
    <w:p>
      <w:pPr>
        <w:spacing w:after="0"/>
        <w:jc w:val="center"/>
        <w:rPr>
          <w:rFonts w:eastAsiaTheme="minorHAnsi"/>
          <w:b/>
          <w:noProof/>
          <w:szCs w:val="24"/>
        </w:rPr>
      </w:pPr>
    </w:p>
    <w:p>
      <w:pPr>
        <w:spacing w:after="0"/>
        <w:jc w:val="center"/>
        <w:rPr>
          <w:rFonts w:eastAsiaTheme="minorHAnsi"/>
          <w:b/>
          <w:noProof/>
          <w:szCs w:val="24"/>
        </w:rPr>
      </w:pPr>
      <w:r>
        <w:rPr>
          <w:noProof/>
          <w:lang w:val="en-US"/>
        </w:rPr>
        <w:drawing>
          <wp:inline distT="0" distB="0" distL="0" distR="0">
            <wp:extent cx="4611756" cy="2067339"/>
            <wp:effectExtent l="0" t="0" r="1778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0"/>
        <w:ind w:left="480" w:hanging="480"/>
        <w:jc w:val="center"/>
        <w:rPr>
          <w:noProof/>
          <w:sz w:val="20"/>
        </w:rPr>
      </w:pPr>
      <w:r>
        <w:rPr>
          <w:noProof/>
          <w:sz w:val="20"/>
        </w:rPr>
        <w:t>Source: Eurostat</w:t>
      </w:r>
    </w:p>
    <w:p>
      <w:pPr>
        <w:ind w:left="480" w:hanging="480"/>
        <w:rPr>
          <w:b/>
          <w:noProof/>
          <w:u w:val="single"/>
        </w:rPr>
      </w:pPr>
      <w:r>
        <w:rPr>
          <w:b/>
          <w:noProof/>
          <w:u w:val="single"/>
        </w:rPr>
        <w:t>Sectoral effects</w:t>
      </w:r>
    </w:p>
    <w:p>
      <w:pPr>
        <w:ind w:left="480" w:hanging="480"/>
        <w:rPr>
          <w:noProof/>
        </w:rPr>
      </w:pPr>
      <w:r>
        <w:rPr>
          <w:noProof/>
        </w:rPr>
        <w:t xml:space="preserve">In terms of </w:t>
      </w:r>
      <w:r>
        <w:rPr>
          <w:noProof/>
          <w:u w:val="single"/>
        </w:rPr>
        <w:t>EU exports to Colombia</w:t>
      </w:r>
      <w:r>
        <w:rPr>
          <w:noProof/>
        </w:rPr>
        <w:t>, the most important categories in 2016 are:</w:t>
      </w:r>
    </w:p>
    <w:p>
      <w:pPr>
        <w:pStyle w:val="ListParagraph"/>
        <w:numPr>
          <w:ilvl w:val="0"/>
          <w:numId w:val="5"/>
        </w:numPr>
        <w:rPr>
          <w:noProof/>
          <w:szCs w:val="24"/>
        </w:rPr>
      </w:pPr>
      <w:r>
        <w:rPr>
          <w:noProof/>
          <w:szCs w:val="24"/>
        </w:rPr>
        <w:t>Machinery and mechanical appliances (HS84), 16.1% of EU exports, declining by 24.6% compared to 2012, mainly due to lower investment demand;</w:t>
      </w:r>
    </w:p>
    <w:p>
      <w:pPr>
        <w:pStyle w:val="ListParagraph"/>
        <w:numPr>
          <w:ilvl w:val="0"/>
          <w:numId w:val="5"/>
        </w:numPr>
        <w:rPr>
          <w:noProof/>
          <w:szCs w:val="24"/>
        </w:rPr>
      </w:pPr>
      <w:r>
        <w:rPr>
          <w:noProof/>
          <w:szCs w:val="24"/>
        </w:rPr>
        <w:t>Pharmaceutical products (HS30), 13% of exports, increasing by 12.5%;</w:t>
      </w:r>
    </w:p>
    <w:p>
      <w:pPr>
        <w:pStyle w:val="ListParagraph"/>
        <w:numPr>
          <w:ilvl w:val="0"/>
          <w:numId w:val="5"/>
        </w:numPr>
        <w:rPr>
          <w:noProof/>
          <w:szCs w:val="24"/>
        </w:rPr>
      </w:pPr>
      <w:r>
        <w:rPr>
          <w:noProof/>
          <w:szCs w:val="24"/>
        </w:rPr>
        <w:t>Vehicles and parts (HS87), 8.5% of EU exports, increasing by 2.1%;</w:t>
      </w:r>
    </w:p>
    <w:p>
      <w:pPr>
        <w:pStyle w:val="ListParagraph"/>
        <w:numPr>
          <w:ilvl w:val="0"/>
          <w:numId w:val="5"/>
        </w:numPr>
        <w:rPr>
          <w:noProof/>
          <w:szCs w:val="24"/>
        </w:rPr>
      </w:pPr>
      <w:r>
        <w:rPr>
          <w:noProof/>
          <w:szCs w:val="24"/>
        </w:rPr>
        <w:t>Medical (and other) instruments (HS90) and plastics and plastic articles (HS39) increased each by 11%;</w:t>
      </w:r>
    </w:p>
    <w:p>
      <w:pPr>
        <w:pStyle w:val="ListParagraph"/>
        <w:numPr>
          <w:ilvl w:val="0"/>
          <w:numId w:val="6"/>
        </w:numPr>
        <w:rPr>
          <w:noProof/>
          <w:szCs w:val="24"/>
        </w:rPr>
      </w:pPr>
      <w:r>
        <w:rPr>
          <w:noProof/>
          <w:szCs w:val="24"/>
        </w:rPr>
        <w:t xml:space="preserve">Total </w:t>
      </w:r>
      <w:r>
        <w:rPr>
          <w:noProof/>
        </w:rPr>
        <w:t xml:space="preserve">EU exports of agricultural products (HS01 to 24) increased by 82% since 2012, a trend </w:t>
      </w:r>
      <w:r>
        <w:rPr>
          <w:noProof/>
          <w:szCs w:val="24"/>
        </w:rPr>
        <w:t>across most product categories largely attributed to progress in the implementation of the Sanitary and Phytosanitary chapter.</w:t>
      </w:r>
    </w:p>
    <w:p>
      <w:pPr>
        <w:ind w:left="480" w:hanging="480"/>
        <w:rPr>
          <w:noProof/>
          <w:szCs w:val="24"/>
        </w:rPr>
      </w:pPr>
      <w:r>
        <w:rPr>
          <w:noProof/>
          <w:szCs w:val="24"/>
        </w:rPr>
        <w:t xml:space="preserve">As for </w:t>
      </w:r>
      <w:r>
        <w:rPr>
          <w:noProof/>
          <w:szCs w:val="24"/>
          <w:u w:val="single"/>
        </w:rPr>
        <w:t>EU imports from Colombia</w:t>
      </w:r>
      <w:r>
        <w:rPr>
          <w:noProof/>
          <w:szCs w:val="24"/>
        </w:rPr>
        <w:t>, the main categories are:</w:t>
      </w:r>
    </w:p>
    <w:p>
      <w:pPr>
        <w:pStyle w:val="ListParagraph"/>
        <w:numPr>
          <w:ilvl w:val="0"/>
          <w:numId w:val="6"/>
        </w:numPr>
        <w:rPr>
          <w:noProof/>
          <w:szCs w:val="24"/>
        </w:rPr>
      </w:pPr>
      <w:r>
        <w:rPr>
          <w:noProof/>
          <w:szCs w:val="24"/>
        </w:rPr>
        <w:t>Minerals (HS27), 51.3% of EU imports, versus 68.5% in 2012;</w:t>
      </w:r>
    </w:p>
    <w:p>
      <w:pPr>
        <w:pStyle w:val="ListParagraph"/>
        <w:numPr>
          <w:ilvl w:val="0"/>
          <w:numId w:val="6"/>
        </w:numPr>
        <w:rPr>
          <w:noProof/>
          <w:szCs w:val="24"/>
        </w:rPr>
      </w:pPr>
      <w:r>
        <w:rPr>
          <w:noProof/>
          <w:szCs w:val="24"/>
        </w:rPr>
        <w:t>Fruits (HS08), 18% almost doubling from 9.6% in 2012 (besides bananas, other tropical fruits registered important increase);</w:t>
      </w:r>
    </w:p>
    <w:p>
      <w:pPr>
        <w:pStyle w:val="ListParagraph"/>
        <w:numPr>
          <w:ilvl w:val="0"/>
          <w:numId w:val="6"/>
        </w:numPr>
        <w:rPr>
          <w:noProof/>
          <w:color w:val="000000" w:themeColor="text1"/>
          <w:szCs w:val="24"/>
        </w:rPr>
      </w:pPr>
      <w:r>
        <w:rPr>
          <w:noProof/>
          <w:szCs w:val="24"/>
        </w:rPr>
        <w:t>Coffee</w:t>
      </w:r>
      <w:r>
        <w:rPr>
          <w:rFonts w:eastAsia="Calibri"/>
          <w:noProof/>
          <w:szCs w:val="24"/>
        </w:rPr>
        <w:t xml:space="preserve"> (HS09),</w:t>
      </w:r>
      <w:r>
        <w:rPr>
          <w:noProof/>
          <w:szCs w:val="24"/>
        </w:rPr>
        <w:t xml:space="preserve"> increasing by 44.9%, now representing </w:t>
      </w:r>
      <w:r>
        <w:rPr>
          <w:noProof/>
          <w:color w:val="000000" w:themeColor="text1"/>
          <w:szCs w:val="24"/>
        </w:rPr>
        <w:t>10.9% of EU imports;</w:t>
      </w:r>
    </w:p>
    <w:p>
      <w:pPr>
        <w:pStyle w:val="ListParagraph"/>
        <w:numPr>
          <w:ilvl w:val="0"/>
          <w:numId w:val="18"/>
        </w:numPr>
        <w:contextualSpacing w:val="0"/>
        <w:rPr>
          <w:noProof/>
          <w:color w:val="000000" w:themeColor="text1"/>
        </w:rPr>
      </w:pPr>
      <w:r>
        <w:rPr>
          <w:noProof/>
          <w:color w:val="000000" w:themeColor="text1"/>
        </w:rPr>
        <w:t xml:space="preserve">Total EU imports of agricultural products (HS01 to 24) increased by 32.9% since 2012. </w:t>
      </w:r>
    </w:p>
    <w:p>
      <w:pPr>
        <w:spacing w:after="0"/>
        <w:jc w:val="left"/>
        <w:rPr>
          <w:b/>
          <w:noProof/>
          <w:szCs w:val="24"/>
          <w:u w:val="single"/>
        </w:rPr>
      </w:pPr>
      <w:r>
        <w:rPr>
          <w:b/>
          <w:noProof/>
          <w:szCs w:val="24"/>
          <w:u w:val="single"/>
        </w:rPr>
        <w:t xml:space="preserve">Peru </w:t>
      </w:r>
    </w:p>
    <w:p>
      <w:pPr>
        <w:spacing w:after="0"/>
        <w:jc w:val="left"/>
        <w:rPr>
          <w:b/>
          <w:noProof/>
          <w:szCs w:val="24"/>
          <w:u w:val="single"/>
        </w:rPr>
      </w:pPr>
    </w:p>
    <w:p>
      <w:pPr>
        <w:rPr>
          <w:noProof/>
          <w:color w:val="000000" w:themeColor="text1"/>
        </w:rPr>
      </w:pPr>
      <w:r>
        <w:rPr>
          <w:noProof/>
          <w:color w:val="000000" w:themeColor="text1"/>
        </w:rPr>
        <w:t>The EU is Peru's third trading partner, after China and the US.</w:t>
      </w:r>
      <w:r>
        <w:rPr>
          <w:noProof/>
          <w:szCs w:val="24"/>
        </w:rPr>
        <w:t xml:space="preserve"> In 2016, bilateral trade slightly declined, mainly due to the reduction in external demand and the fall in global prices of raw materials. </w:t>
      </w:r>
      <w:r>
        <w:rPr>
          <w:noProof/>
          <w:color w:val="000000" w:themeColor="text1"/>
        </w:rPr>
        <w:t xml:space="preserve">Peru's overall trade with the rest of the world decreased by 18% between 2012 and 2016, compared to 11% with the EU. </w:t>
      </w:r>
    </w:p>
    <w:p>
      <w:pPr>
        <w:rPr>
          <w:noProof/>
        </w:rPr>
      </w:pPr>
      <w:r>
        <w:rPr>
          <w:noProof/>
          <w:u w:val="single"/>
        </w:rPr>
        <w:t>Bilateral trade</w:t>
      </w:r>
      <w:r>
        <w:rPr>
          <w:noProof/>
        </w:rPr>
        <w:t xml:space="preserve"> amounted to 8.7 billion EUR in 2016, an 11% decrease compared to 2012, with the EU reducing its trade deficit compared to 2012.</w:t>
      </w:r>
    </w:p>
    <w:p>
      <w:pPr>
        <w:rPr>
          <w:noProof/>
          <w:szCs w:val="24"/>
        </w:rPr>
      </w:pPr>
      <w:r>
        <w:rPr>
          <w:noProof/>
          <w:szCs w:val="24"/>
          <w:u w:val="single"/>
        </w:rPr>
        <w:t>EU imports</w:t>
      </w:r>
      <w:r>
        <w:rPr>
          <w:noProof/>
          <w:szCs w:val="24"/>
        </w:rPr>
        <w:t xml:space="preserve"> from Peru declined by 4% since 2012, compared to a decline in global exports from Peru of 14%. </w:t>
      </w:r>
    </w:p>
    <w:p>
      <w:pPr>
        <w:rPr>
          <w:noProof/>
          <w:szCs w:val="24"/>
        </w:rPr>
      </w:pPr>
      <w:r>
        <w:rPr>
          <w:noProof/>
          <w:szCs w:val="24"/>
          <w:u w:val="single"/>
        </w:rPr>
        <w:t>EU exports</w:t>
      </w:r>
      <w:r>
        <w:rPr>
          <w:noProof/>
          <w:szCs w:val="24"/>
        </w:rPr>
        <w:t xml:space="preserve"> to Peru have grown by 4% over the same period, in contrast to a decrease by 22% in overall imports from Peru.  </w:t>
      </w:r>
    </w:p>
    <w:p>
      <w:pPr>
        <w:ind w:left="480" w:hanging="480"/>
        <w:jc w:val="center"/>
        <w:rPr>
          <w:rFonts w:eastAsiaTheme="minorHAnsi"/>
          <w:b/>
          <w:noProof/>
          <w:szCs w:val="24"/>
        </w:rPr>
      </w:pPr>
      <w:r>
        <w:rPr>
          <w:rFonts w:eastAsiaTheme="minorHAnsi"/>
          <w:b/>
          <w:noProof/>
          <w:szCs w:val="24"/>
        </w:rPr>
        <w:t>Table 2: EU-Peru bilateral trade in goods 2012-2016 (million EUR)</w:t>
      </w:r>
    </w:p>
    <w:p>
      <w:pPr>
        <w:spacing w:after="0"/>
        <w:ind w:left="480" w:hanging="480"/>
        <w:jc w:val="center"/>
        <w:rPr>
          <w:rFonts w:eastAsiaTheme="minorHAnsi"/>
          <w:b/>
          <w:noProof/>
          <w:szCs w:val="24"/>
        </w:rPr>
      </w:pPr>
      <w:r>
        <w:rPr>
          <w:noProof/>
          <w:lang w:val="en-US"/>
        </w:rPr>
        <w:drawing>
          <wp:inline distT="0" distB="0" distL="0" distR="0">
            <wp:extent cx="3967701" cy="1971924"/>
            <wp:effectExtent l="0" t="0" r="1397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0"/>
        <w:ind w:left="480" w:hanging="480"/>
        <w:jc w:val="center"/>
        <w:rPr>
          <w:noProof/>
          <w:sz w:val="20"/>
        </w:rPr>
      </w:pPr>
      <w:r>
        <w:rPr>
          <w:noProof/>
          <w:sz w:val="20"/>
        </w:rPr>
        <w:t xml:space="preserve">Source: Eurostat </w:t>
      </w:r>
    </w:p>
    <w:p>
      <w:pPr>
        <w:jc w:val="left"/>
        <w:rPr>
          <w:b/>
          <w:noProof/>
          <w:u w:val="single"/>
        </w:rPr>
      </w:pPr>
      <w:r>
        <w:rPr>
          <w:b/>
          <w:noProof/>
          <w:u w:val="single"/>
        </w:rPr>
        <w:t>Sectoral effects</w:t>
      </w:r>
    </w:p>
    <w:p>
      <w:pPr>
        <w:ind w:left="480" w:hanging="480"/>
        <w:rPr>
          <w:noProof/>
        </w:rPr>
      </w:pPr>
      <w:r>
        <w:rPr>
          <w:noProof/>
        </w:rPr>
        <w:t xml:space="preserve">In terms of </w:t>
      </w:r>
      <w:r>
        <w:rPr>
          <w:noProof/>
          <w:u w:val="single"/>
        </w:rPr>
        <w:t>EU exports to Peru</w:t>
      </w:r>
      <w:r>
        <w:rPr>
          <w:noProof/>
        </w:rPr>
        <w:t>, the most important categories in 2016 are:</w:t>
      </w:r>
    </w:p>
    <w:p>
      <w:pPr>
        <w:pStyle w:val="ListParagraph"/>
        <w:numPr>
          <w:ilvl w:val="0"/>
          <w:numId w:val="12"/>
        </w:numPr>
        <w:spacing w:after="0"/>
        <w:rPr>
          <w:rFonts w:eastAsia="Calibri"/>
          <w:noProof/>
          <w:szCs w:val="24"/>
        </w:rPr>
      </w:pPr>
      <w:r>
        <w:rPr>
          <w:rFonts w:eastAsia="Calibri"/>
          <w:noProof/>
          <w:szCs w:val="24"/>
        </w:rPr>
        <w:t xml:space="preserve">Machinery and mechanical appliances (HS84), 27% of exports versus 34% in 2012; </w:t>
      </w:r>
    </w:p>
    <w:p>
      <w:pPr>
        <w:pStyle w:val="ListParagraph"/>
        <w:numPr>
          <w:ilvl w:val="0"/>
          <w:numId w:val="12"/>
        </w:numPr>
        <w:spacing w:after="0"/>
        <w:rPr>
          <w:rFonts w:eastAsia="Calibri"/>
          <w:noProof/>
          <w:szCs w:val="24"/>
        </w:rPr>
      </w:pPr>
      <w:r>
        <w:rPr>
          <w:rFonts w:eastAsia="Calibri"/>
          <w:noProof/>
          <w:szCs w:val="24"/>
        </w:rPr>
        <w:t xml:space="preserve">Electrical appliances (HS85), 9% of exports, a 15% decrease since 2012;  </w:t>
      </w:r>
    </w:p>
    <w:p>
      <w:pPr>
        <w:pStyle w:val="ListParagraph"/>
        <w:numPr>
          <w:ilvl w:val="0"/>
          <w:numId w:val="12"/>
        </w:numPr>
        <w:spacing w:after="0"/>
        <w:rPr>
          <w:rFonts w:eastAsia="Calibri"/>
          <w:noProof/>
          <w:szCs w:val="24"/>
        </w:rPr>
      </w:pPr>
      <w:r>
        <w:rPr>
          <w:rFonts w:eastAsia="Calibri"/>
          <w:noProof/>
          <w:szCs w:val="24"/>
        </w:rPr>
        <w:t xml:space="preserve">Motor vehicles (HS87), 8% of exports, with cars increasing by 17% and trucks by 9%; </w:t>
      </w:r>
    </w:p>
    <w:p>
      <w:pPr>
        <w:pStyle w:val="ListParagraph"/>
        <w:numPr>
          <w:ilvl w:val="0"/>
          <w:numId w:val="12"/>
        </w:numPr>
        <w:spacing w:after="0"/>
        <w:rPr>
          <w:rFonts w:eastAsia="Calibri"/>
          <w:noProof/>
          <w:szCs w:val="24"/>
        </w:rPr>
      </w:pPr>
      <w:r>
        <w:rPr>
          <w:rFonts w:eastAsia="Calibri"/>
          <w:noProof/>
          <w:szCs w:val="24"/>
        </w:rPr>
        <w:t>Pharmaceutical products (HS30), 5% of EU exports (a 76% increase since 2012);</w:t>
      </w:r>
    </w:p>
    <w:p>
      <w:pPr>
        <w:pStyle w:val="ListParagraph"/>
        <w:numPr>
          <w:ilvl w:val="0"/>
          <w:numId w:val="12"/>
        </w:numPr>
        <w:spacing w:after="0"/>
        <w:rPr>
          <w:rFonts w:eastAsia="Calibri"/>
          <w:noProof/>
          <w:szCs w:val="24"/>
        </w:rPr>
      </w:pPr>
      <w:r>
        <w:rPr>
          <w:rFonts w:eastAsia="Calibri"/>
          <w:noProof/>
          <w:szCs w:val="24"/>
        </w:rPr>
        <w:t xml:space="preserve">Agricultural products (HS01 to 24) increased by 73% since 2012, </w:t>
      </w:r>
      <w:r>
        <w:rPr>
          <w:rFonts w:eastAsia="Calibri"/>
          <w:noProof/>
          <w:szCs w:val="24"/>
        </w:rPr>
        <w:tab/>
        <w:t xml:space="preserve">particularly spirits (by 60%), food preparations for infant use (by 277%) and vegetable preparations (by 156%). </w:t>
      </w:r>
    </w:p>
    <w:p>
      <w:pPr>
        <w:spacing w:after="0"/>
        <w:rPr>
          <w:rFonts w:ascii="Calibri" w:eastAsia="Calibri" w:hAnsi="Calibri"/>
          <w:noProof/>
          <w:szCs w:val="24"/>
        </w:rPr>
      </w:pPr>
    </w:p>
    <w:p>
      <w:pPr>
        <w:spacing w:after="0"/>
        <w:jc w:val="left"/>
        <w:rPr>
          <w:noProof/>
          <w:szCs w:val="24"/>
        </w:rPr>
      </w:pPr>
    </w:p>
    <w:p>
      <w:pPr>
        <w:ind w:left="480" w:hanging="480"/>
        <w:rPr>
          <w:noProof/>
          <w:szCs w:val="24"/>
        </w:rPr>
      </w:pPr>
      <w:r>
        <w:rPr>
          <w:noProof/>
          <w:szCs w:val="24"/>
        </w:rPr>
        <w:t xml:space="preserve">As for </w:t>
      </w:r>
      <w:r>
        <w:rPr>
          <w:noProof/>
          <w:szCs w:val="24"/>
          <w:u w:val="single"/>
        </w:rPr>
        <w:t>EU imports from Peru</w:t>
      </w:r>
      <w:r>
        <w:rPr>
          <w:noProof/>
          <w:szCs w:val="24"/>
        </w:rPr>
        <w:t>, the main categories are:</w:t>
      </w:r>
    </w:p>
    <w:p>
      <w:pPr>
        <w:pStyle w:val="ListParagraph"/>
        <w:numPr>
          <w:ilvl w:val="0"/>
          <w:numId w:val="10"/>
        </w:numPr>
        <w:spacing w:after="0"/>
        <w:rPr>
          <w:rFonts w:eastAsia="Calibri"/>
          <w:noProof/>
          <w:szCs w:val="24"/>
        </w:rPr>
      </w:pPr>
      <w:r>
        <w:rPr>
          <w:rFonts w:eastAsia="Calibri"/>
          <w:noProof/>
          <w:szCs w:val="24"/>
        </w:rPr>
        <w:t xml:space="preserve">Ores, slag and ashes (HS26), 24% of all EU imports, but with a 40% decrease since 2012; </w:t>
      </w:r>
    </w:p>
    <w:p>
      <w:pPr>
        <w:pStyle w:val="ListParagraph"/>
        <w:numPr>
          <w:ilvl w:val="0"/>
          <w:numId w:val="10"/>
        </w:numPr>
        <w:spacing w:after="0"/>
        <w:rPr>
          <w:rFonts w:eastAsia="Calibri"/>
          <w:noProof/>
          <w:szCs w:val="24"/>
        </w:rPr>
      </w:pPr>
      <w:r>
        <w:rPr>
          <w:rFonts w:eastAsia="Calibri"/>
          <w:noProof/>
          <w:szCs w:val="24"/>
        </w:rPr>
        <w:t xml:space="preserve">Mineral fuels and oils (HS27), 7% of EU imports, a 48% decline since 2012; </w:t>
      </w:r>
    </w:p>
    <w:p>
      <w:pPr>
        <w:pStyle w:val="ListParagraph"/>
        <w:numPr>
          <w:ilvl w:val="0"/>
          <w:numId w:val="11"/>
        </w:numPr>
        <w:spacing w:after="0"/>
        <w:rPr>
          <w:rFonts w:eastAsia="Calibri"/>
          <w:noProof/>
          <w:szCs w:val="24"/>
        </w:rPr>
      </w:pPr>
      <w:r>
        <w:rPr>
          <w:noProof/>
          <w:szCs w:val="24"/>
        </w:rPr>
        <w:t>Fruits (HS08), now 18% of EU imports, increased by 120% (</w:t>
      </w:r>
      <w:r>
        <w:rPr>
          <w:rFonts w:eastAsia="Calibri"/>
          <w:noProof/>
          <w:szCs w:val="24"/>
        </w:rPr>
        <w:t xml:space="preserve">key products being avocados, table grapes, mangoes, blueberries besides bananas); </w:t>
      </w:r>
    </w:p>
    <w:p>
      <w:pPr>
        <w:pStyle w:val="ListParagraph"/>
        <w:numPr>
          <w:ilvl w:val="0"/>
          <w:numId w:val="11"/>
        </w:numPr>
        <w:spacing w:after="0"/>
        <w:rPr>
          <w:rFonts w:eastAsia="Calibri"/>
          <w:noProof/>
          <w:szCs w:val="24"/>
        </w:rPr>
      </w:pPr>
      <w:r>
        <w:rPr>
          <w:rFonts w:eastAsia="Calibri"/>
          <w:noProof/>
          <w:szCs w:val="24"/>
        </w:rPr>
        <w:t xml:space="preserve">Coffee (HS09), now the third largest EU import category with 7% of imports, though decreasing by 32% since 2012, mainly due to a pest problem; </w:t>
      </w:r>
    </w:p>
    <w:p>
      <w:pPr>
        <w:pStyle w:val="ListParagraph"/>
        <w:numPr>
          <w:ilvl w:val="0"/>
          <w:numId w:val="11"/>
        </w:numPr>
        <w:spacing w:after="0"/>
        <w:rPr>
          <w:rFonts w:eastAsia="Calibri"/>
          <w:noProof/>
          <w:szCs w:val="24"/>
        </w:rPr>
      </w:pPr>
      <w:r>
        <w:rPr>
          <w:rFonts w:eastAsia="Calibri"/>
          <w:noProof/>
          <w:szCs w:val="24"/>
        </w:rPr>
        <w:t xml:space="preserve">Fish and molluscs (HS03), 5% of imports with a 30% increase; </w:t>
      </w:r>
    </w:p>
    <w:p>
      <w:pPr>
        <w:pStyle w:val="ListParagraph"/>
        <w:numPr>
          <w:ilvl w:val="0"/>
          <w:numId w:val="11"/>
        </w:numPr>
        <w:spacing w:after="0"/>
        <w:rPr>
          <w:rFonts w:eastAsia="Calibri"/>
          <w:noProof/>
          <w:szCs w:val="24"/>
        </w:rPr>
      </w:pPr>
      <w:r>
        <w:rPr>
          <w:rFonts w:eastAsia="Calibri"/>
          <w:noProof/>
          <w:szCs w:val="24"/>
        </w:rPr>
        <w:t xml:space="preserve">Vegetables (HS07), 4% of imports (77% of which asparagus), increasing by 22%. </w:t>
      </w:r>
    </w:p>
    <w:p>
      <w:pPr>
        <w:pStyle w:val="ListParagraph"/>
        <w:numPr>
          <w:ilvl w:val="0"/>
          <w:numId w:val="11"/>
        </w:numPr>
        <w:spacing w:after="0"/>
        <w:rPr>
          <w:rFonts w:eastAsia="Calibri"/>
          <w:noProof/>
          <w:szCs w:val="24"/>
        </w:rPr>
      </w:pPr>
      <w:r>
        <w:rPr>
          <w:rFonts w:eastAsia="Calibri"/>
          <w:noProof/>
          <w:szCs w:val="24"/>
        </w:rPr>
        <w:t xml:space="preserve">Cocoa increased by 226% and represent 5% of EU imports. </w:t>
      </w:r>
    </w:p>
    <w:p>
      <w:pPr>
        <w:pStyle w:val="ListParagraph"/>
        <w:spacing w:after="0"/>
        <w:rPr>
          <w:rFonts w:ascii="Calibri" w:eastAsia="Calibri" w:hAnsi="Calibri"/>
          <w:noProof/>
          <w:szCs w:val="24"/>
        </w:rPr>
      </w:pPr>
    </w:p>
    <w:p>
      <w:pPr>
        <w:ind w:left="480" w:hanging="480"/>
        <w:rPr>
          <w:b/>
          <w:noProof/>
        </w:rPr>
      </w:pPr>
      <w:r>
        <w:rPr>
          <w:b/>
          <w:noProof/>
        </w:rPr>
        <w:t>3.2</w:t>
      </w:r>
      <w:r>
        <w:rPr>
          <w:b/>
          <w:noProof/>
        </w:rPr>
        <w:tab/>
        <w:t xml:space="preserve">Trade in Services and Investment  </w:t>
      </w:r>
    </w:p>
    <w:p>
      <w:pPr>
        <w:rPr>
          <w:b/>
          <w:noProof/>
        </w:rPr>
      </w:pPr>
      <w:r>
        <w:rPr>
          <w:b/>
          <w:noProof/>
        </w:rPr>
        <w:t>3.2.1.</w:t>
      </w:r>
      <w:r>
        <w:rPr>
          <w:b/>
          <w:noProof/>
        </w:rPr>
        <w:tab/>
        <w:t>Trade in Services</w:t>
      </w:r>
    </w:p>
    <w:p>
      <w:pPr>
        <w:ind w:left="480" w:hanging="480"/>
        <w:jc w:val="center"/>
        <w:rPr>
          <w:rFonts w:eastAsiaTheme="minorHAnsi"/>
          <w:b/>
          <w:noProof/>
          <w:szCs w:val="24"/>
        </w:rPr>
      </w:pPr>
      <w:r>
        <w:rPr>
          <w:rFonts w:eastAsiaTheme="minorHAnsi"/>
          <w:b/>
          <w:noProof/>
          <w:szCs w:val="24"/>
        </w:rPr>
        <w:t>Table 3: EU-Colombia bilateral trade in services 2010-2015 (million EUR)</w:t>
      </w:r>
    </w:p>
    <w:tbl>
      <w:tblPr>
        <w:tblW w:w="7360" w:type="dxa"/>
        <w:jc w:val="center"/>
        <w:tblInd w:w="93" w:type="dxa"/>
        <w:tblLook w:val="04A0" w:firstRow="1" w:lastRow="0" w:firstColumn="1" w:lastColumn="0" w:noHBand="0" w:noVBand="1"/>
      </w:tblPr>
      <w:tblGrid>
        <w:gridCol w:w="1600"/>
        <w:gridCol w:w="960"/>
        <w:gridCol w:w="960"/>
        <w:gridCol w:w="960"/>
        <w:gridCol w:w="960"/>
        <w:gridCol w:w="960"/>
        <w:gridCol w:w="960"/>
      </w:tblGrid>
      <w:tr>
        <w:trPr>
          <w:trHeight w:val="315"/>
          <w:jc w:val="center"/>
        </w:trPr>
        <w:tc>
          <w:tcPr>
            <w:tcW w:w="1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jc w:val="center"/>
              <w:rPr>
                <w:noProof/>
                <w:sz w:val="22"/>
                <w:szCs w:val="22"/>
                <w:lang w:eastAsia="en-GB"/>
              </w:rPr>
            </w:pP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2010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2011</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2012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2013</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2014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2015</w:t>
            </w:r>
          </w:p>
        </w:tc>
      </w:tr>
      <w:tr>
        <w:trPr>
          <w:trHeight w:val="300"/>
          <w:jc w:val="center"/>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EU28 imports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987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1,355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1,447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1,434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1,615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1,496</w:t>
            </w:r>
          </w:p>
        </w:tc>
      </w:tr>
      <w:tr>
        <w:trPr>
          <w:trHeight w:val="300"/>
          <w:jc w:val="center"/>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EU28 exports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1,953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2,636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2,857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2,576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2,485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noProof/>
                <w:sz w:val="22"/>
                <w:szCs w:val="22"/>
                <w:lang w:eastAsia="en-GB"/>
              </w:rPr>
            </w:pPr>
            <w:r>
              <w:rPr>
                <w:noProof/>
                <w:sz w:val="22"/>
                <w:szCs w:val="22"/>
                <w:lang w:eastAsia="en-GB"/>
              </w:rPr>
              <w:t>2,866</w:t>
            </w:r>
          </w:p>
        </w:tc>
      </w:tr>
      <w:tr>
        <w:trPr>
          <w:trHeight w:val="300"/>
          <w:jc w:val="center"/>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Balance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lang w:eastAsia="en-GB"/>
              </w:rPr>
            </w:pPr>
            <w:r>
              <w:rPr>
                <w:b/>
                <w:noProof/>
                <w:sz w:val="22"/>
                <w:szCs w:val="22"/>
                <w:lang w:eastAsia="en-GB"/>
              </w:rPr>
              <w:t>967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lang w:eastAsia="en-GB"/>
              </w:rPr>
            </w:pPr>
            <w:r>
              <w:rPr>
                <w:b/>
                <w:noProof/>
                <w:sz w:val="22"/>
                <w:szCs w:val="22"/>
                <w:lang w:eastAsia="en-GB"/>
              </w:rPr>
              <w:t>1,281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lang w:eastAsia="en-GB"/>
              </w:rPr>
            </w:pPr>
            <w:r>
              <w:rPr>
                <w:b/>
                <w:noProof/>
                <w:sz w:val="22"/>
                <w:szCs w:val="22"/>
                <w:lang w:eastAsia="en-GB"/>
              </w:rPr>
              <w:t>1,410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lang w:eastAsia="en-GB"/>
              </w:rPr>
            </w:pPr>
            <w:r>
              <w:rPr>
                <w:b/>
                <w:noProof/>
                <w:sz w:val="22"/>
                <w:szCs w:val="22"/>
                <w:lang w:eastAsia="en-GB"/>
              </w:rPr>
              <w:t>1,141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lang w:eastAsia="en-GB"/>
              </w:rPr>
            </w:pPr>
            <w:r>
              <w:rPr>
                <w:b/>
                <w:noProof/>
                <w:sz w:val="22"/>
                <w:szCs w:val="22"/>
                <w:lang w:eastAsia="en-GB"/>
              </w:rPr>
              <w:t>870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b/>
                <w:noProof/>
                <w:sz w:val="22"/>
                <w:szCs w:val="22"/>
                <w:lang w:eastAsia="en-GB"/>
              </w:rPr>
            </w:pPr>
            <w:r>
              <w:rPr>
                <w:b/>
                <w:noProof/>
                <w:sz w:val="22"/>
                <w:szCs w:val="22"/>
                <w:lang w:eastAsia="en-GB"/>
              </w:rPr>
              <w:t>1,370</w:t>
            </w:r>
          </w:p>
        </w:tc>
      </w:tr>
      <w:tr>
        <w:trPr>
          <w:trHeight w:val="315"/>
          <w:jc w:val="center"/>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Total trade</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lang w:eastAsia="en-GB"/>
              </w:rPr>
            </w:pPr>
            <w:r>
              <w:rPr>
                <w:b/>
                <w:noProof/>
                <w:sz w:val="22"/>
                <w:szCs w:val="22"/>
                <w:lang w:eastAsia="en-GB"/>
              </w:rPr>
              <w:t>2,940</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lang w:eastAsia="en-GB"/>
              </w:rPr>
            </w:pPr>
            <w:r>
              <w:rPr>
                <w:b/>
                <w:noProof/>
                <w:sz w:val="22"/>
                <w:szCs w:val="22"/>
                <w:lang w:eastAsia="en-GB"/>
              </w:rPr>
              <w:t>3,992</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lang w:eastAsia="en-GB"/>
              </w:rPr>
            </w:pPr>
            <w:r>
              <w:rPr>
                <w:b/>
                <w:noProof/>
                <w:sz w:val="22"/>
                <w:szCs w:val="22"/>
                <w:lang w:eastAsia="en-GB"/>
              </w:rPr>
              <w:t>4,304</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lang w:eastAsia="en-GB"/>
              </w:rPr>
            </w:pPr>
            <w:r>
              <w:rPr>
                <w:b/>
                <w:noProof/>
                <w:sz w:val="22"/>
                <w:szCs w:val="22"/>
                <w:lang w:eastAsia="en-GB"/>
              </w:rPr>
              <w:t>4,010</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lang w:eastAsia="en-GB"/>
              </w:rPr>
            </w:pPr>
            <w:r>
              <w:rPr>
                <w:b/>
                <w:noProof/>
                <w:sz w:val="22"/>
                <w:szCs w:val="22"/>
                <w:lang w:eastAsia="en-GB"/>
              </w:rPr>
              <w:t>4,100</w:t>
            </w:r>
          </w:p>
        </w:tc>
        <w:tc>
          <w:tcPr>
            <w:tcW w:w="960" w:type="dxa"/>
            <w:tcBorders>
              <w:top w:val="nil"/>
              <w:left w:val="nil"/>
              <w:bottom w:val="single" w:sz="8" w:space="0" w:color="auto"/>
              <w:right w:val="single" w:sz="8" w:space="0" w:color="auto"/>
            </w:tcBorders>
            <w:shd w:val="clear" w:color="auto" w:fill="auto"/>
            <w:noWrap/>
            <w:vAlign w:val="bottom"/>
            <w:hideMark/>
          </w:tcPr>
          <w:p>
            <w:pPr>
              <w:spacing w:after="0"/>
              <w:jc w:val="center"/>
              <w:rPr>
                <w:b/>
                <w:noProof/>
                <w:sz w:val="22"/>
                <w:szCs w:val="22"/>
                <w:lang w:eastAsia="en-GB"/>
              </w:rPr>
            </w:pPr>
            <w:r>
              <w:rPr>
                <w:b/>
                <w:noProof/>
                <w:sz w:val="22"/>
                <w:szCs w:val="22"/>
                <w:lang w:eastAsia="en-GB"/>
              </w:rPr>
              <w:t>4,362</w:t>
            </w:r>
          </w:p>
        </w:tc>
      </w:tr>
      <w:tr>
        <w:trPr>
          <w:trHeight w:val="300"/>
          <w:jc w:val="center"/>
        </w:trPr>
        <w:tc>
          <w:tcPr>
            <w:tcW w:w="7360" w:type="dxa"/>
            <w:gridSpan w:val="7"/>
            <w:tcBorders>
              <w:top w:val="nil"/>
              <w:left w:val="nil"/>
              <w:bottom w:val="nil"/>
              <w:right w:val="nil"/>
            </w:tcBorders>
            <w:shd w:val="clear" w:color="auto" w:fill="auto"/>
            <w:noWrap/>
            <w:vAlign w:val="center"/>
            <w:hideMark/>
          </w:tcPr>
          <w:p>
            <w:pPr>
              <w:spacing w:after="0"/>
              <w:jc w:val="center"/>
              <w:rPr>
                <w:rFonts w:ascii="Arial" w:hAnsi="Arial" w:cs="Arial"/>
                <w:noProof/>
                <w:sz w:val="16"/>
                <w:szCs w:val="16"/>
                <w:lang w:eastAsia="en-GB"/>
              </w:rPr>
            </w:pPr>
            <w:r>
              <w:rPr>
                <w:rFonts w:ascii="Arial" w:hAnsi="Arial" w:cs="Arial"/>
                <w:noProof/>
                <w:sz w:val="16"/>
                <w:szCs w:val="16"/>
                <w:lang w:eastAsia="en-GB"/>
              </w:rPr>
              <w:t>Source: Eurostat</w:t>
            </w:r>
          </w:p>
        </w:tc>
      </w:tr>
    </w:tbl>
    <w:p>
      <w:pPr>
        <w:spacing w:after="200"/>
        <w:rPr>
          <w:rFonts w:eastAsia="Calibri"/>
          <w:noProof/>
          <w:szCs w:val="24"/>
        </w:rPr>
      </w:pPr>
    </w:p>
    <w:p>
      <w:pPr>
        <w:spacing w:after="200"/>
        <w:rPr>
          <w:rFonts w:ascii="Arial" w:hAnsi="Arial" w:cs="Arial"/>
          <w:noProof/>
          <w:color w:val="1F497D"/>
        </w:rPr>
      </w:pPr>
      <w:r>
        <w:rPr>
          <w:rFonts w:eastAsia="Calibri"/>
          <w:noProof/>
          <w:szCs w:val="24"/>
          <w:u w:val="single"/>
        </w:rPr>
        <w:t>Colombia</w:t>
      </w:r>
      <w:r>
        <w:rPr>
          <w:rFonts w:eastAsia="Calibri"/>
          <w:noProof/>
          <w:szCs w:val="24"/>
        </w:rPr>
        <w:t>, bilateral trade in services remained stable in 2015 at 4.3 billion EUR.  According to Colombian statistics, EU share in Colombia's total trade in services accounted for 16.2% in 2016.</w:t>
      </w:r>
    </w:p>
    <w:p>
      <w:pPr>
        <w:ind w:left="480" w:hanging="480"/>
        <w:jc w:val="center"/>
        <w:rPr>
          <w:rFonts w:eastAsiaTheme="minorHAnsi"/>
          <w:b/>
          <w:noProof/>
          <w:szCs w:val="24"/>
        </w:rPr>
      </w:pPr>
      <w:r>
        <w:rPr>
          <w:rFonts w:eastAsiaTheme="minorHAnsi"/>
          <w:b/>
          <w:noProof/>
          <w:szCs w:val="24"/>
        </w:rPr>
        <w:t>Table 4: EU-Peru bilateral trade in services 2010-2015 (million EUR)</w:t>
      </w:r>
    </w:p>
    <w:tbl>
      <w:tblPr>
        <w:tblW w:w="7300" w:type="dxa"/>
        <w:jc w:val="center"/>
        <w:tblInd w:w="93" w:type="dxa"/>
        <w:tblLook w:val="04A0" w:firstRow="1" w:lastRow="0" w:firstColumn="1" w:lastColumn="0" w:noHBand="0" w:noVBand="1"/>
      </w:tblPr>
      <w:tblGrid>
        <w:gridCol w:w="1540"/>
        <w:gridCol w:w="960"/>
        <w:gridCol w:w="960"/>
        <w:gridCol w:w="960"/>
        <w:gridCol w:w="960"/>
        <w:gridCol w:w="960"/>
        <w:gridCol w:w="960"/>
      </w:tblGrid>
      <w:tr>
        <w:trPr>
          <w:trHeight w:val="315"/>
          <w:jc w:val="center"/>
        </w:trPr>
        <w:tc>
          <w:tcPr>
            <w:tcW w:w="15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jc w:val="left"/>
              <w:rPr>
                <w:noProof/>
                <w:sz w:val="22"/>
                <w:szCs w:val="22"/>
                <w:lang w:eastAsia="en-GB"/>
              </w:rPr>
            </w:pPr>
            <w:r>
              <w:rPr>
                <w:noProof/>
                <w:sz w:val="22"/>
                <w:szCs w:val="22"/>
                <w:lang w:eastAsia="en-GB"/>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2010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2011</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2012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2013</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2014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jc w:val="center"/>
              <w:rPr>
                <w:b/>
                <w:bCs/>
                <w:noProof/>
                <w:sz w:val="22"/>
                <w:szCs w:val="22"/>
                <w:lang w:eastAsia="en-GB"/>
              </w:rPr>
            </w:pPr>
            <w:r>
              <w:rPr>
                <w:b/>
                <w:bCs/>
                <w:noProof/>
                <w:sz w:val="22"/>
                <w:szCs w:val="22"/>
                <w:lang w:eastAsia="en-GB"/>
              </w:rPr>
              <w:t>2015</w:t>
            </w:r>
          </w:p>
        </w:tc>
      </w:tr>
      <w:tr>
        <w:trPr>
          <w:trHeight w:val="300"/>
          <w:jc w:val="center"/>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left"/>
              <w:rPr>
                <w:noProof/>
                <w:sz w:val="22"/>
                <w:szCs w:val="22"/>
                <w:lang w:eastAsia="en-GB"/>
              </w:rPr>
            </w:pPr>
            <w:r>
              <w:rPr>
                <w:noProof/>
                <w:sz w:val="22"/>
                <w:szCs w:val="22"/>
                <w:lang w:eastAsia="en-GB"/>
              </w:rPr>
              <w:t>EU28 imports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lang w:eastAsia="en-GB"/>
              </w:rPr>
            </w:pPr>
            <w:r>
              <w:rPr>
                <w:noProof/>
                <w:sz w:val="22"/>
                <w:szCs w:val="22"/>
                <w:lang w:eastAsia="en-GB"/>
              </w:rPr>
              <w:t>898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lang w:eastAsia="en-GB"/>
              </w:rPr>
            </w:pPr>
            <w:r>
              <w:rPr>
                <w:noProof/>
                <w:sz w:val="22"/>
                <w:szCs w:val="22"/>
                <w:lang w:eastAsia="en-GB"/>
              </w:rPr>
              <w:t>849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lang w:eastAsia="en-GB"/>
              </w:rPr>
            </w:pPr>
            <w:r>
              <w:rPr>
                <w:noProof/>
                <w:sz w:val="22"/>
                <w:szCs w:val="22"/>
                <w:lang w:eastAsia="en-GB"/>
              </w:rPr>
              <w:t>855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lang w:eastAsia="en-GB"/>
              </w:rPr>
            </w:pPr>
            <w:r>
              <w:rPr>
                <w:noProof/>
                <w:sz w:val="22"/>
                <w:szCs w:val="22"/>
                <w:lang w:eastAsia="en-GB"/>
              </w:rPr>
              <w:t>831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lang w:eastAsia="en-GB"/>
              </w:rPr>
            </w:pPr>
            <w:r>
              <w:rPr>
                <w:noProof/>
                <w:sz w:val="22"/>
                <w:szCs w:val="22"/>
                <w:lang w:eastAsia="en-GB"/>
              </w:rPr>
              <w:t>879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right"/>
              <w:rPr>
                <w:noProof/>
                <w:sz w:val="22"/>
                <w:szCs w:val="22"/>
                <w:lang w:eastAsia="en-GB"/>
              </w:rPr>
            </w:pPr>
            <w:r>
              <w:rPr>
                <w:noProof/>
                <w:sz w:val="22"/>
                <w:szCs w:val="22"/>
                <w:lang w:eastAsia="en-GB"/>
              </w:rPr>
              <w:t>803</w:t>
            </w:r>
          </w:p>
        </w:tc>
      </w:tr>
      <w:tr>
        <w:trPr>
          <w:trHeight w:val="300"/>
          <w:jc w:val="center"/>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left"/>
              <w:rPr>
                <w:noProof/>
                <w:sz w:val="22"/>
                <w:szCs w:val="22"/>
                <w:lang w:eastAsia="en-GB"/>
              </w:rPr>
            </w:pPr>
            <w:r>
              <w:rPr>
                <w:noProof/>
                <w:sz w:val="22"/>
                <w:szCs w:val="22"/>
                <w:lang w:eastAsia="en-GB"/>
              </w:rPr>
              <w:t>EU28 exports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lang w:eastAsia="en-GB"/>
              </w:rPr>
            </w:pPr>
            <w:r>
              <w:rPr>
                <w:noProof/>
                <w:sz w:val="22"/>
                <w:szCs w:val="22"/>
                <w:lang w:eastAsia="en-GB"/>
              </w:rPr>
              <w:t>1,067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lang w:eastAsia="en-GB"/>
              </w:rPr>
            </w:pPr>
            <w:r>
              <w:rPr>
                <w:noProof/>
                <w:sz w:val="22"/>
                <w:szCs w:val="22"/>
                <w:lang w:eastAsia="en-GB"/>
              </w:rPr>
              <w:t>1,094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lang w:eastAsia="en-GB"/>
              </w:rPr>
            </w:pPr>
            <w:r>
              <w:rPr>
                <w:noProof/>
                <w:sz w:val="22"/>
                <w:szCs w:val="22"/>
                <w:lang w:eastAsia="en-GB"/>
              </w:rPr>
              <w:t>1,503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lang w:eastAsia="en-GB"/>
              </w:rPr>
            </w:pPr>
            <w:r>
              <w:rPr>
                <w:noProof/>
                <w:sz w:val="22"/>
                <w:szCs w:val="22"/>
                <w:lang w:eastAsia="en-GB"/>
              </w:rPr>
              <w:t>1,704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lang w:eastAsia="en-GB"/>
              </w:rPr>
            </w:pPr>
            <w:r>
              <w:rPr>
                <w:noProof/>
                <w:sz w:val="22"/>
                <w:szCs w:val="22"/>
                <w:lang w:eastAsia="en-GB"/>
              </w:rPr>
              <w:t>1,472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right"/>
              <w:rPr>
                <w:noProof/>
                <w:sz w:val="22"/>
                <w:szCs w:val="22"/>
                <w:lang w:eastAsia="en-GB"/>
              </w:rPr>
            </w:pPr>
            <w:r>
              <w:rPr>
                <w:noProof/>
                <w:sz w:val="22"/>
                <w:szCs w:val="22"/>
                <w:lang w:eastAsia="en-GB"/>
              </w:rPr>
              <w:t>1,667</w:t>
            </w:r>
          </w:p>
        </w:tc>
      </w:tr>
      <w:tr>
        <w:trPr>
          <w:trHeight w:val="300"/>
          <w:jc w:val="center"/>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left"/>
              <w:rPr>
                <w:b/>
                <w:bCs/>
                <w:noProof/>
                <w:sz w:val="22"/>
                <w:szCs w:val="22"/>
                <w:lang w:eastAsia="en-GB"/>
              </w:rPr>
            </w:pPr>
            <w:r>
              <w:rPr>
                <w:b/>
                <w:bCs/>
                <w:noProof/>
                <w:sz w:val="22"/>
                <w:szCs w:val="22"/>
                <w:lang w:eastAsia="en-GB"/>
              </w:rPr>
              <w:t>Balance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lang w:eastAsia="en-GB"/>
              </w:rPr>
            </w:pPr>
            <w:r>
              <w:rPr>
                <w:b/>
                <w:bCs/>
                <w:noProof/>
                <w:sz w:val="22"/>
                <w:szCs w:val="22"/>
                <w:lang w:eastAsia="en-GB"/>
              </w:rPr>
              <w:t>169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lang w:eastAsia="en-GB"/>
              </w:rPr>
            </w:pPr>
            <w:r>
              <w:rPr>
                <w:b/>
                <w:bCs/>
                <w:noProof/>
                <w:sz w:val="22"/>
                <w:szCs w:val="22"/>
                <w:lang w:eastAsia="en-GB"/>
              </w:rPr>
              <w:t>245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lang w:eastAsia="en-GB"/>
              </w:rPr>
            </w:pPr>
            <w:r>
              <w:rPr>
                <w:b/>
                <w:bCs/>
                <w:noProof/>
                <w:sz w:val="22"/>
                <w:szCs w:val="22"/>
                <w:lang w:eastAsia="en-GB"/>
              </w:rPr>
              <w:t>648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lang w:eastAsia="en-GB"/>
              </w:rPr>
            </w:pPr>
            <w:r>
              <w:rPr>
                <w:b/>
                <w:bCs/>
                <w:noProof/>
                <w:sz w:val="22"/>
                <w:szCs w:val="22"/>
                <w:lang w:eastAsia="en-GB"/>
              </w:rPr>
              <w:t>873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lang w:eastAsia="en-GB"/>
              </w:rPr>
            </w:pPr>
            <w:r>
              <w:rPr>
                <w:b/>
                <w:bCs/>
                <w:noProof/>
                <w:sz w:val="22"/>
                <w:szCs w:val="22"/>
                <w:lang w:eastAsia="en-GB"/>
              </w:rPr>
              <w:t>593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right"/>
              <w:rPr>
                <w:b/>
                <w:bCs/>
                <w:noProof/>
                <w:sz w:val="22"/>
                <w:szCs w:val="22"/>
                <w:lang w:eastAsia="en-GB"/>
              </w:rPr>
            </w:pPr>
            <w:r>
              <w:rPr>
                <w:b/>
                <w:bCs/>
                <w:noProof/>
                <w:sz w:val="22"/>
                <w:szCs w:val="22"/>
                <w:lang w:eastAsia="en-GB"/>
              </w:rPr>
              <w:t>864</w:t>
            </w:r>
          </w:p>
        </w:tc>
      </w:tr>
      <w:tr>
        <w:trPr>
          <w:trHeight w:val="315"/>
          <w:jc w:val="center"/>
        </w:trPr>
        <w:tc>
          <w:tcPr>
            <w:tcW w:w="1540" w:type="dxa"/>
            <w:tcBorders>
              <w:top w:val="nil"/>
              <w:left w:val="single" w:sz="8" w:space="0" w:color="auto"/>
              <w:bottom w:val="single" w:sz="8" w:space="0" w:color="auto"/>
              <w:right w:val="single" w:sz="4" w:space="0" w:color="auto"/>
            </w:tcBorders>
            <w:shd w:val="clear" w:color="auto" w:fill="auto"/>
            <w:noWrap/>
            <w:vAlign w:val="bottom"/>
            <w:hideMark/>
          </w:tcPr>
          <w:p>
            <w:pPr>
              <w:spacing w:after="0"/>
              <w:jc w:val="left"/>
              <w:rPr>
                <w:b/>
                <w:bCs/>
                <w:noProof/>
                <w:sz w:val="22"/>
                <w:szCs w:val="22"/>
                <w:lang w:eastAsia="en-GB"/>
              </w:rPr>
            </w:pPr>
            <w:r>
              <w:rPr>
                <w:b/>
                <w:bCs/>
                <w:noProof/>
                <w:sz w:val="22"/>
                <w:szCs w:val="22"/>
                <w:lang w:eastAsia="en-GB"/>
              </w:rPr>
              <w:t>Total trade</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lang w:eastAsia="en-GB"/>
              </w:rPr>
            </w:pPr>
            <w:r>
              <w:rPr>
                <w:b/>
                <w:bCs/>
                <w:noProof/>
                <w:sz w:val="22"/>
                <w:szCs w:val="22"/>
                <w:lang w:eastAsia="en-GB"/>
              </w:rPr>
              <w:t>1,964</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lang w:eastAsia="en-GB"/>
              </w:rPr>
            </w:pPr>
            <w:r>
              <w:rPr>
                <w:b/>
                <w:bCs/>
                <w:noProof/>
                <w:sz w:val="22"/>
                <w:szCs w:val="22"/>
                <w:lang w:eastAsia="en-GB"/>
              </w:rPr>
              <w:t>1,943</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lang w:eastAsia="en-GB"/>
              </w:rPr>
            </w:pPr>
            <w:r>
              <w:rPr>
                <w:b/>
                <w:bCs/>
                <w:noProof/>
                <w:sz w:val="22"/>
                <w:szCs w:val="22"/>
                <w:lang w:eastAsia="en-GB"/>
              </w:rPr>
              <w:t>2,358</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lang w:eastAsia="en-GB"/>
              </w:rPr>
            </w:pPr>
            <w:r>
              <w:rPr>
                <w:b/>
                <w:bCs/>
                <w:noProof/>
                <w:sz w:val="22"/>
                <w:szCs w:val="22"/>
                <w:lang w:eastAsia="en-GB"/>
              </w:rPr>
              <w:t>2,535</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lang w:eastAsia="en-GB"/>
              </w:rPr>
            </w:pPr>
            <w:r>
              <w:rPr>
                <w:b/>
                <w:bCs/>
                <w:noProof/>
                <w:sz w:val="22"/>
                <w:szCs w:val="22"/>
                <w:lang w:eastAsia="en-GB"/>
              </w:rPr>
              <w:t>2,351</w:t>
            </w:r>
          </w:p>
        </w:tc>
        <w:tc>
          <w:tcPr>
            <w:tcW w:w="960" w:type="dxa"/>
            <w:tcBorders>
              <w:top w:val="nil"/>
              <w:left w:val="nil"/>
              <w:bottom w:val="single" w:sz="8" w:space="0" w:color="auto"/>
              <w:right w:val="single" w:sz="8" w:space="0" w:color="auto"/>
            </w:tcBorders>
            <w:shd w:val="clear" w:color="auto" w:fill="auto"/>
            <w:noWrap/>
            <w:vAlign w:val="bottom"/>
            <w:hideMark/>
          </w:tcPr>
          <w:p>
            <w:pPr>
              <w:spacing w:after="0"/>
              <w:jc w:val="right"/>
              <w:rPr>
                <w:b/>
                <w:bCs/>
                <w:noProof/>
                <w:sz w:val="22"/>
                <w:szCs w:val="22"/>
                <w:lang w:eastAsia="en-GB"/>
              </w:rPr>
            </w:pPr>
            <w:r>
              <w:rPr>
                <w:b/>
                <w:bCs/>
                <w:noProof/>
                <w:sz w:val="22"/>
                <w:szCs w:val="22"/>
                <w:lang w:eastAsia="en-GB"/>
              </w:rPr>
              <w:t>2,469</w:t>
            </w:r>
          </w:p>
        </w:tc>
      </w:tr>
      <w:tr>
        <w:trPr>
          <w:trHeight w:val="300"/>
          <w:jc w:val="center"/>
        </w:trPr>
        <w:tc>
          <w:tcPr>
            <w:tcW w:w="7300" w:type="dxa"/>
            <w:gridSpan w:val="7"/>
            <w:tcBorders>
              <w:top w:val="nil"/>
              <w:left w:val="nil"/>
              <w:bottom w:val="nil"/>
              <w:right w:val="nil"/>
            </w:tcBorders>
            <w:shd w:val="clear" w:color="auto" w:fill="auto"/>
            <w:noWrap/>
            <w:vAlign w:val="center"/>
            <w:hideMark/>
          </w:tcPr>
          <w:p>
            <w:pPr>
              <w:spacing w:after="0"/>
              <w:jc w:val="center"/>
              <w:rPr>
                <w:rFonts w:ascii="Arial" w:hAnsi="Arial" w:cs="Arial"/>
                <w:noProof/>
                <w:sz w:val="16"/>
                <w:szCs w:val="16"/>
                <w:lang w:eastAsia="en-GB"/>
              </w:rPr>
            </w:pPr>
            <w:r>
              <w:rPr>
                <w:rFonts w:ascii="Arial" w:hAnsi="Arial" w:cs="Arial"/>
                <w:noProof/>
                <w:sz w:val="16"/>
                <w:szCs w:val="16"/>
                <w:lang w:eastAsia="en-GB"/>
              </w:rPr>
              <w:t>Source: Eurostat</w:t>
            </w:r>
          </w:p>
        </w:tc>
      </w:tr>
    </w:tbl>
    <w:p>
      <w:pPr>
        <w:ind w:left="480" w:hanging="480"/>
        <w:jc w:val="center"/>
        <w:rPr>
          <w:rFonts w:eastAsiaTheme="minorHAnsi"/>
          <w:b/>
          <w:noProof/>
          <w:szCs w:val="24"/>
        </w:rPr>
      </w:pPr>
    </w:p>
    <w:p>
      <w:pPr>
        <w:rPr>
          <w:rFonts w:eastAsia="Calibri"/>
          <w:noProof/>
        </w:rPr>
      </w:pPr>
      <w:r>
        <w:rPr>
          <w:rFonts w:eastAsia="Calibri"/>
          <w:noProof/>
          <w:szCs w:val="24"/>
        </w:rPr>
        <w:t xml:space="preserve">For </w:t>
      </w:r>
      <w:r>
        <w:rPr>
          <w:rFonts w:eastAsia="Calibri"/>
          <w:noProof/>
          <w:szCs w:val="24"/>
          <w:u w:val="single"/>
        </w:rPr>
        <w:t>Peru</w:t>
      </w:r>
      <w:r>
        <w:rPr>
          <w:rFonts w:eastAsia="Calibri"/>
          <w:noProof/>
          <w:szCs w:val="24"/>
        </w:rPr>
        <w:t xml:space="preserve">, bilateral trade in services increased by 5% in 2015 compared to 2012.  While EU exports increased by 11%, Peru exports decreased by 6% over this period.  Based on Peru's statistics, EU share in Peru's total trade in services represented almost 30% in 2015. </w:t>
      </w:r>
      <w:r>
        <w:rPr>
          <w:rFonts w:eastAsia="Calibri"/>
          <w:noProof/>
        </w:rPr>
        <w:br w:type="page"/>
      </w:r>
    </w:p>
    <w:p>
      <w:pPr>
        <w:rPr>
          <w:b/>
          <w:noProof/>
        </w:rPr>
      </w:pPr>
      <w:r>
        <w:rPr>
          <w:b/>
          <w:noProof/>
        </w:rPr>
        <w:t>3.2.2.</w:t>
      </w:r>
      <w:r>
        <w:rPr>
          <w:b/>
          <w:noProof/>
        </w:rPr>
        <w:tab/>
        <w:t xml:space="preserve">Investment </w:t>
      </w:r>
    </w:p>
    <w:p>
      <w:pPr>
        <w:spacing w:after="0"/>
        <w:jc w:val="left"/>
        <w:rPr>
          <w:rFonts w:eastAsiaTheme="minorHAnsi"/>
          <w:b/>
          <w:noProof/>
          <w:szCs w:val="24"/>
        </w:rPr>
      </w:pPr>
    </w:p>
    <w:p>
      <w:pPr>
        <w:jc w:val="center"/>
        <w:rPr>
          <w:rFonts w:eastAsiaTheme="minorHAnsi"/>
          <w:b/>
          <w:noProof/>
          <w:szCs w:val="24"/>
        </w:rPr>
      </w:pPr>
      <w:r>
        <w:rPr>
          <w:rFonts w:eastAsiaTheme="minorHAnsi"/>
          <w:b/>
          <w:noProof/>
          <w:szCs w:val="24"/>
        </w:rPr>
        <w:t>Table 5: EU-Colombia investment flows and stocks 2013-2015 (million EUR)</w:t>
      </w:r>
    </w:p>
    <w:tbl>
      <w:tblPr>
        <w:tblW w:w="6720" w:type="dxa"/>
        <w:jc w:val="center"/>
        <w:tblInd w:w="93" w:type="dxa"/>
        <w:tblLook w:val="04A0" w:firstRow="1" w:lastRow="0" w:firstColumn="1" w:lastColumn="0" w:noHBand="0" w:noVBand="1"/>
      </w:tblPr>
      <w:tblGrid>
        <w:gridCol w:w="960"/>
        <w:gridCol w:w="960"/>
        <w:gridCol w:w="960"/>
        <w:gridCol w:w="960"/>
        <w:gridCol w:w="960"/>
        <w:gridCol w:w="960"/>
        <w:gridCol w:w="960"/>
      </w:tblGrid>
      <w:tr>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noProof/>
                <w:szCs w:val="24"/>
                <w:lang w:eastAsia="en-GB"/>
              </w:rPr>
            </w:pPr>
            <w:r>
              <w:rPr>
                <w:noProof/>
                <w:szCs w:val="24"/>
                <w:lang w:eastAsia="en-GB"/>
              </w:rPr>
              <w:t> </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pPr>
              <w:spacing w:after="0"/>
              <w:jc w:val="center"/>
              <w:rPr>
                <w:b/>
                <w:bCs/>
                <w:noProof/>
                <w:szCs w:val="24"/>
                <w:lang w:eastAsia="en-GB"/>
              </w:rPr>
            </w:pPr>
            <w:r>
              <w:rPr>
                <w:b/>
                <w:bCs/>
                <w:noProof/>
                <w:szCs w:val="24"/>
                <w:lang w:eastAsia="en-GB"/>
              </w:rPr>
              <w:t>Inward</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pPr>
              <w:spacing w:after="0"/>
              <w:jc w:val="center"/>
              <w:rPr>
                <w:b/>
                <w:bCs/>
                <w:noProof/>
                <w:szCs w:val="24"/>
                <w:lang w:eastAsia="en-GB"/>
              </w:rPr>
            </w:pPr>
            <w:r>
              <w:rPr>
                <w:b/>
                <w:bCs/>
                <w:noProof/>
                <w:szCs w:val="24"/>
                <w:lang w:eastAsia="en-GB"/>
              </w:rPr>
              <w:t>Outward</w:t>
            </w:r>
          </w:p>
        </w:tc>
      </w:tr>
      <w:tr>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szCs w:val="24"/>
                <w:lang w:eastAsia="en-GB"/>
              </w:rPr>
            </w:pPr>
            <w:r>
              <w:rPr>
                <w:noProof/>
                <w:szCs w:val="24"/>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lang w:eastAsia="en-GB"/>
              </w:rPr>
            </w:pPr>
            <w:r>
              <w:rPr>
                <w:b/>
                <w:bCs/>
                <w:noProof/>
                <w:szCs w:val="24"/>
                <w:lang w:eastAsia="en-GB"/>
              </w:rPr>
              <w:t>2013</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lang w:eastAsia="en-GB"/>
              </w:rPr>
            </w:pPr>
            <w:r>
              <w:rPr>
                <w:b/>
                <w:bCs/>
                <w:noProof/>
                <w:szCs w:val="24"/>
                <w:lang w:eastAsia="en-GB"/>
              </w:rPr>
              <w:t>2014</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lang w:eastAsia="en-GB"/>
              </w:rPr>
            </w:pPr>
            <w:r>
              <w:rPr>
                <w:b/>
                <w:bCs/>
                <w:noProof/>
                <w:szCs w:val="24"/>
                <w:lang w:eastAsia="en-GB"/>
              </w:rPr>
              <w:t>2015</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lang w:eastAsia="en-GB"/>
              </w:rPr>
            </w:pPr>
            <w:r>
              <w:rPr>
                <w:b/>
                <w:bCs/>
                <w:noProof/>
                <w:szCs w:val="24"/>
                <w:lang w:eastAsia="en-GB"/>
              </w:rPr>
              <w:t>2013</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lang w:eastAsia="en-GB"/>
              </w:rPr>
            </w:pPr>
            <w:r>
              <w:rPr>
                <w:b/>
                <w:bCs/>
                <w:noProof/>
                <w:szCs w:val="24"/>
                <w:lang w:eastAsia="en-GB"/>
              </w:rPr>
              <w:t>2014</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lang w:eastAsia="en-GB"/>
              </w:rPr>
            </w:pPr>
            <w:r>
              <w:rPr>
                <w:b/>
                <w:bCs/>
                <w:noProof/>
                <w:szCs w:val="24"/>
                <w:lang w:eastAsia="en-GB"/>
              </w:rPr>
              <w:t>2015</w:t>
            </w:r>
          </w:p>
        </w:tc>
      </w:tr>
      <w:tr>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bCs/>
                <w:noProof/>
                <w:szCs w:val="24"/>
                <w:lang w:eastAsia="en-GB"/>
              </w:rPr>
            </w:pPr>
            <w:r>
              <w:rPr>
                <w:b/>
                <w:bCs/>
                <w:noProof/>
                <w:szCs w:val="24"/>
                <w:lang w:eastAsia="en-GB"/>
              </w:rPr>
              <w:t>Stocks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4,788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4,248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4,418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17,528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16,258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18,163</w:t>
            </w:r>
          </w:p>
        </w:tc>
      </w:tr>
      <w:tr>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bCs/>
                <w:noProof/>
                <w:szCs w:val="24"/>
                <w:lang w:eastAsia="en-GB"/>
              </w:rPr>
            </w:pPr>
            <w:r>
              <w:rPr>
                <w:b/>
                <w:bCs/>
                <w:noProof/>
                <w:szCs w:val="24"/>
                <w:lang w:eastAsia="en-GB"/>
              </w:rPr>
              <w:t>Flows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1,365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-192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371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-278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183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1,458</w:t>
            </w:r>
          </w:p>
        </w:tc>
      </w:tr>
      <w:tr>
        <w:trPr>
          <w:trHeight w:val="60"/>
          <w:jc w:val="center"/>
        </w:trPr>
        <w:tc>
          <w:tcPr>
            <w:tcW w:w="6720" w:type="dxa"/>
            <w:gridSpan w:val="7"/>
            <w:tcBorders>
              <w:top w:val="nil"/>
              <w:left w:val="nil"/>
              <w:bottom w:val="nil"/>
              <w:right w:val="nil"/>
            </w:tcBorders>
            <w:shd w:val="clear" w:color="auto" w:fill="auto"/>
            <w:noWrap/>
            <w:vAlign w:val="center"/>
            <w:hideMark/>
          </w:tcPr>
          <w:p>
            <w:pPr>
              <w:spacing w:after="0"/>
              <w:jc w:val="center"/>
              <w:rPr>
                <w:rFonts w:ascii="Arial" w:hAnsi="Arial" w:cs="Arial"/>
                <w:noProof/>
                <w:sz w:val="16"/>
                <w:szCs w:val="16"/>
                <w:lang w:eastAsia="en-GB"/>
              </w:rPr>
            </w:pPr>
            <w:r>
              <w:rPr>
                <w:rFonts w:ascii="Arial" w:hAnsi="Arial" w:cs="Arial"/>
                <w:noProof/>
                <w:sz w:val="16"/>
                <w:szCs w:val="16"/>
                <w:lang w:eastAsia="en-GB"/>
              </w:rPr>
              <w:t>Source: Eurostat</w:t>
            </w:r>
          </w:p>
        </w:tc>
      </w:tr>
    </w:tbl>
    <w:p>
      <w:pPr>
        <w:jc w:val="center"/>
        <w:rPr>
          <w:rFonts w:eastAsiaTheme="minorHAnsi"/>
          <w:b/>
          <w:noProof/>
          <w:szCs w:val="24"/>
        </w:rPr>
      </w:pPr>
    </w:p>
    <w:p>
      <w:pPr>
        <w:rPr>
          <w:noProof/>
        </w:rPr>
      </w:pPr>
      <w:r>
        <w:rPr>
          <w:noProof/>
        </w:rPr>
        <w:t xml:space="preserve">The EU is the first foreign investor in Colombia. EU FDI stocks in Colombia increased by 4% between 2013 and 2015, totalling 18.2 billion EUR in 2015. Colombian FDI stocks in the EU decreased by 8% since 2013, totalling 4.4 billion EUR in 2015. </w:t>
      </w:r>
    </w:p>
    <w:p>
      <w:pPr>
        <w:spacing w:after="120"/>
        <w:ind w:left="480" w:hanging="480"/>
        <w:jc w:val="center"/>
        <w:rPr>
          <w:rFonts w:eastAsiaTheme="minorHAnsi"/>
          <w:b/>
          <w:noProof/>
          <w:szCs w:val="24"/>
        </w:rPr>
      </w:pPr>
      <w:r>
        <w:rPr>
          <w:rFonts w:eastAsiaTheme="minorHAnsi"/>
          <w:b/>
          <w:noProof/>
          <w:szCs w:val="24"/>
        </w:rPr>
        <w:t>Table 6: EU-Peru investment flows and stocks 2013-2015 (million EUR)</w:t>
      </w:r>
    </w:p>
    <w:tbl>
      <w:tblPr>
        <w:tblW w:w="6720" w:type="dxa"/>
        <w:jc w:val="center"/>
        <w:tblInd w:w="93" w:type="dxa"/>
        <w:tblLook w:val="04A0" w:firstRow="1" w:lastRow="0" w:firstColumn="1" w:lastColumn="0" w:noHBand="0" w:noVBand="1"/>
      </w:tblPr>
      <w:tblGrid>
        <w:gridCol w:w="960"/>
        <w:gridCol w:w="924"/>
        <w:gridCol w:w="924"/>
        <w:gridCol w:w="1032"/>
        <w:gridCol w:w="897"/>
        <w:gridCol w:w="897"/>
        <w:gridCol w:w="1086"/>
      </w:tblGrid>
      <w:tr>
        <w:trPr>
          <w:trHeight w:val="315"/>
          <w:jc w:val="center"/>
        </w:trPr>
        <w:tc>
          <w:tcPr>
            <w:tcW w:w="960" w:type="dxa"/>
            <w:vMerge w:val="restart"/>
            <w:tcBorders>
              <w:top w:val="single" w:sz="8" w:space="0" w:color="auto"/>
              <w:left w:val="single" w:sz="8" w:space="0" w:color="auto"/>
              <w:bottom w:val="single" w:sz="4" w:space="0" w:color="auto"/>
              <w:right w:val="nil"/>
            </w:tcBorders>
            <w:shd w:val="clear" w:color="auto" w:fill="auto"/>
            <w:noWrap/>
            <w:vAlign w:val="bottom"/>
            <w:hideMark/>
          </w:tcPr>
          <w:p>
            <w:pPr>
              <w:spacing w:after="0"/>
              <w:jc w:val="center"/>
              <w:rPr>
                <w:noProof/>
                <w:szCs w:val="24"/>
                <w:lang w:eastAsia="en-GB"/>
              </w:rPr>
            </w:pPr>
            <w:r>
              <w:rPr>
                <w:noProof/>
                <w:szCs w:val="24"/>
                <w:lang w:eastAsia="en-GB"/>
              </w:rPr>
              <w:t> </w:t>
            </w:r>
          </w:p>
        </w:tc>
        <w:tc>
          <w:tcPr>
            <w:tcW w:w="288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jc w:val="center"/>
              <w:rPr>
                <w:b/>
                <w:bCs/>
                <w:noProof/>
                <w:szCs w:val="24"/>
                <w:lang w:eastAsia="en-GB"/>
              </w:rPr>
            </w:pPr>
            <w:r>
              <w:rPr>
                <w:b/>
                <w:bCs/>
                <w:noProof/>
                <w:szCs w:val="24"/>
                <w:lang w:eastAsia="en-GB"/>
              </w:rPr>
              <w:t>Inward</w:t>
            </w:r>
          </w:p>
        </w:tc>
        <w:tc>
          <w:tcPr>
            <w:tcW w:w="2880" w:type="dxa"/>
            <w:gridSpan w:val="3"/>
            <w:tcBorders>
              <w:top w:val="single" w:sz="8" w:space="0" w:color="auto"/>
              <w:left w:val="nil"/>
              <w:bottom w:val="single" w:sz="4" w:space="0" w:color="auto"/>
              <w:right w:val="single" w:sz="8" w:space="0" w:color="000000"/>
            </w:tcBorders>
            <w:shd w:val="clear" w:color="auto" w:fill="auto"/>
            <w:noWrap/>
            <w:vAlign w:val="bottom"/>
            <w:hideMark/>
          </w:tcPr>
          <w:p>
            <w:pPr>
              <w:spacing w:after="0"/>
              <w:jc w:val="center"/>
              <w:rPr>
                <w:b/>
                <w:bCs/>
                <w:noProof/>
                <w:szCs w:val="24"/>
                <w:lang w:eastAsia="en-GB"/>
              </w:rPr>
            </w:pPr>
            <w:r>
              <w:rPr>
                <w:b/>
                <w:bCs/>
                <w:noProof/>
                <w:szCs w:val="24"/>
                <w:lang w:eastAsia="en-GB"/>
              </w:rPr>
              <w:t>Outward</w:t>
            </w:r>
          </w:p>
        </w:tc>
      </w:tr>
      <w:tr>
        <w:trPr>
          <w:trHeight w:val="330"/>
          <w:jc w:val="center"/>
        </w:trPr>
        <w:tc>
          <w:tcPr>
            <w:tcW w:w="960" w:type="dxa"/>
            <w:vMerge/>
            <w:tcBorders>
              <w:top w:val="single" w:sz="8" w:space="0" w:color="auto"/>
              <w:left w:val="single" w:sz="8" w:space="0" w:color="auto"/>
              <w:bottom w:val="single" w:sz="4" w:space="0" w:color="auto"/>
              <w:right w:val="nil"/>
            </w:tcBorders>
            <w:vAlign w:val="center"/>
            <w:hideMark/>
          </w:tcPr>
          <w:p>
            <w:pPr>
              <w:spacing w:after="0"/>
              <w:jc w:val="left"/>
              <w:rPr>
                <w:noProof/>
                <w:szCs w:val="24"/>
                <w:lang w:eastAsia="en-GB"/>
              </w:rPr>
            </w:pPr>
          </w:p>
        </w:tc>
        <w:tc>
          <w:tcPr>
            <w:tcW w:w="924" w:type="dxa"/>
            <w:tcBorders>
              <w:top w:val="nil"/>
              <w:left w:val="single" w:sz="8" w:space="0" w:color="auto"/>
              <w:bottom w:val="single" w:sz="8" w:space="0" w:color="auto"/>
              <w:right w:val="single" w:sz="4" w:space="0" w:color="auto"/>
            </w:tcBorders>
            <w:shd w:val="clear" w:color="auto" w:fill="auto"/>
            <w:noWrap/>
            <w:vAlign w:val="center"/>
            <w:hideMark/>
          </w:tcPr>
          <w:p>
            <w:pPr>
              <w:spacing w:after="0"/>
              <w:jc w:val="center"/>
              <w:rPr>
                <w:b/>
                <w:bCs/>
                <w:noProof/>
                <w:szCs w:val="24"/>
                <w:lang w:eastAsia="en-GB"/>
              </w:rPr>
            </w:pPr>
            <w:r>
              <w:rPr>
                <w:b/>
                <w:bCs/>
                <w:noProof/>
                <w:szCs w:val="24"/>
                <w:lang w:eastAsia="en-GB"/>
              </w:rPr>
              <w:t>2013</w:t>
            </w:r>
          </w:p>
        </w:tc>
        <w:tc>
          <w:tcPr>
            <w:tcW w:w="924" w:type="dxa"/>
            <w:tcBorders>
              <w:top w:val="nil"/>
              <w:left w:val="nil"/>
              <w:bottom w:val="single" w:sz="8" w:space="0" w:color="auto"/>
              <w:right w:val="single" w:sz="4" w:space="0" w:color="auto"/>
            </w:tcBorders>
            <w:shd w:val="clear" w:color="auto" w:fill="auto"/>
            <w:noWrap/>
            <w:vAlign w:val="center"/>
            <w:hideMark/>
          </w:tcPr>
          <w:p>
            <w:pPr>
              <w:spacing w:after="0"/>
              <w:jc w:val="center"/>
              <w:rPr>
                <w:b/>
                <w:bCs/>
                <w:noProof/>
                <w:szCs w:val="24"/>
                <w:lang w:eastAsia="en-GB"/>
              </w:rPr>
            </w:pPr>
            <w:r>
              <w:rPr>
                <w:b/>
                <w:bCs/>
                <w:noProof/>
                <w:szCs w:val="24"/>
                <w:lang w:eastAsia="en-GB"/>
              </w:rPr>
              <w:t>2014</w:t>
            </w:r>
          </w:p>
        </w:tc>
        <w:tc>
          <w:tcPr>
            <w:tcW w:w="1032" w:type="dxa"/>
            <w:tcBorders>
              <w:top w:val="nil"/>
              <w:left w:val="nil"/>
              <w:bottom w:val="single" w:sz="8" w:space="0" w:color="auto"/>
              <w:right w:val="single" w:sz="4" w:space="0" w:color="auto"/>
            </w:tcBorders>
            <w:shd w:val="clear" w:color="auto" w:fill="auto"/>
            <w:noWrap/>
            <w:vAlign w:val="center"/>
            <w:hideMark/>
          </w:tcPr>
          <w:p>
            <w:pPr>
              <w:spacing w:after="0"/>
              <w:jc w:val="center"/>
              <w:rPr>
                <w:b/>
                <w:bCs/>
                <w:noProof/>
                <w:szCs w:val="24"/>
                <w:lang w:eastAsia="en-GB"/>
              </w:rPr>
            </w:pPr>
            <w:r>
              <w:rPr>
                <w:b/>
                <w:bCs/>
                <w:noProof/>
                <w:szCs w:val="24"/>
                <w:lang w:eastAsia="en-GB"/>
              </w:rPr>
              <w:t>2015</w:t>
            </w:r>
          </w:p>
        </w:tc>
        <w:tc>
          <w:tcPr>
            <w:tcW w:w="897" w:type="dxa"/>
            <w:tcBorders>
              <w:top w:val="nil"/>
              <w:left w:val="nil"/>
              <w:bottom w:val="single" w:sz="8" w:space="0" w:color="auto"/>
              <w:right w:val="single" w:sz="4" w:space="0" w:color="auto"/>
            </w:tcBorders>
            <w:shd w:val="clear" w:color="auto" w:fill="auto"/>
            <w:noWrap/>
            <w:vAlign w:val="center"/>
            <w:hideMark/>
          </w:tcPr>
          <w:p>
            <w:pPr>
              <w:spacing w:after="0"/>
              <w:jc w:val="center"/>
              <w:rPr>
                <w:b/>
                <w:bCs/>
                <w:noProof/>
                <w:szCs w:val="24"/>
                <w:lang w:eastAsia="en-GB"/>
              </w:rPr>
            </w:pPr>
            <w:r>
              <w:rPr>
                <w:b/>
                <w:bCs/>
                <w:noProof/>
                <w:szCs w:val="24"/>
                <w:lang w:eastAsia="en-GB"/>
              </w:rPr>
              <w:t>2013</w:t>
            </w:r>
          </w:p>
        </w:tc>
        <w:tc>
          <w:tcPr>
            <w:tcW w:w="897" w:type="dxa"/>
            <w:tcBorders>
              <w:top w:val="nil"/>
              <w:left w:val="nil"/>
              <w:bottom w:val="single" w:sz="8" w:space="0" w:color="auto"/>
              <w:right w:val="single" w:sz="4" w:space="0" w:color="auto"/>
            </w:tcBorders>
            <w:shd w:val="clear" w:color="auto" w:fill="auto"/>
            <w:noWrap/>
            <w:vAlign w:val="center"/>
            <w:hideMark/>
          </w:tcPr>
          <w:p>
            <w:pPr>
              <w:spacing w:after="0"/>
              <w:jc w:val="center"/>
              <w:rPr>
                <w:b/>
                <w:bCs/>
                <w:noProof/>
                <w:szCs w:val="24"/>
                <w:lang w:eastAsia="en-GB"/>
              </w:rPr>
            </w:pPr>
            <w:r>
              <w:rPr>
                <w:b/>
                <w:bCs/>
                <w:noProof/>
                <w:szCs w:val="24"/>
                <w:lang w:eastAsia="en-GB"/>
              </w:rPr>
              <w:t>2014</w:t>
            </w:r>
          </w:p>
        </w:tc>
        <w:tc>
          <w:tcPr>
            <w:tcW w:w="1086" w:type="dxa"/>
            <w:tcBorders>
              <w:top w:val="nil"/>
              <w:left w:val="nil"/>
              <w:bottom w:val="single" w:sz="8" w:space="0" w:color="auto"/>
              <w:right w:val="single" w:sz="8" w:space="0" w:color="auto"/>
            </w:tcBorders>
            <w:shd w:val="clear" w:color="auto" w:fill="auto"/>
            <w:noWrap/>
            <w:vAlign w:val="center"/>
            <w:hideMark/>
          </w:tcPr>
          <w:p>
            <w:pPr>
              <w:spacing w:after="0"/>
              <w:jc w:val="center"/>
              <w:rPr>
                <w:b/>
                <w:bCs/>
                <w:noProof/>
                <w:szCs w:val="24"/>
                <w:lang w:eastAsia="en-GB"/>
              </w:rPr>
            </w:pPr>
            <w:r>
              <w:rPr>
                <w:b/>
                <w:bCs/>
                <w:noProof/>
                <w:szCs w:val="24"/>
                <w:lang w:eastAsia="en-GB"/>
              </w:rPr>
              <w:t>2015</w:t>
            </w:r>
          </w:p>
        </w:tc>
      </w:tr>
      <w:tr>
        <w:trPr>
          <w:trHeight w:val="315"/>
          <w:jc w:val="center"/>
        </w:trPr>
        <w:tc>
          <w:tcPr>
            <w:tcW w:w="960" w:type="dxa"/>
            <w:tcBorders>
              <w:top w:val="nil"/>
              <w:left w:val="single" w:sz="8" w:space="0" w:color="auto"/>
              <w:bottom w:val="single" w:sz="4" w:space="0" w:color="auto"/>
              <w:right w:val="nil"/>
            </w:tcBorders>
            <w:shd w:val="clear" w:color="auto" w:fill="auto"/>
            <w:noWrap/>
            <w:vAlign w:val="bottom"/>
            <w:hideMark/>
          </w:tcPr>
          <w:p>
            <w:pPr>
              <w:spacing w:after="0"/>
              <w:jc w:val="left"/>
              <w:rPr>
                <w:b/>
                <w:bCs/>
                <w:noProof/>
                <w:szCs w:val="24"/>
                <w:lang w:eastAsia="en-GB"/>
              </w:rPr>
            </w:pPr>
            <w:r>
              <w:rPr>
                <w:b/>
                <w:bCs/>
                <w:noProof/>
                <w:szCs w:val="24"/>
                <w:lang w:eastAsia="en-GB"/>
              </w:rPr>
              <w:t>Stocks</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243</w:t>
            </w:r>
          </w:p>
        </w:tc>
        <w:tc>
          <w:tcPr>
            <w:tcW w:w="92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245</w:t>
            </w:r>
          </w:p>
        </w:tc>
        <w:tc>
          <w:tcPr>
            <w:tcW w:w="1032"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1,536</w:t>
            </w:r>
          </w:p>
        </w:tc>
        <w:tc>
          <w:tcPr>
            <w:tcW w:w="89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9,135</w:t>
            </w:r>
          </w:p>
        </w:tc>
        <w:tc>
          <w:tcPr>
            <w:tcW w:w="89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9,512</w:t>
            </w:r>
          </w:p>
        </w:tc>
        <w:tc>
          <w:tcPr>
            <w:tcW w:w="1086" w:type="dxa"/>
            <w:tcBorders>
              <w:top w:val="nil"/>
              <w:left w:val="nil"/>
              <w:bottom w:val="single" w:sz="4" w:space="0" w:color="auto"/>
              <w:right w:val="single" w:sz="8" w:space="0" w:color="auto"/>
            </w:tcBorders>
            <w:shd w:val="clear" w:color="auto" w:fill="auto"/>
            <w:noWrap/>
            <w:vAlign w:val="bottom"/>
            <w:hideMark/>
          </w:tcPr>
          <w:p>
            <w:pPr>
              <w:spacing w:after="0"/>
              <w:jc w:val="right"/>
              <w:rPr>
                <w:noProof/>
                <w:szCs w:val="24"/>
                <w:lang w:eastAsia="en-GB"/>
              </w:rPr>
            </w:pPr>
            <w:r>
              <w:rPr>
                <w:noProof/>
                <w:szCs w:val="24"/>
                <w:lang w:eastAsia="en-GB"/>
              </w:rPr>
              <w:t>10,465</w:t>
            </w:r>
          </w:p>
        </w:tc>
      </w:tr>
      <w:tr>
        <w:trPr>
          <w:trHeight w:val="330"/>
          <w:jc w:val="center"/>
        </w:trPr>
        <w:tc>
          <w:tcPr>
            <w:tcW w:w="960" w:type="dxa"/>
            <w:tcBorders>
              <w:top w:val="nil"/>
              <w:left w:val="single" w:sz="8" w:space="0" w:color="auto"/>
              <w:bottom w:val="single" w:sz="8" w:space="0" w:color="auto"/>
              <w:right w:val="nil"/>
            </w:tcBorders>
            <w:shd w:val="clear" w:color="auto" w:fill="auto"/>
            <w:noWrap/>
            <w:vAlign w:val="bottom"/>
            <w:hideMark/>
          </w:tcPr>
          <w:p>
            <w:pPr>
              <w:spacing w:after="0"/>
              <w:jc w:val="left"/>
              <w:rPr>
                <w:b/>
                <w:bCs/>
                <w:noProof/>
                <w:szCs w:val="24"/>
                <w:lang w:eastAsia="en-GB"/>
              </w:rPr>
            </w:pPr>
            <w:r>
              <w:rPr>
                <w:b/>
                <w:bCs/>
                <w:noProof/>
                <w:szCs w:val="24"/>
                <w:lang w:eastAsia="en-GB"/>
              </w:rPr>
              <w:t>Flows</w:t>
            </w:r>
          </w:p>
        </w:tc>
        <w:tc>
          <w:tcPr>
            <w:tcW w:w="924" w:type="dxa"/>
            <w:tcBorders>
              <w:top w:val="nil"/>
              <w:left w:val="single" w:sz="8" w:space="0" w:color="auto"/>
              <w:bottom w:val="single" w:sz="8"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129</w:t>
            </w:r>
          </w:p>
        </w:tc>
        <w:tc>
          <w:tcPr>
            <w:tcW w:w="924" w:type="dxa"/>
            <w:tcBorders>
              <w:top w:val="nil"/>
              <w:left w:val="nil"/>
              <w:bottom w:val="single" w:sz="8"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264</w:t>
            </w:r>
          </w:p>
        </w:tc>
        <w:tc>
          <w:tcPr>
            <w:tcW w:w="1032" w:type="dxa"/>
            <w:tcBorders>
              <w:top w:val="nil"/>
              <w:left w:val="nil"/>
              <w:bottom w:val="single" w:sz="8"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672</w:t>
            </w:r>
          </w:p>
        </w:tc>
        <w:tc>
          <w:tcPr>
            <w:tcW w:w="897" w:type="dxa"/>
            <w:tcBorders>
              <w:top w:val="nil"/>
              <w:left w:val="nil"/>
              <w:bottom w:val="single" w:sz="8"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4</w:t>
            </w:r>
          </w:p>
        </w:tc>
        <w:tc>
          <w:tcPr>
            <w:tcW w:w="897" w:type="dxa"/>
            <w:tcBorders>
              <w:top w:val="nil"/>
              <w:left w:val="nil"/>
              <w:bottom w:val="single" w:sz="8" w:space="0" w:color="auto"/>
              <w:right w:val="single" w:sz="4" w:space="0" w:color="auto"/>
            </w:tcBorders>
            <w:shd w:val="clear" w:color="auto" w:fill="auto"/>
            <w:noWrap/>
            <w:vAlign w:val="bottom"/>
            <w:hideMark/>
          </w:tcPr>
          <w:p>
            <w:pPr>
              <w:spacing w:after="0"/>
              <w:jc w:val="right"/>
              <w:rPr>
                <w:noProof/>
                <w:szCs w:val="24"/>
                <w:lang w:eastAsia="en-GB"/>
              </w:rPr>
            </w:pPr>
            <w:r>
              <w:rPr>
                <w:noProof/>
                <w:szCs w:val="24"/>
                <w:lang w:eastAsia="en-GB"/>
              </w:rPr>
              <w:t>618</w:t>
            </w:r>
          </w:p>
        </w:tc>
        <w:tc>
          <w:tcPr>
            <w:tcW w:w="1086" w:type="dxa"/>
            <w:tcBorders>
              <w:top w:val="nil"/>
              <w:left w:val="nil"/>
              <w:bottom w:val="single" w:sz="8" w:space="0" w:color="auto"/>
              <w:right w:val="single" w:sz="8" w:space="0" w:color="auto"/>
            </w:tcBorders>
            <w:shd w:val="clear" w:color="auto" w:fill="auto"/>
            <w:noWrap/>
            <w:vAlign w:val="bottom"/>
            <w:hideMark/>
          </w:tcPr>
          <w:p>
            <w:pPr>
              <w:spacing w:after="0"/>
              <w:jc w:val="right"/>
              <w:rPr>
                <w:noProof/>
                <w:szCs w:val="24"/>
                <w:lang w:eastAsia="en-GB"/>
              </w:rPr>
            </w:pPr>
            <w:r>
              <w:rPr>
                <w:noProof/>
                <w:szCs w:val="24"/>
                <w:lang w:eastAsia="en-GB"/>
              </w:rPr>
              <w:t>1,473</w:t>
            </w:r>
          </w:p>
        </w:tc>
      </w:tr>
      <w:tr>
        <w:trPr>
          <w:trHeight w:val="300"/>
          <w:jc w:val="center"/>
        </w:trPr>
        <w:tc>
          <w:tcPr>
            <w:tcW w:w="6720" w:type="dxa"/>
            <w:gridSpan w:val="7"/>
            <w:tcBorders>
              <w:top w:val="nil"/>
              <w:left w:val="nil"/>
              <w:bottom w:val="nil"/>
              <w:right w:val="nil"/>
            </w:tcBorders>
            <w:shd w:val="clear" w:color="auto" w:fill="auto"/>
            <w:noWrap/>
            <w:vAlign w:val="center"/>
            <w:hideMark/>
          </w:tcPr>
          <w:p>
            <w:pPr>
              <w:spacing w:after="0"/>
              <w:jc w:val="center"/>
              <w:rPr>
                <w:rFonts w:ascii="Arial" w:hAnsi="Arial" w:cs="Arial"/>
                <w:noProof/>
                <w:sz w:val="16"/>
                <w:szCs w:val="16"/>
                <w:lang w:eastAsia="en-GB"/>
              </w:rPr>
            </w:pPr>
            <w:r>
              <w:rPr>
                <w:rFonts w:ascii="Arial" w:hAnsi="Arial" w:cs="Arial"/>
                <w:noProof/>
                <w:sz w:val="16"/>
                <w:szCs w:val="16"/>
                <w:lang w:eastAsia="en-GB"/>
              </w:rPr>
              <w:t>Source: Eurostat</w:t>
            </w:r>
          </w:p>
        </w:tc>
      </w:tr>
    </w:tbl>
    <w:p>
      <w:pPr>
        <w:spacing w:after="120"/>
        <w:ind w:left="480" w:hanging="480"/>
        <w:jc w:val="center"/>
        <w:rPr>
          <w:rFonts w:eastAsiaTheme="minorHAnsi"/>
          <w:b/>
          <w:noProof/>
          <w:szCs w:val="24"/>
        </w:rPr>
      </w:pPr>
    </w:p>
    <w:p>
      <w:pPr>
        <w:rPr>
          <w:noProof/>
        </w:rPr>
      </w:pPr>
      <w:r>
        <w:rPr>
          <w:noProof/>
        </w:rPr>
        <w:t xml:space="preserve">The EU is the first foreign investor in Peru. EU FDI stocks in Peru increased by 15% between 2013 and 2015, totalling 10.4 billion EUR in 2015. Peru's FDI stocks in the EU increased to 1.5 billion EUR in 2015, a 533% increase compared to 2013. </w:t>
      </w:r>
    </w:p>
    <w:p>
      <w:pPr>
        <w:jc w:val="left"/>
        <w:rPr>
          <w:b/>
          <w:noProof/>
        </w:rPr>
      </w:pPr>
      <w:r>
        <w:rPr>
          <w:b/>
          <w:noProof/>
        </w:rPr>
        <w:t>3.3</w:t>
      </w:r>
      <w:r>
        <w:rPr>
          <w:b/>
          <w:noProof/>
        </w:rPr>
        <w:tab/>
        <w:t xml:space="preserve">Preference Utilisation rate </w:t>
      </w:r>
    </w:p>
    <w:p>
      <w:pPr>
        <w:rPr>
          <w:rFonts w:eastAsia="Calibri"/>
          <w:noProof/>
          <w:szCs w:val="24"/>
        </w:rPr>
      </w:pPr>
      <w:r>
        <w:rPr>
          <w:rFonts w:eastAsia="Calibri"/>
          <w:noProof/>
          <w:szCs w:val="24"/>
        </w:rPr>
        <w:t xml:space="preserve">The use of the tariff preferences can be estimated by assessing the fraction of the trade flow carried out within the framework of the Agreement. </w:t>
      </w:r>
    </w:p>
    <w:p>
      <w:pPr>
        <w:widowControl w:val="0"/>
        <w:ind w:left="40" w:right="20"/>
        <w:rPr>
          <w:rFonts w:eastAsia="Calibri"/>
          <w:noProof/>
          <w:szCs w:val="24"/>
          <w:lang w:eastAsia="en-GB"/>
        </w:rPr>
      </w:pPr>
      <w:r>
        <w:rPr>
          <w:rFonts w:eastAsia="Calibri"/>
          <w:noProof/>
          <w:szCs w:val="24"/>
          <w:lang w:eastAsia="en-GB"/>
        </w:rPr>
        <w:t xml:space="preserve">EU statistics indicate that over 95% of both Colombia and Peru's exports to the EU are made under the aegis of the Agreement. </w:t>
      </w:r>
    </w:p>
    <w:p>
      <w:pPr>
        <w:rPr>
          <w:rFonts w:eastAsia="Calibri"/>
          <w:noProof/>
          <w:szCs w:val="24"/>
          <w:lang w:eastAsia="en-GB"/>
        </w:rPr>
      </w:pPr>
      <w:r>
        <w:rPr>
          <w:rFonts w:eastAsia="Calibri"/>
          <w:noProof/>
          <w:color w:val="000000" w:themeColor="text1"/>
          <w:szCs w:val="24"/>
          <w:lang w:eastAsia="en-GB"/>
        </w:rPr>
        <w:t xml:space="preserve">Based on statistics from Colombia, preference utilisation rate by the EU in Colombia amounted to </w:t>
      </w:r>
      <w:r>
        <w:rPr>
          <w:noProof/>
          <w:color w:val="000000" w:themeColor="text1"/>
        </w:rPr>
        <w:t xml:space="preserve">70.6% in 2016 (versus 55.7% in 2014, indicating that EU exporters are making better use of the Agreement). It </w:t>
      </w:r>
      <w:r>
        <w:rPr>
          <w:rFonts w:eastAsia="Calibri"/>
          <w:noProof/>
          <w:szCs w:val="24"/>
          <w:lang w:eastAsia="en-GB"/>
        </w:rPr>
        <w:t xml:space="preserve">has not been possible to obtain statistics on preference utilisation rate by the EU in Peru. </w:t>
      </w:r>
    </w:p>
    <w:p>
      <w:pPr>
        <w:ind w:left="480" w:hanging="480"/>
        <w:rPr>
          <w:b/>
          <w:noProof/>
        </w:rPr>
      </w:pPr>
      <w:r>
        <w:rPr>
          <w:b/>
          <w:noProof/>
        </w:rPr>
        <w:t>3.4</w:t>
      </w:r>
      <w:r>
        <w:rPr>
          <w:b/>
          <w:noProof/>
        </w:rPr>
        <w:tab/>
        <w:t xml:space="preserve">Impact on SMEs </w:t>
      </w:r>
    </w:p>
    <w:p>
      <w:pPr>
        <w:rPr>
          <w:noProof/>
        </w:rPr>
      </w:pPr>
      <w:r>
        <w:rPr>
          <w:noProof/>
        </w:rPr>
        <w:t xml:space="preserve">According to data from </w:t>
      </w:r>
      <w:r>
        <w:rPr>
          <w:b/>
          <w:noProof/>
        </w:rPr>
        <w:t>Colombian</w:t>
      </w:r>
      <w:r>
        <w:rPr>
          <w:noProof/>
        </w:rPr>
        <w:t xml:space="preserve"> authorities, 2,002 companies exported to the EU in 2016, compared to 1,656 in 2012. Among those exporting at least 10,000 USD to the EU, 314 are Small and Medium-Sized Enterprises (SMEs)</w:t>
      </w:r>
      <w:r>
        <w:rPr>
          <w:rStyle w:val="FootnoteReference"/>
          <w:noProof/>
        </w:rPr>
        <w:footnoteReference w:id="5"/>
      </w:r>
      <w:r>
        <w:rPr>
          <w:noProof/>
        </w:rPr>
        <w:t xml:space="preserve"> and 634 micro-enterprises</w:t>
      </w:r>
      <w:r>
        <w:rPr>
          <w:rStyle w:val="FootnoteReference"/>
          <w:noProof/>
        </w:rPr>
        <w:footnoteReference w:id="6"/>
      </w:r>
      <w:r>
        <w:rPr>
          <w:noProof/>
        </w:rPr>
        <w:t xml:space="preserve">. SMEs are strongly represented in non-mineral exports, which increased by 35% since 2012. Micro-enterprises increased their exports to the EU by 81% since 2012. </w:t>
      </w:r>
    </w:p>
    <w:p>
      <w:pPr>
        <w:rPr>
          <w:noProof/>
        </w:rPr>
      </w:pPr>
      <w:r>
        <w:rPr>
          <w:noProof/>
          <w:color w:val="000000" w:themeColor="text1"/>
        </w:rPr>
        <w:t xml:space="preserve">According to </w:t>
      </w:r>
      <w:r>
        <w:rPr>
          <w:b/>
          <w:noProof/>
          <w:color w:val="000000" w:themeColor="text1"/>
        </w:rPr>
        <w:t>Peru's</w:t>
      </w:r>
      <w:r>
        <w:rPr>
          <w:noProof/>
          <w:color w:val="000000" w:themeColor="text1"/>
        </w:rPr>
        <w:t xml:space="preserve"> Export and Tourism Promotion Board, since the entry into force of the Agreement, 2,269 new companies have exported to the EU, of which 857 were from the agro-industrial sector and 458 from the textile sector. New exporting companies are mainly SMEs (95.3%), in fast-growing exports of products, such as fruits, vegetables, food preparations and fishery products.</w:t>
      </w:r>
    </w:p>
    <w:p>
      <w:pPr>
        <w:pStyle w:val="Heading1"/>
        <w:tabs>
          <w:tab w:val="clear" w:pos="480"/>
          <w:tab w:val="num" w:pos="120"/>
        </w:tabs>
        <w:rPr>
          <w:noProof/>
          <w:sz w:val="28"/>
          <w:szCs w:val="28"/>
        </w:rPr>
      </w:pPr>
      <w:r>
        <w:rPr>
          <w:noProof/>
          <w:sz w:val="28"/>
          <w:szCs w:val="28"/>
        </w:rPr>
        <w:t xml:space="preserve">Activities of the implementation bodies  </w:t>
      </w:r>
    </w:p>
    <w:p>
      <w:pPr>
        <w:rPr>
          <w:noProof/>
        </w:rPr>
      </w:pPr>
      <w:r>
        <w:rPr>
          <w:noProof/>
        </w:rPr>
        <w:t>The third meeting of the Trade Committee of the EU-Colombia/Peru Trade Agreement took place on 9 December 2016 in Brussels, Belgium, with prior meetings of all eight Subcommittees. The main conclusions of these meetings are as follows:</w:t>
      </w:r>
    </w:p>
    <w:p>
      <w:pPr>
        <w:rPr>
          <w:i/>
          <w:noProof/>
        </w:rPr>
      </w:pPr>
      <w:r>
        <w:rPr>
          <w:i/>
          <w:noProof/>
        </w:rPr>
        <w:t>a) Subcommittee on Customs, Trade Facilitation and Rules of Origin (28-29 November 2016 – by video-conference)</w:t>
      </w:r>
    </w:p>
    <w:p>
      <w:pPr>
        <w:rPr>
          <w:noProof/>
        </w:rPr>
      </w:pPr>
      <w:r>
        <w:rPr>
          <w:noProof/>
        </w:rPr>
        <w:t>Parties discussed the provision defining direct transport, concerning a possible change to allow for the splitting of consignments for products transiting a third country. No agreement was reached and the matter would be looked at further.</w:t>
      </w:r>
    </w:p>
    <w:p>
      <w:pPr>
        <w:rPr>
          <w:noProof/>
        </w:rPr>
      </w:pPr>
      <w:r>
        <w:rPr>
          <w:noProof/>
        </w:rPr>
        <w:t xml:space="preserve">The EU raised the issue of the customs overvaluation in Peru for the import of trout eggs. Peru explained that the issue was dealt with and the customs value would be based on the transaction value with importers entitled to refunds of any overpaid duty. </w:t>
      </w:r>
    </w:p>
    <w:p>
      <w:pPr>
        <w:rPr>
          <w:noProof/>
        </w:rPr>
      </w:pPr>
      <w:r>
        <w:rPr>
          <w:noProof/>
        </w:rPr>
        <w:t xml:space="preserve">Colombia and Peru raised issues related to proof of origin </w:t>
      </w:r>
      <w:r>
        <w:rPr>
          <w:noProof/>
        </w:rPr>
        <w:tab/>
        <w:t xml:space="preserve">and to the number of verification requests from Spain. </w:t>
      </w:r>
    </w:p>
    <w:p>
      <w:pPr>
        <w:rPr>
          <w:i/>
          <w:noProof/>
        </w:rPr>
      </w:pPr>
      <w:r>
        <w:rPr>
          <w:i/>
          <w:noProof/>
        </w:rPr>
        <w:t>b) Subcommittee on Government Procurement (2 December 2016 – by video-conference)</w:t>
      </w:r>
    </w:p>
    <w:p>
      <w:pPr>
        <w:rPr>
          <w:noProof/>
        </w:rPr>
      </w:pPr>
      <w:r>
        <w:rPr>
          <w:noProof/>
        </w:rPr>
        <w:t xml:space="preserve">With Peru, EU expressed concerns that technical specifications might refer to standards in such a way to create a barrier for EU operators to access the procurement market. </w:t>
      </w:r>
    </w:p>
    <w:p>
      <w:pPr>
        <w:rPr>
          <w:noProof/>
        </w:rPr>
      </w:pPr>
      <w:r>
        <w:rPr>
          <w:noProof/>
        </w:rPr>
        <w:t xml:space="preserve">With regard to Colombia, the EU raised market access at sub-central level, notably for decentralised (municipal) entities responsible for infrastructure. The Parties agreed to continue discussions to find a solution. </w:t>
      </w:r>
    </w:p>
    <w:p>
      <w:pPr>
        <w:rPr>
          <w:i/>
          <w:noProof/>
        </w:rPr>
      </w:pPr>
      <w:r>
        <w:rPr>
          <w:i/>
          <w:noProof/>
        </w:rPr>
        <w:t>c) Subcommittee on Technical Barriers</w:t>
      </w:r>
      <w:r>
        <w:rPr>
          <w:noProof/>
        </w:rPr>
        <w:t xml:space="preserve"> </w:t>
      </w:r>
      <w:r>
        <w:rPr>
          <w:i/>
          <w:noProof/>
        </w:rPr>
        <w:t xml:space="preserve">to Trade (5 December 2016 – for Peru by video-conference) </w:t>
      </w:r>
    </w:p>
    <w:p>
      <w:pPr>
        <w:rPr>
          <w:noProof/>
        </w:rPr>
      </w:pPr>
      <w:r>
        <w:rPr>
          <w:noProof/>
        </w:rPr>
        <w:t xml:space="preserve">With Colombia, the EU raised the implementation of the National Quality Subsystem, in particular changes introduced in regulatory practices, which affect the development of technical regulations. The Parties discussed trade facilitating initiatives on conformity assessment to improve the recognition of certification carried out in the territory of the other Parties. Colombia presented a proposal for the recognition of such certificates. </w:t>
      </w:r>
    </w:p>
    <w:p>
      <w:pPr>
        <w:rPr>
          <w:noProof/>
        </w:rPr>
      </w:pPr>
      <w:r>
        <w:rPr>
          <w:noProof/>
        </w:rPr>
        <w:t xml:space="preserve">Towards Peru, the EU raised concerns on the recognition of Member States with "strong health monitoring” status for exports of pharmaceutical and medical devices products and insisted that all Member States receive the same treatment. </w:t>
      </w:r>
    </w:p>
    <w:p>
      <w:pPr>
        <w:rPr>
          <w:i/>
          <w:noProof/>
        </w:rPr>
      </w:pPr>
      <w:r>
        <w:rPr>
          <w:i/>
          <w:noProof/>
        </w:rPr>
        <w:t>d) Subcommittee on Sanitary and Phytosanitary Matters (6-7 December 2016)</w:t>
      </w:r>
    </w:p>
    <w:p>
      <w:pPr>
        <w:rPr>
          <w:noProof/>
        </w:rPr>
      </w:pPr>
      <w:r>
        <w:rPr>
          <w:noProof/>
        </w:rPr>
        <w:t>The Parties acknowledged progress in the implementation of the SPS provisions, notably in establishing harmonised import conditions and certification for dairy products and meat products. Peru and Colombia accepted the implementation of the regionalisation principle, and the removal of the requirement “</w:t>
      </w:r>
      <w:r>
        <w:rPr>
          <w:i/>
          <w:noProof/>
        </w:rPr>
        <w:t>the animals must be born, raised and slaughtered in the same Member State</w:t>
      </w:r>
      <w:r>
        <w:rPr>
          <w:noProof/>
        </w:rPr>
        <w:t>”. Peru and Colombia expressed interest in cooperating with the EU on antimicrobial resistance. On animal welfare, Colombia and Peru confirmed interest in collaboration and in exchange of information on actions in this field. Parties agreed on a working plan to improve trade conditions.  </w:t>
      </w:r>
    </w:p>
    <w:p>
      <w:pPr>
        <w:spacing w:after="0"/>
        <w:jc w:val="left"/>
        <w:rPr>
          <w:i/>
          <w:noProof/>
        </w:rPr>
      </w:pPr>
      <w:r>
        <w:rPr>
          <w:i/>
          <w:noProof/>
        </w:rPr>
        <w:t>e) Subcommittee on Agriculture (7 December 2016)  </w:t>
      </w:r>
    </w:p>
    <w:p>
      <w:pPr>
        <w:rPr>
          <w:noProof/>
        </w:rPr>
      </w:pPr>
      <w:r>
        <w:rPr>
          <w:noProof/>
        </w:rPr>
        <w:t>The Parties reviewed trade flows and utilisation of quotas, stabilisation mechanism for bananas and EU support program to the Colombian dairy sector and possibilities of further cooperation in agricultural issues.</w:t>
      </w:r>
    </w:p>
    <w:p>
      <w:pPr>
        <w:rPr>
          <w:noProof/>
        </w:rPr>
      </w:pPr>
      <w:r>
        <w:rPr>
          <w:noProof/>
        </w:rPr>
        <w:t xml:space="preserve">On spirits which is subject to ongoing dispute settlement at the WTO, Colombia informed that a new Spirits law has been adopted. The EU raised concerns about the discriminatory taxes in Peru between Pisco and imported spirits, as well as the heavy metal analysis legislation which excludes Pisco but is imposed on similar imported goods. </w:t>
      </w:r>
    </w:p>
    <w:p>
      <w:pPr>
        <w:rPr>
          <w:i/>
          <w:noProof/>
        </w:rPr>
      </w:pPr>
      <w:r>
        <w:rPr>
          <w:i/>
          <w:noProof/>
        </w:rPr>
        <w:t>f) Subcommittee on Trade and Sustainable Development (7-8 December 2016)</w:t>
      </w:r>
    </w:p>
    <w:p>
      <w:pPr>
        <w:rPr>
          <w:noProof/>
        </w:rPr>
      </w:pPr>
      <w:r>
        <w:rPr>
          <w:noProof/>
        </w:rPr>
        <w:t xml:space="preserve">The Parties held the meetings of the institutions in charge of monitoring the implementation of the Trade and Sustainable Development provisions of the Agreement (see part 5 below). </w:t>
      </w:r>
    </w:p>
    <w:p>
      <w:pPr>
        <w:rPr>
          <w:i/>
          <w:noProof/>
        </w:rPr>
      </w:pPr>
      <w:r>
        <w:rPr>
          <w:i/>
          <w:noProof/>
        </w:rPr>
        <w:t>g) Subcommittee on Intellectual Property (8 December 2016)</w:t>
      </w:r>
    </w:p>
    <w:p>
      <w:pPr>
        <w:rPr>
          <w:noProof/>
          <w:szCs w:val="24"/>
        </w:rPr>
      </w:pPr>
      <w:r>
        <w:rPr>
          <w:noProof/>
          <w:szCs w:val="24"/>
        </w:rPr>
        <w:t xml:space="preserve">The discussion on Geographical Indications (GIs) covered remaining problems in registering GIs, enforcement issues and reflections on a simplified procedure for updates of GI lists. Peru and Colombia signalled intention to add new GIs to be protected. </w:t>
      </w:r>
    </w:p>
    <w:p>
      <w:pPr>
        <w:rPr>
          <w:noProof/>
          <w:szCs w:val="24"/>
        </w:rPr>
      </w:pPr>
      <w:r>
        <w:rPr>
          <w:noProof/>
          <w:szCs w:val="24"/>
        </w:rPr>
        <w:t xml:space="preserve">On other IPR, the EU raised points relating to pharmaceutical patents:  with Colombia, concerns about the role of the Ministry of Health in patent examination and with Peru, issues relating to regulatory data protection (such as clinical test data). The EU raised issues on copyright and related rights: in Colombia, about the enforcement of the ‘public performance right’ on public transportation and in Peru problems relating to collecting societies in terms of transparency, distribution of revenues and supervision. </w:t>
      </w:r>
    </w:p>
    <w:p>
      <w:pPr>
        <w:rPr>
          <w:noProof/>
          <w:szCs w:val="24"/>
        </w:rPr>
      </w:pPr>
      <w:r>
        <w:rPr>
          <w:noProof/>
          <w:szCs w:val="24"/>
        </w:rPr>
        <w:t xml:space="preserve">The EU raised issues on enforcement, based on stakeholders' concerns. Peru informed on positive developments, such as quicker procedures and adoption of precautionary measures, as well as on-going work to strengthen IP courts. Colombia referred to their new enforcement strategy on priority areas, which was under first-year implementation review. </w:t>
      </w:r>
    </w:p>
    <w:p>
      <w:pPr>
        <w:rPr>
          <w:i/>
          <w:noProof/>
        </w:rPr>
      </w:pPr>
      <w:r>
        <w:rPr>
          <w:i/>
          <w:noProof/>
        </w:rPr>
        <w:t>h) Subcommittee on Market Access (8 December 2016)</w:t>
      </w:r>
    </w:p>
    <w:p>
      <w:pPr>
        <w:rPr>
          <w:noProof/>
        </w:rPr>
      </w:pPr>
      <w:r>
        <w:rPr>
          <w:noProof/>
        </w:rPr>
        <w:t xml:space="preserve">Parties exchanged views on trade flows, including use of preferences and tariff rates quotas. </w:t>
      </w:r>
    </w:p>
    <w:p>
      <w:pPr>
        <w:rPr>
          <w:noProof/>
        </w:rPr>
      </w:pPr>
      <w:r>
        <w:rPr>
          <w:noProof/>
        </w:rPr>
        <w:t xml:space="preserve">On market access with Colombia, the EU highlighted concerns on the truck scrapping policy. Colombia referred to an upcoming implementing regulation to Decree 1517 to improve market access until the policy would be fully phased out by the end of 2018. The EU also raised the application of a 30,000 USD FOB threshold, above which a higher tax rate applied to sold passenger cars as well as the obligation, enacted in 11 Colombian departments, to attach strip stamps for imported beers. </w:t>
      </w:r>
    </w:p>
    <w:p>
      <w:pPr>
        <w:rPr>
          <w:i/>
          <w:noProof/>
          <w:u w:val="single"/>
        </w:rPr>
      </w:pPr>
      <w:r>
        <w:rPr>
          <w:noProof/>
        </w:rPr>
        <w:t>In relation to Peru, the EU raised concerns about the application of its duty drawback system.</w:t>
      </w:r>
      <w:r>
        <w:rPr>
          <w:i/>
          <w:noProof/>
          <w:u w:val="single"/>
        </w:rPr>
        <w:br w:type="page"/>
      </w:r>
    </w:p>
    <w:p>
      <w:pPr>
        <w:rPr>
          <w:i/>
          <w:noProof/>
          <w:u w:val="single"/>
        </w:rPr>
      </w:pPr>
      <w:r>
        <w:rPr>
          <w:i/>
          <w:noProof/>
          <w:u w:val="single"/>
        </w:rPr>
        <w:t>Trade Committee (9 December 2016)</w:t>
      </w:r>
    </w:p>
    <w:p>
      <w:pPr>
        <w:autoSpaceDE w:val="0"/>
        <w:autoSpaceDN w:val="0"/>
        <w:adjustRightInd w:val="0"/>
        <w:rPr>
          <w:noProof/>
        </w:rPr>
      </w:pPr>
      <w:r>
        <w:rPr>
          <w:noProof/>
        </w:rPr>
        <w:t xml:space="preserve">The Trade Committee took stock of the work in the subcommittees. The EU reiterated some of its main concerns, notably: direct transport and splitting of consignments in Colombia and Peru, EU market access to public procurement at sub-central level in Colombia, continued discrimination of imported spirits in Peru, lack of enforcement for GIs in Peru (Oporto and Feta), obligation for imported beers to attach strip stamps in some departments in Colombia. Peru raised concerns about EU Regulation (EU) 2015/2283 on novel foods. </w:t>
      </w:r>
    </w:p>
    <w:p>
      <w:pPr>
        <w:rPr>
          <w:noProof/>
        </w:rPr>
      </w:pPr>
      <w:r>
        <w:rPr>
          <w:noProof/>
        </w:rPr>
        <w:t xml:space="preserve">The EU gave an update on the ratifications of the Agreement by Member States. Colombia and Peru informed about the ratification process of the Protocol of Accession of Croatia. The Parties welcomed the ongoing ratification process of the Protocol of Accession of Ecuador and its provisional application as of 1 January 2017. </w:t>
      </w:r>
    </w:p>
    <w:p>
      <w:pPr>
        <w:pStyle w:val="Heading1"/>
        <w:tabs>
          <w:tab w:val="clear" w:pos="480"/>
          <w:tab w:val="num" w:pos="-480"/>
        </w:tabs>
        <w:rPr>
          <w:noProof/>
          <w:sz w:val="28"/>
          <w:szCs w:val="28"/>
        </w:rPr>
      </w:pPr>
      <w:r>
        <w:rPr>
          <w:noProof/>
          <w:sz w:val="28"/>
          <w:szCs w:val="28"/>
        </w:rPr>
        <w:t xml:space="preserve">Implementation of the provisions on trade and sustainable development </w:t>
      </w:r>
    </w:p>
    <w:p>
      <w:pPr>
        <w:pStyle w:val="Heading2"/>
        <w:tabs>
          <w:tab w:val="clear" w:pos="1080"/>
          <w:tab w:val="num" w:pos="360"/>
        </w:tabs>
        <w:rPr>
          <w:rFonts w:eastAsiaTheme="minorHAnsi"/>
          <w:noProof/>
          <w:lang w:eastAsia="en-GB"/>
        </w:rPr>
      </w:pPr>
      <w:r>
        <w:rPr>
          <w:rFonts w:eastAsiaTheme="minorHAnsi"/>
          <w:noProof/>
          <w:lang w:eastAsia="en-GB"/>
        </w:rPr>
        <w:t>Sub-Committee on Trade and Sustainable Development</w:t>
      </w:r>
    </w:p>
    <w:p>
      <w:pPr>
        <w:keepNext/>
        <w:spacing w:before="240" w:after="120"/>
        <w:ind w:left="480"/>
        <w:rPr>
          <w:rFonts w:eastAsiaTheme="minorHAnsi"/>
          <w:noProof/>
          <w:szCs w:val="24"/>
          <w:lang w:eastAsia="en-GB"/>
        </w:rPr>
      </w:pPr>
      <w:r>
        <w:rPr>
          <w:rFonts w:eastAsiaTheme="minorHAnsi"/>
          <w:noProof/>
          <w:szCs w:val="24"/>
          <w:lang w:eastAsia="en-GB"/>
        </w:rPr>
        <w:t>The third meeting of the Sub-Committee on Trade and Sustainable Development (here-after the "Sub-committee") was held in Brussels on 7 and 8 December 2016. </w:t>
      </w:r>
    </w:p>
    <w:p>
      <w:pPr>
        <w:pStyle w:val="Heading3"/>
        <w:tabs>
          <w:tab w:val="clear" w:pos="1920"/>
          <w:tab w:val="num" w:pos="360"/>
        </w:tabs>
        <w:ind w:left="1320"/>
        <w:rPr>
          <w:noProof/>
        </w:rPr>
      </w:pPr>
      <w:r>
        <w:rPr>
          <w:noProof/>
        </w:rPr>
        <w:t>Implementation of labour-related provisions</w:t>
      </w:r>
    </w:p>
    <w:p>
      <w:pPr>
        <w:spacing w:before="120" w:after="120"/>
        <w:ind w:left="1320"/>
        <w:rPr>
          <w:rFonts w:eastAsiaTheme="minorHAnsi"/>
          <w:noProof/>
          <w:szCs w:val="24"/>
          <w:lang w:eastAsia="en-GB"/>
        </w:rPr>
      </w:pPr>
      <w:r>
        <w:rPr>
          <w:rFonts w:eastAsiaTheme="minorHAnsi"/>
          <w:noProof/>
          <w:szCs w:val="24"/>
          <w:lang w:eastAsia="en-GB"/>
        </w:rPr>
        <w:t xml:space="preserve">The EU informed on the ratification of ILO Conventions by its Member States, in particular the 2014 Protocol on Forced Labour and ILO Conventions on Domestic Workers and on Work in Fishing. It informed about the European Platform on Undeclared Work as a tool to address the informal economy and about an ongoing review of EU Health and Safety legislation.  The EU expressed concerns on labour issues raised by the ILO supervisory system, and further encouraged Colombia and Peru to address the identified shortcomings and improve the effective implementation of International Labour Standards.  </w:t>
      </w:r>
    </w:p>
    <w:p>
      <w:pPr>
        <w:spacing w:before="120" w:after="120"/>
        <w:ind w:left="1320"/>
        <w:rPr>
          <w:rFonts w:eastAsiaTheme="minorHAnsi"/>
          <w:noProof/>
          <w:szCs w:val="24"/>
          <w:lang w:eastAsia="en-GB"/>
        </w:rPr>
      </w:pPr>
      <w:r>
        <w:rPr>
          <w:rFonts w:eastAsiaTheme="minorHAnsi"/>
          <w:noProof/>
          <w:szCs w:val="24"/>
          <w:lang w:eastAsia="en-GB"/>
        </w:rPr>
        <w:t xml:space="preserve">Colombia described reforms aimed at ensuring freedom of association for workers and progress in diminishing impunity and violence levels, as well as its ratification of the ILO Domestic Workers Convention.  Colombia also informed on work to implement the labour policy recommendations in the context of the accession process to the Organisation for Economic Co-operation and Development (OECD). Colombia highlighted positive experiences with social dialogue and with mechanisms for the resolution of labour conflicts. It noted the challenges brought by the peace process regarding decent work and informality in rural areas. It gave an update on measures aimed at reinforcing labour inspection and tackling subcontracting and informal labour practices. </w:t>
      </w:r>
    </w:p>
    <w:p>
      <w:pPr>
        <w:spacing w:before="120" w:after="120"/>
        <w:ind w:left="1320"/>
        <w:rPr>
          <w:rFonts w:eastAsiaTheme="minorHAnsi"/>
          <w:noProof/>
          <w:szCs w:val="24"/>
          <w:lang w:eastAsia="en-GB"/>
        </w:rPr>
      </w:pPr>
      <w:r>
        <w:rPr>
          <w:rFonts w:eastAsiaTheme="minorHAnsi"/>
          <w:noProof/>
          <w:szCs w:val="24"/>
          <w:lang w:eastAsia="en-GB"/>
        </w:rPr>
        <w:t xml:space="preserve">Peru set out the priorities of the new government: formalization; social dialogue; preventing and eradicating child and of forced labour; labour inspection. It referred to its recent ratification of the ILO Maternity Protection Convention and mechanisms to involve social partners through the National Council of Labour and Promotion of Employment.  </w:t>
      </w:r>
    </w:p>
    <w:p>
      <w:pPr>
        <w:pStyle w:val="Heading3"/>
        <w:tabs>
          <w:tab w:val="clear" w:pos="1920"/>
          <w:tab w:val="num" w:pos="720"/>
        </w:tabs>
        <w:ind w:left="1320"/>
        <w:rPr>
          <w:noProof/>
        </w:rPr>
      </w:pPr>
      <w:r>
        <w:rPr>
          <w:noProof/>
        </w:rPr>
        <w:t>Implementation of environment-related provisions</w:t>
      </w:r>
    </w:p>
    <w:p>
      <w:pPr>
        <w:spacing w:before="120" w:after="120"/>
        <w:ind w:left="1320"/>
        <w:rPr>
          <w:rFonts w:eastAsiaTheme="minorHAnsi"/>
          <w:noProof/>
          <w:szCs w:val="24"/>
          <w:lang w:eastAsia="en-GB"/>
        </w:rPr>
      </w:pPr>
      <w:r>
        <w:rPr>
          <w:rFonts w:eastAsiaTheme="minorHAnsi"/>
          <w:noProof/>
          <w:szCs w:val="24"/>
          <w:lang w:eastAsia="en-GB"/>
        </w:rPr>
        <w:t xml:space="preserve">The EU highlighted developments under multilateral environmental agreements, and actions to implement its Paris Agreement commitments. On the Conference of the Parties to the Convention on International Trade in Endangered Species (CITES), the EU encouraged Colombia to implement its commitments on robust control mechanisms for trade in CITES-listed crocodile and caiman skins. Colombia indicated that it would come back to the EU with additional information on the measures adopted to address this issue. The EU presented the circular economy package and its interest in related </w:t>
      </w:r>
      <w:r>
        <w:rPr>
          <w:noProof/>
          <w:lang w:val="en"/>
        </w:rPr>
        <w:t xml:space="preserve">business meetings </w:t>
      </w:r>
      <w:r>
        <w:rPr>
          <w:rFonts w:eastAsiaTheme="minorHAnsi"/>
          <w:noProof/>
          <w:szCs w:val="24"/>
          <w:lang w:eastAsia="en-GB"/>
        </w:rPr>
        <w:t>to Colombia.</w:t>
      </w:r>
    </w:p>
    <w:p>
      <w:pPr>
        <w:spacing w:before="120" w:after="120"/>
        <w:ind w:left="1320"/>
        <w:rPr>
          <w:rFonts w:eastAsiaTheme="minorHAnsi"/>
          <w:noProof/>
          <w:szCs w:val="24"/>
          <w:lang w:eastAsia="en-GB"/>
        </w:rPr>
      </w:pPr>
      <w:r>
        <w:rPr>
          <w:rFonts w:eastAsiaTheme="minorHAnsi"/>
          <w:noProof/>
          <w:szCs w:val="24"/>
          <w:lang w:eastAsia="en-GB"/>
        </w:rPr>
        <w:t>Peru highlighted its strategy axes “Perú Limpio” and “Perú Natural” and the priorities of the new government: sustainable use of biological diversity, especially forests; climate change adaptation and mitigation; efficient management of solid waste; integrated coastal zone management; prevention and control of pollution and eco-efficiency. It highlighted the need for an adequate institutional framework and for work across sectors and at different levels of government.</w:t>
      </w:r>
    </w:p>
    <w:p>
      <w:pPr>
        <w:pStyle w:val="Heading2"/>
        <w:rPr>
          <w:rFonts w:eastAsiaTheme="minorHAnsi"/>
          <w:noProof/>
          <w:lang w:eastAsia="en-GB"/>
        </w:rPr>
      </w:pPr>
      <w:r>
        <w:rPr>
          <w:rFonts w:eastAsiaTheme="minorHAnsi"/>
          <w:noProof/>
          <w:lang w:eastAsia="en-GB"/>
        </w:rPr>
        <w:t>Domestic consultation and Sub-Committee sessions with civil society</w:t>
      </w:r>
    </w:p>
    <w:p>
      <w:pPr>
        <w:pStyle w:val="Text1"/>
        <w:ind w:firstLine="598"/>
        <w:rPr>
          <w:rFonts w:eastAsiaTheme="minorHAnsi"/>
          <w:noProof/>
          <w:u w:val="single"/>
        </w:rPr>
      </w:pPr>
      <w:r>
        <w:rPr>
          <w:rFonts w:eastAsiaTheme="minorHAnsi"/>
          <w:noProof/>
          <w:u w:val="single"/>
        </w:rPr>
        <w:t>Domestic consultation</w:t>
      </w:r>
    </w:p>
    <w:p>
      <w:pPr>
        <w:spacing w:before="120" w:after="120"/>
        <w:ind w:left="1080"/>
        <w:rPr>
          <w:rFonts w:eastAsiaTheme="minorHAnsi"/>
          <w:noProof/>
          <w:szCs w:val="24"/>
          <w:lang w:eastAsia="en-GB"/>
        </w:rPr>
      </w:pPr>
      <w:r>
        <w:rPr>
          <w:rFonts w:eastAsiaTheme="minorHAnsi"/>
          <w:noProof/>
          <w:szCs w:val="24"/>
          <w:lang w:eastAsia="en-GB"/>
        </w:rPr>
        <w:t xml:space="preserve">Since its establishment, the EU civil society consultation mechanism ("domestic advisory group") met five times, with the European Economic and Social Committee providing three members as well as the Secretariat.  </w:t>
      </w:r>
    </w:p>
    <w:p>
      <w:pPr>
        <w:spacing w:before="120" w:after="120"/>
        <w:ind w:left="1080"/>
        <w:rPr>
          <w:rFonts w:eastAsiaTheme="minorHAnsi"/>
          <w:noProof/>
          <w:szCs w:val="24"/>
          <w:lang w:eastAsia="en-GB"/>
        </w:rPr>
      </w:pPr>
      <w:r>
        <w:rPr>
          <w:rFonts w:eastAsiaTheme="minorHAnsi"/>
          <w:noProof/>
          <w:szCs w:val="24"/>
          <w:lang w:eastAsia="en-GB"/>
        </w:rPr>
        <w:t>Colombian civil society representatives held several meetings at the EU Delegation in Bogota, including one with the Chair of the EU domestic advisory group, to discuss the possibility of establishing sub-group(s) of its consultation mechanisms to follow up the Agreement.</w:t>
      </w:r>
    </w:p>
    <w:p>
      <w:pPr>
        <w:spacing w:before="120" w:after="120"/>
        <w:ind w:left="1080"/>
        <w:rPr>
          <w:rFonts w:eastAsiaTheme="minorHAnsi"/>
          <w:noProof/>
          <w:szCs w:val="24"/>
          <w:u w:val="single"/>
          <w:lang w:eastAsia="en-GB"/>
        </w:rPr>
      </w:pPr>
      <w:r>
        <w:rPr>
          <w:rFonts w:eastAsiaTheme="minorHAnsi"/>
          <w:noProof/>
          <w:szCs w:val="24"/>
          <w:u w:val="single"/>
          <w:lang w:eastAsia="en-GB"/>
        </w:rPr>
        <w:t>Sub-Committee session with civil society</w:t>
      </w:r>
    </w:p>
    <w:p>
      <w:pPr>
        <w:spacing w:before="120" w:after="120"/>
        <w:ind w:left="1080"/>
        <w:rPr>
          <w:rFonts w:eastAsiaTheme="minorHAnsi"/>
          <w:noProof/>
          <w:szCs w:val="24"/>
          <w:lang w:eastAsia="en-GB"/>
        </w:rPr>
      </w:pPr>
      <w:r>
        <w:rPr>
          <w:rFonts w:eastAsiaTheme="minorHAnsi"/>
          <w:noProof/>
          <w:szCs w:val="24"/>
          <w:lang w:eastAsia="en-GB"/>
        </w:rPr>
        <w:t xml:space="preserve">An open session of the Sub-Committee with civil society was held on 8 December 2016 with approximately 60 representatives. It was web-cast live. The Parties informed civil society of the Sub-Committee's discussions through an oral and written report, followed by a question and answer session and debate. Civil society representatives from the EU, Colombia and Peru submitted a joint statement, which raised labour, environment and human rights issues, access to markets for small producers and SMEs and made recommendations concerning civil society participation.   </w:t>
      </w:r>
    </w:p>
    <w:p>
      <w:pPr>
        <w:pStyle w:val="Heading2"/>
        <w:rPr>
          <w:rFonts w:eastAsiaTheme="minorHAnsi"/>
          <w:b w:val="0"/>
          <w:noProof/>
          <w:lang w:eastAsia="en-GB"/>
        </w:rPr>
      </w:pPr>
      <w:r>
        <w:rPr>
          <w:rFonts w:eastAsiaTheme="minorHAnsi"/>
          <w:noProof/>
          <w:lang w:eastAsia="en-GB"/>
        </w:rPr>
        <w:t>Further work and other activities</w:t>
      </w:r>
    </w:p>
    <w:p>
      <w:pPr>
        <w:spacing w:before="120" w:after="120"/>
        <w:ind w:left="1080"/>
        <w:rPr>
          <w:rFonts w:eastAsiaTheme="minorHAnsi"/>
          <w:bCs/>
          <w:noProof/>
          <w:szCs w:val="24"/>
          <w:lang w:eastAsia="en-GB"/>
        </w:rPr>
      </w:pPr>
      <w:r>
        <w:rPr>
          <w:rFonts w:eastAsiaTheme="minorHAnsi"/>
          <w:bCs/>
          <w:noProof/>
          <w:szCs w:val="24"/>
          <w:lang w:eastAsia="en-GB"/>
        </w:rPr>
        <w:t>All sides agreed to intensify contacts to develop activities implementing the Trade and Sustainable Development provisions.  Besides environment and labour, the Parties discussed potential work on Responsible Business Conduct/Corporate Social Responsibility as a cross-cutting instrument.</w:t>
      </w:r>
    </w:p>
    <w:p>
      <w:pPr>
        <w:spacing w:before="120" w:after="120"/>
        <w:ind w:left="1080"/>
        <w:rPr>
          <w:rFonts w:eastAsiaTheme="minorHAnsi"/>
          <w:bCs/>
          <w:noProof/>
          <w:szCs w:val="24"/>
          <w:lang w:eastAsia="en-GB"/>
        </w:rPr>
      </w:pPr>
      <w:r>
        <w:rPr>
          <w:rFonts w:eastAsiaTheme="minorHAnsi"/>
          <w:bCs/>
          <w:noProof/>
          <w:szCs w:val="24"/>
          <w:lang w:eastAsia="en-GB"/>
        </w:rPr>
        <w:t xml:space="preserve">On the request from Colombia and Peru, the EU organised a technical seminar on 6 December 2016 with video link to Bogota and Lima, where it presented and discussed methodologies used in impact assessments of EU trade agreements.  </w:t>
      </w:r>
    </w:p>
    <w:p>
      <w:pPr>
        <w:spacing w:before="120" w:after="120"/>
        <w:ind w:left="1080"/>
        <w:rPr>
          <w:rFonts w:eastAsiaTheme="minorHAnsi"/>
          <w:bCs/>
          <w:noProof/>
          <w:szCs w:val="24"/>
          <w:u w:val="single"/>
          <w:lang w:eastAsia="en-GB"/>
        </w:rPr>
      </w:pPr>
      <w:r>
        <w:rPr>
          <w:rFonts w:eastAsiaTheme="minorHAnsi"/>
          <w:bCs/>
          <w:noProof/>
          <w:szCs w:val="24"/>
          <w:u w:val="single"/>
          <w:lang w:eastAsia="en-GB"/>
        </w:rPr>
        <w:t>Colombia</w:t>
      </w:r>
    </w:p>
    <w:p>
      <w:pPr>
        <w:spacing w:before="120" w:after="120"/>
        <w:ind w:left="1080"/>
        <w:rPr>
          <w:rFonts w:eastAsiaTheme="minorHAnsi"/>
          <w:bCs/>
          <w:noProof/>
          <w:szCs w:val="24"/>
          <w:lang w:eastAsia="en-GB"/>
        </w:rPr>
      </w:pPr>
      <w:r>
        <w:rPr>
          <w:rFonts w:eastAsiaTheme="minorHAnsi"/>
          <w:bCs/>
          <w:noProof/>
          <w:szCs w:val="24"/>
          <w:lang w:eastAsia="en-GB"/>
        </w:rPr>
        <w:t>In December 2016, the EU participated in a regional OECD seminar in Colombia on responsible mineral supply chains, focussing on its forthcoming Regulation on conflict minerals. As an outcome, the EU Delegation in Bogota set up a coordination group on illegal mining with other embassies to coordinate positions and plan joint actions.</w:t>
      </w:r>
    </w:p>
    <w:p>
      <w:pPr>
        <w:spacing w:before="120" w:after="120"/>
        <w:ind w:left="1080"/>
        <w:rPr>
          <w:rFonts w:eastAsiaTheme="minorHAnsi"/>
          <w:bCs/>
          <w:noProof/>
          <w:szCs w:val="24"/>
          <w:lang w:eastAsia="en-GB"/>
        </w:rPr>
      </w:pPr>
      <w:r>
        <w:rPr>
          <w:rFonts w:eastAsiaTheme="minorHAnsi"/>
          <w:bCs/>
          <w:noProof/>
          <w:szCs w:val="24"/>
          <w:lang w:eastAsia="en-GB"/>
        </w:rPr>
        <w:t>During the visit of EU Commissioner for Agriculture Phil Hogan in February 2016, the EU and Colombia agreed to start negotiations on a bilateral agreement on trade in organic products.</w:t>
      </w:r>
    </w:p>
    <w:p>
      <w:pPr>
        <w:spacing w:before="120" w:after="120"/>
        <w:ind w:left="1080"/>
        <w:rPr>
          <w:rFonts w:eastAsiaTheme="minorHAnsi"/>
          <w:bCs/>
          <w:noProof/>
          <w:szCs w:val="24"/>
          <w:lang w:eastAsia="en-GB"/>
        </w:rPr>
      </w:pPr>
      <w:r>
        <w:rPr>
          <w:rFonts w:eastAsiaTheme="minorHAnsi"/>
          <w:bCs/>
          <w:noProof/>
          <w:szCs w:val="24"/>
          <w:lang w:eastAsia="en-GB"/>
        </w:rPr>
        <w:t xml:space="preserve">A number of events were organised to raise visibility on sustainable development and its link to the peace process, including visits in areas affected by the conflict. The latest event was a conference in February 2017 on how the Trade Agreement can contribute to creating economic opportunities in the context of the peace process. To increase understanding of the labour situation in Colombia, the EU Delegation organised a 3-day workshop to discuss the implementation of labour standards. </w:t>
      </w:r>
    </w:p>
    <w:p>
      <w:pPr>
        <w:spacing w:before="120" w:after="120"/>
        <w:ind w:left="1080"/>
        <w:rPr>
          <w:rFonts w:eastAsiaTheme="minorHAnsi"/>
          <w:bCs/>
          <w:noProof/>
          <w:szCs w:val="24"/>
          <w:u w:val="single"/>
          <w:lang w:eastAsia="en-GB"/>
        </w:rPr>
      </w:pPr>
      <w:r>
        <w:rPr>
          <w:rFonts w:eastAsiaTheme="minorHAnsi"/>
          <w:bCs/>
          <w:noProof/>
          <w:szCs w:val="24"/>
          <w:u w:val="single"/>
          <w:lang w:eastAsia="en-GB"/>
        </w:rPr>
        <w:t>Peru</w:t>
      </w:r>
    </w:p>
    <w:p>
      <w:pPr>
        <w:spacing w:before="120" w:after="120"/>
        <w:ind w:left="1080"/>
        <w:rPr>
          <w:rFonts w:eastAsiaTheme="minorHAnsi"/>
          <w:bCs/>
          <w:noProof/>
          <w:szCs w:val="24"/>
          <w:lang w:eastAsia="en-GB"/>
        </w:rPr>
      </w:pPr>
      <w:r>
        <w:rPr>
          <w:rFonts w:eastAsiaTheme="minorHAnsi"/>
          <w:bCs/>
          <w:noProof/>
          <w:szCs w:val="24"/>
          <w:lang w:eastAsia="en-GB"/>
        </w:rPr>
        <w:t>As part of the project "Promoting Corporate Social Responsibility/Responsible Business Conduct in Latin America and the Caribbean – Pilot phase”, the EU Delegation in Peru held the seminar "Towards OECD membership: Promoting Responsible Business Conduct in Peru" in Lima on 29 November 2016.</w:t>
      </w:r>
    </w:p>
    <w:p>
      <w:pPr>
        <w:spacing w:before="120" w:after="120"/>
        <w:ind w:left="1080"/>
        <w:rPr>
          <w:rFonts w:eastAsiaTheme="minorHAnsi"/>
          <w:bCs/>
          <w:noProof/>
          <w:szCs w:val="24"/>
          <w:lang w:eastAsia="en-GB"/>
        </w:rPr>
      </w:pPr>
      <w:r>
        <w:rPr>
          <w:rFonts w:eastAsiaTheme="minorHAnsi"/>
          <w:bCs/>
          <w:noProof/>
          <w:szCs w:val="24"/>
          <w:lang w:eastAsia="en-GB"/>
        </w:rPr>
        <w:t>The EU Delegation in Peru participated in NEXOS +1, a seminar on environmentally sustainable business models which took place in Lima, on 24 October 2016.</w:t>
      </w:r>
    </w:p>
    <w:p>
      <w:pPr>
        <w:pStyle w:val="Heading1"/>
        <w:rPr>
          <w:noProof/>
          <w:sz w:val="28"/>
          <w:szCs w:val="28"/>
        </w:rPr>
      </w:pPr>
      <w:r>
        <w:rPr>
          <w:noProof/>
          <w:sz w:val="28"/>
          <w:szCs w:val="28"/>
        </w:rPr>
        <w:t>Specific areas subject to reporting or monitoring</w:t>
      </w:r>
    </w:p>
    <w:p>
      <w:pPr>
        <w:pStyle w:val="Heading2"/>
        <w:rPr>
          <w:noProof/>
        </w:rPr>
      </w:pPr>
      <w:r>
        <w:rPr>
          <w:noProof/>
        </w:rPr>
        <w:t xml:space="preserve">Use of Tariff-rate quotas </w:t>
      </w:r>
    </w:p>
    <w:p>
      <w:pPr>
        <w:spacing w:after="120"/>
        <w:rPr>
          <w:rFonts w:eastAsia="Calibri"/>
          <w:noProof/>
        </w:rPr>
      </w:pPr>
      <w:r>
        <w:rPr>
          <w:rFonts w:eastAsia="Calibri"/>
          <w:noProof/>
        </w:rPr>
        <w:t>The Agreement provides for tariff rate quotas (TRQs) which grant the other Party preferential tariff treatment up to the quota’s quantitative threshold, above which imports are subject to the applicable Most-Favoured Nation tariff.</w:t>
      </w:r>
    </w:p>
    <w:p>
      <w:pPr>
        <w:widowControl w:val="0"/>
        <w:rPr>
          <w:b/>
          <w:noProof/>
        </w:rPr>
      </w:pPr>
      <w:r>
        <w:rPr>
          <w:b/>
          <w:noProof/>
        </w:rPr>
        <w:t>Tariff quotas established by the EU</w:t>
      </w:r>
    </w:p>
    <w:p>
      <w:pPr>
        <w:spacing w:after="120"/>
        <w:rPr>
          <w:rFonts w:eastAsia="Calibri"/>
          <w:noProof/>
        </w:rPr>
      </w:pPr>
      <w:r>
        <w:rPr>
          <w:noProof/>
        </w:rPr>
        <w:t>Tables 7 and 8 show the rates of utilisation of TRQs established by the EU for Colombia and Peru. Only TRQs that were used are mentioned.</w:t>
      </w:r>
    </w:p>
    <w:p>
      <w:pPr>
        <w:widowControl w:val="0"/>
        <w:spacing w:after="120"/>
        <w:rPr>
          <w:noProof/>
        </w:rPr>
      </w:pPr>
      <w:r>
        <w:rPr>
          <w:noProof/>
        </w:rPr>
        <w:t xml:space="preserve">Colombia's use of the TRQ for cane or beet sugar and chemically pure sucrose has increased from 88.4% to 96.2%. Other TRQs are hardly or not utilised. </w:t>
      </w:r>
    </w:p>
    <w:p>
      <w:pPr>
        <w:widowControl w:val="0"/>
        <w:spacing w:after="120"/>
        <w:jc w:val="center"/>
        <w:rPr>
          <w:b/>
          <w:noProof/>
        </w:rPr>
      </w:pPr>
      <w:r>
        <w:rPr>
          <w:b/>
          <w:noProof/>
        </w:rPr>
        <w:t xml:space="preserve">Table 7: Rate of utilisation of EU TRQs by Colombia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836"/>
        <w:gridCol w:w="956"/>
        <w:gridCol w:w="836"/>
        <w:gridCol w:w="836"/>
      </w:tblGrid>
      <w:tr>
        <w:trPr>
          <w:jc w:val="center"/>
        </w:trPr>
        <w:tc>
          <w:tcPr>
            <w:tcW w:w="4075" w:type="dxa"/>
            <w:shd w:val="clear" w:color="auto" w:fill="F2F2F2" w:themeFill="background1" w:themeFillShade="F2"/>
            <w:vAlign w:val="center"/>
          </w:tcPr>
          <w:p>
            <w:pPr>
              <w:spacing w:after="120" w:line="276" w:lineRule="auto"/>
              <w:jc w:val="center"/>
              <w:rPr>
                <w:noProof/>
                <w:color w:val="000000"/>
                <w:szCs w:val="24"/>
                <w:lang w:eastAsia="en-GB"/>
              </w:rPr>
            </w:pPr>
          </w:p>
        </w:tc>
        <w:tc>
          <w:tcPr>
            <w:tcW w:w="836" w:type="dxa"/>
            <w:shd w:val="clear" w:color="auto" w:fill="F2F2F2" w:themeFill="background1" w:themeFillShade="F2"/>
            <w:vAlign w:val="center"/>
          </w:tcPr>
          <w:p>
            <w:pPr>
              <w:widowControl w:val="0"/>
              <w:spacing w:after="120" w:line="276" w:lineRule="auto"/>
              <w:jc w:val="center"/>
              <w:rPr>
                <w:noProof/>
                <w:szCs w:val="24"/>
              </w:rPr>
            </w:pPr>
            <w:r>
              <w:rPr>
                <w:b/>
                <w:noProof/>
                <w:szCs w:val="24"/>
              </w:rPr>
              <w:t>2013</w:t>
            </w:r>
          </w:p>
        </w:tc>
        <w:tc>
          <w:tcPr>
            <w:tcW w:w="956" w:type="dxa"/>
            <w:shd w:val="clear" w:color="auto" w:fill="F2F2F2" w:themeFill="background1" w:themeFillShade="F2"/>
            <w:vAlign w:val="center"/>
          </w:tcPr>
          <w:p>
            <w:pPr>
              <w:widowControl w:val="0"/>
              <w:spacing w:after="120" w:line="276" w:lineRule="auto"/>
              <w:jc w:val="center"/>
              <w:rPr>
                <w:noProof/>
                <w:szCs w:val="24"/>
              </w:rPr>
            </w:pPr>
            <w:r>
              <w:rPr>
                <w:b/>
                <w:noProof/>
                <w:szCs w:val="24"/>
              </w:rPr>
              <w:t>2014</w:t>
            </w:r>
          </w:p>
        </w:tc>
        <w:tc>
          <w:tcPr>
            <w:tcW w:w="836" w:type="dxa"/>
            <w:shd w:val="clear" w:color="auto" w:fill="F2F2F2" w:themeFill="background1" w:themeFillShade="F2"/>
            <w:vAlign w:val="center"/>
          </w:tcPr>
          <w:p>
            <w:pPr>
              <w:widowControl w:val="0"/>
              <w:spacing w:after="120" w:line="276" w:lineRule="auto"/>
              <w:jc w:val="center"/>
              <w:rPr>
                <w:noProof/>
                <w:szCs w:val="24"/>
              </w:rPr>
            </w:pPr>
            <w:r>
              <w:rPr>
                <w:b/>
                <w:noProof/>
                <w:szCs w:val="24"/>
              </w:rPr>
              <w:t>2015</w:t>
            </w:r>
          </w:p>
        </w:tc>
        <w:tc>
          <w:tcPr>
            <w:tcW w:w="836" w:type="dxa"/>
            <w:shd w:val="clear" w:color="auto" w:fill="F2F2F2" w:themeFill="background1" w:themeFillShade="F2"/>
            <w:vAlign w:val="center"/>
          </w:tcPr>
          <w:p>
            <w:pPr>
              <w:widowControl w:val="0"/>
              <w:spacing w:after="120" w:line="276" w:lineRule="auto"/>
              <w:jc w:val="center"/>
              <w:rPr>
                <w:noProof/>
                <w:szCs w:val="24"/>
              </w:rPr>
            </w:pPr>
            <w:r>
              <w:rPr>
                <w:b/>
                <w:noProof/>
                <w:szCs w:val="24"/>
              </w:rPr>
              <w:t>2016</w:t>
            </w:r>
          </w:p>
        </w:tc>
      </w:tr>
      <w:tr>
        <w:trPr>
          <w:jc w:val="center"/>
        </w:trPr>
        <w:tc>
          <w:tcPr>
            <w:tcW w:w="4075" w:type="dxa"/>
            <w:vAlign w:val="center"/>
            <w:hideMark/>
          </w:tcPr>
          <w:p>
            <w:pPr>
              <w:spacing w:after="120" w:line="276" w:lineRule="auto"/>
              <w:rPr>
                <w:noProof/>
                <w:szCs w:val="24"/>
              </w:rPr>
            </w:pPr>
            <w:r>
              <w:rPr>
                <w:noProof/>
                <w:color w:val="000000"/>
                <w:szCs w:val="24"/>
                <w:lang w:eastAsia="en-GB"/>
              </w:rPr>
              <w:t>Cane sugar and chemically pure sucrose</w:t>
            </w:r>
          </w:p>
        </w:tc>
        <w:tc>
          <w:tcPr>
            <w:tcW w:w="836" w:type="dxa"/>
            <w:vAlign w:val="center"/>
          </w:tcPr>
          <w:p>
            <w:pPr>
              <w:widowControl w:val="0"/>
              <w:spacing w:after="120" w:line="276" w:lineRule="auto"/>
              <w:jc w:val="center"/>
              <w:rPr>
                <w:noProof/>
                <w:szCs w:val="24"/>
              </w:rPr>
            </w:pPr>
            <w:r>
              <w:rPr>
                <w:noProof/>
                <w:szCs w:val="24"/>
              </w:rPr>
              <w:t>88,4%</w:t>
            </w:r>
          </w:p>
        </w:tc>
        <w:tc>
          <w:tcPr>
            <w:tcW w:w="956" w:type="dxa"/>
            <w:vAlign w:val="center"/>
            <w:hideMark/>
          </w:tcPr>
          <w:p>
            <w:pPr>
              <w:widowControl w:val="0"/>
              <w:spacing w:after="120" w:line="276" w:lineRule="auto"/>
              <w:jc w:val="center"/>
              <w:rPr>
                <w:noProof/>
                <w:szCs w:val="24"/>
              </w:rPr>
            </w:pPr>
            <w:r>
              <w:rPr>
                <w:noProof/>
                <w:szCs w:val="24"/>
              </w:rPr>
              <w:t>85.72%</w:t>
            </w:r>
          </w:p>
        </w:tc>
        <w:tc>
          <w:tcPr>
            <w:tcW w:w="836" w:type="dxa"/>
            <w:vAlign w:val="center"/>
            <w:hideMark/>
          </w:tcPr>
          <w:p>
            <w:pPr>
              <w:widowControl w:val="0"/>
              <w:spacing w:after="120" w:line="276" w:lineRule="auto"/>
              <w:jc w:val="center"/>
              <w:rPr>
                <w:noProof/>
                <w:szCs w:val="24"/>
              </w:rPr>
            </w:pPr>
            <w:r>
              <w:rPr>
                <w:noProof/>
                <w:szCs w:val="24"/>
              </w:rPr>
              <w:t>93.8%</w:t>
            </w:r>
          </w:p>
        </w:tc>
        <w:tc>
          <w:tcPr>
            <w:tcW w:w="836" w:type="dxa"/>
            <w:vAlign w:val="center"/>
            <w:hideMark/>
          </w:tcPr>
          <w:p>
            <w:pPr>
              <w:widowControl w:val="0"/>
              <w:spacing w:after="120" w:line="276" w:lineRule="auto"/>
              <w:jc w:val="center"/>
              <w:rPr>
                <w:noProof/>
                <w:szCs w:val="24"/>
              </w:rPr>
            </w:pPr>
            <w:r>
              <w:rPr>
                <w:noProof/>
                <w:szCs w:val="24"/>
              </w:rPr>
              <w:t>96.2%</w:t>
            </w:r>
          </w:p>
        </w:tc>
      </w:tr>
      <w:tr>
        <w:trPr>
          <w:jc w:val="center"/>
        </w:trPr>
        <w:tc>
          <w:tcPr>
            <w:tcW w:w="4075" w:type="dxa"/>
            <w:vAlign w:val="center"/>
            <w:hideMark/>
          </w:tcPr>
          <w:p>
            <w:pPr>
              <w:widowControl w:val="0"/>
              <w:spacing w:after="120" w:line="276" w:lineRule="auto"/>
              <w:rPr>
                <w:noProof/>
                <w:szCs w:val="24"/>
              </w:rPr>
            </w:pPr>
            <w:r>
              <w:rPr>
                <w:noProof/>
                <w:szCs w:val="24"/>
              </w:rPr>
              <w:t>Other sugar confectionery</w:t>
            </w:r>
          </w:p>
        </w:tc>
        <w:tc>
          <w:tcPr>
            <w:tcW w:w="836" w:type="dxa"/>
            <w:vAlign w:val="center"/>
          </w:tcPr>
          <w:p>
            <w:pPr>
              <w:widowControl w:val="0"/>
              <w:spacing w:after="120" w:line="276" w:lineRule="auto"/>
              <w:jc w:val="center"/>
              <w:rPr>
                <w:noProof/>
                <w:szCs w:val="24"/>
              </w:rPr>
            </w:pPr>
            <w:r>
              <w:rPr>
                <w:noProof/>
                <w:szCs w:val="24"/>
              </w:rPr>
              <w:t>1,37%</w:t>
            </w:r>
          </w:p>
        </w:tc>
        <w:tc>
          <w:tcPr>
            <w:tcW w:w="956" w:type="dxa"/>
            <w:vAlign w:val="center"/>
            <w:hideMark/>
          </w:tcPr>
          <w:p>
            <w:pPr>
              <w:widowControl w:val="0"/>
              <w:spacing w:after="120" w:line="276" w:lineRule="auto"/>
              <w:jc w:val="center"/>
              <w:rPr>
                <w:noProof/>
                <w:szCs w:val="24"/>
              </w:rPr>
            </w:pPr>
            <w:r>
              <w:rPr>
                <w:noProof/>
                <w:szCs w:val="24"/>
              </w:rPr>
              <w:t>1.32%</w:t>
            </w:r>
          </w:p>
        </w:tc>
        <w:tc>
          <w:tcPr>
            <w:tcW w:w="836" w:type="dxa"/>
            <w:vAlign w:val="center"/>
            <w:hideMark/>
          </w:tcPr>
          <w:p>
            <w:pPr>
              <w:widowControl w:val="0"/>
              <w:spacing w:after="120" w:line="276" w:lineRule="auto"/>
              <w:jc w:val="center"/>
              <w:rPr>
                <w:noProof/>
                <w:szCs w:val="24"/>
              </w:rPr>
            </w:pPr>
            <w:r>
              <w:rPr>
                <w:noProof/>
                <w:szCs w:val="24"/>
              </w:rPr>
              <w:t>1.23%</w:t>
            </w:r>
          </w:p>
        </w:tc>
        <w:tc>
          <w:tcPr>
            <w:tcW w:w="836" w:type="dxa"/>
            <w:vAlign w:val="center"/>
            <w:hideMark/>
          </w:tcPr>
          <w:p>
            <w:pPr>
              <w:widowControl w:val="0"/>
              <w:spacing w:after="120" w:line="276" w:lineRule="auto"/>
              <w:jc w:val="center"/>
              <w:rPr>
                <w:noProof/>
                <w:szCs w:val="24"/>
              </w:rPr>
            </w:pPr>
            <w:r>
              <w:rPr>
                <w:noProof/>
                <w:szCs w:val="24"/>
              </w:rPr>
              <w:t>1.5%</w:t>
            </w:r>
          </w:p>
        </w:tc>
      </w:tr>
    </w:tbl>
    <w:p>
      <w:pPr>
        <w:widowControl w:val="0"/>
        <w:jc w:val="center"/>
        <w:rPr>
          <w:noProof/>
          <w:sz w:val="20"/>
          <w:lang w:val="es-ES_tradnl"/>
        </w:rPr>
      </w:pPr>
      <w:r>
        <w:rPr>
          <w:noProof/>
          <w:sz w:val="20"/>
          <w:lang w:val="es-ES_tradnl"/>
        </w:rPr>
        <w:t>Source: TAXUD, Surveillance Database</w:t>
      </w:r>
    </w:p>
    <w:p>
      <w:pPr>
        <w:spacing w:after="0"/>
        <w:jc w:val="left"/>
        <w:rPr>
          <w:noProof/>
        </w:rPr>
      </w:pPr>
      <w:r>
        <w:rPr>
          <w:noProof/>
        </w:rPr>
        <w:br w:type="page"/>
      </w:r>
    </w:p>
    <w:p>
      <w:pPr>
        <w:widowControl w:val="0"/>
        <w:spacing w:after="120"/>
        <w:rPr>
          <w:noProof/>
        </w:rPr>
      </w:pPr>
      <w:r>
        <w:rPr>
          <w:noProof/>
        </w:rPr>
        <w:t xml:space="preserve">TRQ for cane sugar has been almost fully utilised by Peru since the entry into force of the Agreement. TRQ for corn has also a high rate of utilisation. Peru is starting to take advantage of the TRQ on garlic. Other TRQs have very low utilisation rate. </w:t>
      </w:r>
    </w:p>
    <w:p>
      <w:pPr>
        <w:widowControl w:val="0"/>
        <w:spacing w:after="120"/>
        <w:jc w:val="center"/>
        <w:rPr>
          <w:b/>
          <w:noProof/>
        </w:rPr>
      </w:pPr>
      <w:r>
        <w:rPr>
          <w:b/>
          <w:noProof/>
        </w:rPr>
        <w:t>Table 8: Rate of utilisation of EU TRQs by Peru</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60"/>
        <w:gridCol w:w="1188"/>
        <w:gridCol w:w="1172"/>
        <w:gridCol w:w="960"/>
      </w:tblGrid>
      <w:tr>
        <w:trPr>
          <w:trHeight w:val="315"/>
        </w:trPr>
        <w:tc>
          <w:tcPr>
            <w:tcW w:w="1800" w:type="dxa"/>
            <w:shd w:val="clear" w:color="auto" w:fill="F2F2F2" w:themeFill="background1" w:themeFillShade="F2"/>
            <w:vAlign w:val="center"/>
          </w:tcPr>
          <w:p>
            <w:pPr>
              <w:spacing w:after="0"/>
              <w:contextualSpacing/>
              <w:jc w:val="center"/>
              <w:rPr>
                <w:noProof/>
                <w:color w:val="000000" w:themeColor="text1"/>
                <w:szCs w:val="24"/>
                <w:lang w:eastAsia="en-GB"/>
              </w:rPr>
            </w:pPr>
          </w:p>
        </w:tc>
        <w:tc>
          <w:tcPr>
            <w:tcW w:w="960" w:type="dxa"/>
            <w:shd w:val="clear" w:color="auto" w:fill="F2F2F2" w:themeFill="background1" w:themeFillShade="F2"/>
            <w:noWrap/>
            <w:vAlign w:val="center"/>
          </w:tcPr>
          <w:p>
            <w:pPr>
              <w:spacing w:after="0"/>
              <w:contextualSpacing/>
              <w:jc w:val="center"/>
              <w:rPr>
                <w:bCs/>
                <w:noProof/>
                <w:color w:val="000000" w:themeColor="text1"/>
                <w:szCs w:val="24"/>
                <w:lang w:eastAsia="en-GB"/>
              </w:rPr>
            </w:pPr>
            <w:r>
              <w:rPr>
                <w:b/>
                <w:bCs/>
                <w:noProof/>
                <w:color w:val="000000"/>
                <w:szCs w:val="24"/>
                <w:lang w:eastAsia="en-GB"/>
              </w:rPr>
              <w:t>2013</w:t>
            </w:r>
          </w:p>
        </w:tc>
        <w:tc>
          <w:tcPr>
            <w:tcW w:w="1188" w:type="dxa"/>
            <w:shd w:val="clear" w:color="auto" w:fill="F2F2F2" w:themeFill="background1" w:themeFillShade="F2"/>
            <w:noWrap/>
            <w:vAlign w:val="center"/>
          </w:tcPr>
          <w:p>
            <w:pPr>
              <w:spacing w:after="0"/>
              <w:contextualSpacing/>
              <w:jc w:val="center"/>
              <w:rPr>
                <w:bCs/>
                <w:noProof/>
                <w:color w:val="000000" w:themeColor="text1"/>
                <w:szCs w:val="24"/>
                <w:lang w:eastAsia="en-GB"/>
              </w:rPr>
            </w:pPr>
            <w:r>
              <w:rPr>
                <w:b/>
                <w:bCs/>
                <w:noProof/>
                <w:color w:val="000000"/>
                <w:szCs w:val="24"/>
                <w:lang w:eastAsia="en-GB"/>
              </w:rPr>
              <w:t>2014</w:t>
            </w:r>
          </w:p>
        </w:tc>
        <w:tc>
          <w:tcPr>
            <w:tcW w:w="1172" w:type="dxa"/>
            <w:shd w:val="clear" w:color="auto" w:fill="F2F2F2" w:themeFill="background1" w:themeFillShade="F2"/>
            <w:noWrap/>
            <w:vAlign w:val="center"/>
          </w:tcPr>
          <w:p>
            <w:pPr>
              <w:spacing w:after="0"/>
              <w:contextualSpacing/>
              <w:jc w:val="center"/>
              <w:rPr>
                <w:bCs/>
                <w:noProof/>
                <w:color w:val="000000" w:themeColor="text1"/>
                <w:szCs w:val="24"/>
                <w:lang w:eastAsia="en-GB"/>
              </w:rPr>
            </w:pPr>
            <w:r>
              <w:rPr>
                <w:b/>
                <w:bCs/>
                <w:noProof/>
                <w:color w:val="000000"/>
                <w:szCs w:val="24"/>
                <w:lang w:eastAsia="en-GB"/>
              </w:rPr>
              <w:t>2015</w:t>
            </w:r>
          </w:p>
        </w:tc>
        <w:tc>
          <w:tcPr>
            <w:tcW w:w="960" w:type="dxa"/>
            <w:shd w:val="clear" w:color="auto" w:fill="F2F2F2" w:themeFill="background1" w:themeFillShade="F2"/>
            <w:noWrap/>
            <w:vAlign w:val="center"/>
          </w:tcPr>
          <w:p>
            <w:pPr>
              <w:spacing w:after="0"/>
              <w:contextualSpacing/>
              <w:jc w:val="center"/>
              <w:rPr>
                <w:bCs/>
                <w:noProof/>
                <w:color w:val="000000" w:themeColor="text1"/>
                <w:szCs w:val="24"/>
                <w:lang w:eastAsia="en-GB"/>
              </w:rPr>
            </w:pPr>
            <w:r>
              <w:rPr>
                <w:b/>
                <w:bCs/>
                <w:noProof/>
                <w:color w:val="000000"/>
                <w:szCs w:val="24"/>
                <w:lang w:eastAsia="en-GB"/>
              </w:rPr>
              <w:t>2016</w:t>
            </w:r>
          </w:p>
        </w:tc>
      </w:tr>
      <w:tr>
        <w:trPr>
          <w:trHeight w:val="315"/>
        </w:trPr>
        <w:tc>
          <w:tcPr>
            <w:tcW w:w="1800" w:type="dxa"/>
            <w:shd w:val="clear" w:color="000000" w:fill="FFFFFF"/>
            <w:vAlign w:val="center"/>
          </w:tcPr>
          <w:p>
            <w:pPr>
              <w:spacing w:after="0"/>
              <w:contextualSpacing/>
              <w:jc w:val="center"/>
              <w:rPr>
                <w:noProof/>
                <w:color w:val="000000"/>
                <w:szCs w:val="24"/>
                <w:lang w:eastAsia="en-GB"/>
              </w:rPr>
            </w:pPr>
            <w:r>
              <w:rPr>
                <w:noProof/>
                <w:color w:val="000000" w:themeColor="text1"/>
                <w:szCs w:val="24"/>
                <w:lang w:eastAsia="en-GB"/>
              </w:rPr>
              <w:t>Cane sugar</w:t>
            </w:r>
          </w:p>
        </w:tc>
        <w:tc>
          <w:tcPr>
            <w:tcW w:w="960"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100%</w:t>
            </w:r>
          </w:p>
        </w:tc>
        <w:tc>
          <w:tcPr>
            <w:tcW w:w="1188"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100%</w:t>
            </w:r>
          </w:p>
        </w:tc>
        <w:tc>
          <w:tcPr>
            <w:tcW w:w="1172"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3,5%</w:t>
            </w:r>
          </w:p>
        </w:tc>
        <w:tc>
          <w:tcPr>
            <w:tcW w:w="960"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99,8%</w:t>
            </w:r>
          </w:p>
        </w:tc>
      </w:tr>
      <w:tr>
        <w:trPr>
          <w:trHeight w:val="315"/>
        </w:trPr>
        <w:tc>
          <w:tcPr>
            <w:tcW w:w="1800" w:type="dxa"/>
            <w:shd w:val="clear" w:color="000000" w:fill="FFFFFF"/>
            <w:vAlign w:val="center"/>
          </w:tcPr>
          <w:p>
            <w:pPr>
              <w:spacing w:after="0"/>
              <w:contextualSpacing/>
              <w:jc w:val="center"/>
              <w:rPr>
                <w:noProof/>
                <w:color w:val="000000"/>
                <w:szCs w:val="24"/>
                <w:lang w:eastAsia="en-GB"/>
              </w:rPr>
            </w:pPr>
            <w:r>
              <w:rPr>
                <w:noProof/>
                <w:color w:val="000000" w:themeColor="text1"/>
                <w:szCs w:val="24"/>
                <w:lang w:eastAsia="en-GB"/>
              </w:rPr>
              <w:t>Sweetcorn</w:t>
            </w:r>
          </w:p>
        </w:tc>
        <w:tc>
          <w:tcPr>
            <w:tcW w:w="960"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21%</w:t>
            </w:r>
          </w:p>
        </w:tc>
        <w:tc>
          <w:tcPr>
            <w:tcW w:w="1188"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76%</w:t>
            </w:r>
          </w:p>
        </w:tc>
        <w:tc>
          <w:tcPr>
            <w:tcW w:w="1172"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83,2%</w:t>
            </w:r>
          </w:p>
        </w:tc>
        <w:tc>
          <w:tcPr>
            <w:tcW w:w="960"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87,3%</w:t>
            </w:r>
          </w:p>
        </w:tc>
      </w:tr>
      <w:tr>
        <w:trPr>
          <w:trHeight w:val="315"/>
        </w:trPr>
        <w:tc>
          <w:tcPr>
            <w:tcW w:w="1800" w:type="dxa"/>
            <w:shd w:val="clear" w:color="000000" w:fill="FFFFFF"/>
            <w:vAlign w:val="center"/>
          </w:tcPr>
          <w:p>
            <w:pPr>
              <w:spacing w:after="0"/>
              <w:contextualSpacing/>
              <w:jc w:val="center"/>
              <w:rPr>
                <w:noProof/>
                <w:color w:val="000000"/>
                <w:szCs w:val="24"/>
                <w:lang w:eastAsia="en-GB"/>
              </w:rPr>
            </w:pPr>
            <w:r>
              <w:rPr>
                <w:noProof/>
                <w:color w:val="000000" w:themeColor="text1"/>
                <w:szCs w:val="24"/>
                <w:lang w:eastAsia="en-GB"/>
              </w:rPr>
              <w:t>Garlic</w:t>
            </w:r>
          </w:p>
        </w:tc>
        <w:tc>
          <w:tcPr>
            <w:tcW w:w="960" w:type="dxa"/>
            <w:shd w:val="clear" w:color="auto" w:fill="auto"/>
            <w:noWrap/>
            <w:vAlign w:val="center"/>
          </w:tcPr>
          <w:p>
            <w:pPr>
              <w:spacing w:after="0"/>
              <w:contextualSpacing/>
              <w:jc w:val="center"/>
              <w:rPr>
                <w:noProof/>
                <w:color w:val="000000"/>
                <w:szCs w:val="24"/>
                <w:lang w:eastAsia="en-GB"/>
              </w:rPr>
            </w:pPr>
            <w:r>
              <w:rPr>
                <w:noProof/>
                <w:color w:val="000000"/>
                <w:szCs w:val="24"/>
                <w:lang w:eastAsia="en-GB"/>
              </w:rPr>
              <w:t>0%</w:t>
            </w:r>
          </w:p>
        </w:tc>
        <w:tc>
          <w:tcPr>
            <w:tcW w:w="1188" w:type="dxa"/>
            <w:shd w:val="clear" w:color="auto" w:fill="auto"/>
            <w:noWrap/>
            <w:vAlign w:val="center"/>
          </w:tcPr>
          <w:p>
            <w:pPr>
              <w:spacing w:after="0"/>
              <w:contextualSpacing/>
              <w:jc w:val="center"/>
              <w:rPr>
                <w:noProof/>
                <w:color w:val="000000"/>
                <w:szCs w:val="24"/>
                <w:lang w:eastAsia="en-GB"/>
              </w:rPr>
            </w:pPr>
            <w:r>
              <w:rPr>
                <w:noProof/>
                <w:color w:val="000000" w:themeColor="text1"/>
                <w:szCs w:val="24"/>
              </w:rPr>
              <w:t>0%</w:t>
            </w:r>
          </w:p>
        </w:tc>
        <w:tc>
          <w:tcPr>
            <w:tcW w:w="1172"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2,4%</w:t>
            </w:r>
          </w:p>
        </w:tc>
        <w:tc>
          <w:tcPr>
            <w:tcW w:w="960"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53,8%</w:t>
            </w:r>
          </w:p>
        </w:tc>
      </w:tr>
      <w:tr>
        <w:trPr>
          <w:trHeight w:val="315"/>
        </w:trPr>
        <w:tc>
          <w:tcPr>
            <w:tcW w:w="1800" w:type="dxa"/>
            <w:shd w:val="clear" w:color="000000" w:fill="FFFFFF"/>
            <w:vAlign w:val="center"/>
          </w:tcPr>
          <w:p>
            <w:pPr>
              <w:spacing w:after="0"/>
              <w:contextualSpacing/>
              <w:jc w:val="center"/>
              <w:rPr>
                <w:noProof/>
                <w:color w:val="000000"/>
                <w:szCs w:val="24"/>
                <w:lang w:eastAsia="en-GB"/>
              </w:rPr>
            </w:pPr>
            <w:r>
              <w:rPr>
                <w:noProof/>
                <w:color w:val="000000" w:themeColor="text1"/>
                <w:szCs w:val="24"/>
                <w:lang w:eastAsia="en-GB"/>
              </w:rPr>
              <w:t>Rum</w:t>
            </w:r>
          </w:p>
        </w:tc>
        <w:tc>
          <w:tcPr>
            <w:tcW w:w="960" w:type="dxa"/>
            <w:shd w:val="clear" w:color="auto" w:fill="auto"/>
            <w:noWrap/>
            <w:vAlign w:val="center"/>
          </w:tcPr>
          <w:p>
            <w:pPr>
              <w:spacing w:after="0"/>
              <w:contextualSpacing/>
              <w:jc w:val="center"/>
              <w:rPr>
                <w:noProof/>
                <w:color w:val="000000"/>
                <w:szCs w:val="24"/>
                <w:lang w:eastAsia="en-GB"/>
              </w:rPr>
            </w:pPr>
            <w:r>
              <w:rPr>
                <w:noProof/>
                <w:color w:val="000000"/>
                <w:szCs w:val="24"/>
                <w:lang w:eastAsia="en-GB"/>
              </w:rPr>
              <w:t>0%</w:t>
            </w:r>
          </w:p>
        </w:tc>
        <w:tc>
          <w:tcPr>
            <w:tcW w:w="1188" w:type="dxa"/>
            <w:shd w:val="clear" w:color="auto" w:fill="auto"/>
            <w:noWrap/>
            <w:vAlign w:val="center"/>
          </w:tcPr>
          <w:p>
            <w:pPr>
              <w:spacing w:after="0"/>
              <w:contextualSpacing/>
              <w:jc w:val="center"/>
              <w:rPr>
                <w:noProof/>
                <w:color w:val="000000"/>
                <w:szCs w:val="24"/>
                <w:lang w:eastAsia="en-GB"/>
              </w:rPr>
            </w:pPr>
            <w:r>
              <w:rPr>
                <w:noProof/>
                <w:color w:val="000000" w:themeColor="text1"/>
                <w:szCs w:val="24"/>
              </w:rPr>
              <w:t>0%</w:t>
            </w:r>
          </w:p>
        </w:tc>
        <w:tc>
          <w:tcPr>
            <w:tcW w:w="1172" w:type="dxa"/>
            <w:shd w:val="clear" w:color="auto" w:fill="auto"/>
            <w:noWrap/>
            <w:vAlign w:val="center"/>
          </w:tcPr>
          <w:p>
            <w:pPr>
              <w:spacing w:after="0"/>
              <w:contextualSpacing/>
              <w:jc w:val="center"/>
              <w:rPr>
                <w:noProof/>
                <w:color w:val="000000"/>
                <w:szCs w:val="24"/>
                <w:lang w:eastAsia="en-GB"/>
              </w:rPr>
            </w:pPr>
            <w:r>
              <w:rPr>
                <w:noProof/>
                <w:color w:val="000000" w:themeColor="text1"/>
                <w:szCs w:val="24"/>
              </w:rPr>
              <w:t>0%</w:t>
            </w:r>
          </w:p>
        </w:tc>
        <w:tc>
          <w:tcPr>
            <w:tcW w:w="960"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7%</w:t>
            </w:r>
          </w:p>
        </w:tc>
      </w:tr>
      <w:tr>
        <w:trPr>
          <w:trHeight w:val="315"/>
        </w:trPr>
        <w:tc>
          <w:tcPr>
            <w:tcW w:w="1800" w:type="dxa"/>
            <w:shd w:val="clear" w:color="auto" w:fill="auto"/>
            <w:vAlign w:val="center"/>
          </w:tcPr>
          <w:p>
            <w:pPr>
              <w:spacing w:after="0"/>
              <w:contextualSpacing/>
              <w:jc w:val="center"/>
              <w:rPr>
                <w:noProof/>
                <w:color w:val="000000"/>
                <w:szCs w:val="24"/>
                <w:lang w:eastAsia="en-GB"/>
              </w:rPr>
            </w:pPr>
            <w:r>
              <w:rPr>
                <w:noProof/>
                <w:color w:val="000000" w:themeColor="text1"/>
                <w:szCs w:val="24"/>
                <w:lang w:eastAsia="en-GB"/>
              </w:rPr>
              <w:t>Maize (corn)</w:t>
            </w:r>
          </w:p>
        </w:tc>
        <w:tc>
          <w:tcPr>
            <w:tcW w:w="960"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0.7%</w:t>
            </w:r>
          </w:p>
        </w:tc>
        <w:tc>
          <w:tcPr>
            <w:tcW w:w="1188"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2,9%</w:t>
            </w:r>
          </w:p>
        </w:tc>
        <w:tc>
          <w:tcPr>
            <w:tcW w:w="1172"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1,8%</w:t>
            </w:r>
          </w:p>
        </w:tc>
        <w:tc>
          <w:tcPr>
            <w:tcW w:w="960"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6,1%</w:t>
            </w:r>
          </w:p>
        </w:tc>
      </w:tr>
      <w:tr>
        <w:trPr>
          <w:trHeight w:val="315"/>
        </w:trPr>
        <w:tc>
          <w:tcPr>
            <w:tcW w:w="1800" w:type="dxa"/>
            <w:shd w:val="clear" w:color="000000" w:fill="FFFFFF"/>
            <w:vAlign w:val="center"/>
          </w:tcPr>
          <w:p>
            <w:pPr>
              <w:spacing w:after="0"/>
              <w:contextualSpacing/>
              <w:jc w:val="center"/>
              <w:rPr>
                <w:noProof/>
                <w:color w:val="000000"/>
                <w:szCs w:val="24"/>
                <w:lang w:eastAsia="en-GB"/>
              </w:rPr>
            </w:pPr>
            <w:r>
              <w:rPr>
                <w:noProof/>
                <w:color w:val="000000" w:themeColor="text1"/>
                <w:szCs w:val="24"/>
                <w:lang w:eastAsia="en-GB"/>
              </w:rPr>
              <w:t>Sugar confectionery</w:t>
            </w:r>
          </w:p>
        </w:tc>
        <w:tc>
          <w:tcPr>
            <w:tcW w:w="960"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0.02%</w:t>
            </w:r>
          </w:p>
        </w:tc>
        <w:tc>
          <w:tcPr>
            <w:tcW w:w="1188"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0.01%</w:t>
            </w:r>
          </w:p>
        </w:tc>
        <w:tc>
          <w:tcPr>
            <w:tcW w:w="1172"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0,16%</w:t>
            </w:r>
          </w:p>
        </w:tc>
        <w:tc>
          <w:tcPr>
            <w:tcW w:w="960" w:type="dxa"/>
            <w:shd w:val="clear" w:color="auto" w:fill="auto"/>
            <w:noWrap/>
            <w:vAlign w:val="center"/>
          </w:tcPr>
          <w:p>
            <w:pPr>
              <w:spacing w:after="0"/>
              <w:contextualSpacing/>
              <w:jc w:val="center"/>
              <w:rPr>
                <w:noProof/>
                <w:color w:val="000000"/>
                <w:szCs w:val="24"/>
                <w:lang w:eastAsia="en-GB"/>
              </w:rPr>
            </w:pPr>
            <w:r>
              <w:rPr>
                <w:bCs/>
                <w:noProof/>
                <w:color w:val="000000" w:themeColor="text1"/>
                <w:szCs w:val="24"/>
                <w:lang w:eastAsia="en-GB"/>
              </w:rPr>
              <w:t>0,1%</w:t>
            </w:r>
          </w:p>
        </w:tc>
      </w:tr>
    </w:tbl>
    <w:p>
      <w:pPr>
        <w:widowControl w:val="0"/>
        <w:spacing w:after="0"/>
        <w:contextualSpacing/>
        <w:jc w:val="center"/>
        <w:rPr>
          <w:noProof/>
          <w:sz w:val="20"/>
          <w:lang w:val="es-ES_tradnl"/>
        </w:rPr>
      </w:pPr>
    </w:p>
    <w:p>
      <w:pPr>
        <w:widowControl w:val="0"/>
        <w:spacing w:after="0"/>
        <w:contextualSpacing/>
        <w:jc w:val="center"/>
        <w:rPr>
          <w:noProof/>
          <w:sz w:val="20"/>
          <w:lang w:val="es-ES_tradnl"/>
        </w:rPr>
      </w:pPr>
    </w:p>
    <w:p>
      <w:pPr>
        <w:widowControl w:val="0"/>
        <w:spacing w:after="0"/>
        <w:contextualSpacing/>
        <w:jc w:val="center"/>
        <w:rPr>
          <w:noProof/>
          <w:sz w:val="20"/>
          <w:lang w:val="es-ES_tradnl"/>
        </w:rPr>
      </w:pPr>
    </w:p>
    <w:p>
      <w:pPr>
        <w:widowControl w:val="0"/>
        <w:spacing w:after="0"/>
        <w:contextualSpacing/>
        <w:jc w:val="center"/>
        <w:rPr>
          <w:noProof/>
          <w:sz w:val="20"/>
          <w:lang w:val="es-ES_tradnl"/>
        </w:rPr>
      </w:pPr>
    </w:p>
    <w:p>
      <w:pPr>
        <w:widowControl w:val="0"/>
        <w:spacing w:after="0"/>
        <w:contextualSpacing/>
        <w:jc w:val="center"/>
        <w:rPr>
          <w:noProof/>
          <w:sz w:val="20"/>
          <w:lang w:val="es-ES_tradnl"/>
        </w:rPr>
      </w:pPr>
    </w:p>
    <w:p>
      <w:pPr>
        <w:widowControl w:val="0"/>
        <w:spacing w:after="0"/>
        <w:contextualSpacing/>
        <w:jc w:val="center"/>
        <w:rPr>
          <w:noProof/>
          <w:sz w:val="20"/>
          <w:lang w:val="es-ES_tradnl"/>
        </w:rPr>
      </w:pPr>
    </w:p>
    <w:p>
      <w:pPr>
        <w:widowControl w:val="0"/>
        <w:spacing w:after="0"/>
        <w:contextualSpacing/>
        <w:jc w:val="center"/>
        <w:rPr>
          <w:noProof/>
          <w:sz w:val="20"/>
          <w:lang w:val="es-ES_tradnl"/>
        </w:rPr>
      </w:pPr>
    </w:p>
    <w:p>
      <w:pPr>
        <w:widowControl w:val="0"/>
        <w:spacing w:after="0"/>
        <w:contextualSpacing/>
        <w:jc w:val="center"/>
        <w:rPr>
          <w:noProof/>
          <w:sz w:val="20"/>
          <w:lang w:val="es-ES_tradnl"/>
        </w:rPr>
      </w:pPr>
    </w:p>
    <w:p>
      <w:pPr>
        <w:widowControl w:val="0"/>
        <w:spacing w:after="0"/>
        <w:contextualSpacing/>
        <w:jc w:val="center"/>
        <w:rPr>
          <w:noProof/>
          <w:sz w:val="20"/>
          <w:lang w:val="es-ES_tradnl"/>
        </w:rPr>
      </w:pPr>
    </w:p>
    <w:p>
      <w:pPr>
        <w:widowControl w:val="0"/>
        <w:spacing w:after="0"/>
        <w:contextualSpacing/>
        <w:jc w:val="center"/>
        <w:rPr>
          <w:noProof/>
          <w:sz w:val="20"/>
          <w:lang w:val="es-ES_tradnl"/>
        </w:rPr>
      </w:pPr>
    </w:p>
    <w:p>
      <w:pPr>
        <w:widowControl w:val="0"/>
        <w:spacing w:after="0"/>
        <w:contextualSpacing/>
        <w:jc w:val="center"/>
        <w:rPr>
          <w:noProof/>
          <w:sz w:val="20"/>
          <w:lang w:val="es-ES_tradnl"/>
        </w:rPr>
      </w:pPr>
    </w:p>
    <w:p>
      <w:pPr>
        <w:widowControl w:val="0"/>
        <w:spacing w:after="0"/>
        <w:contextualSpacing/>
        <w:jc w:val="center"/>
        <w:rPr>
          <w:noProof/>
          <w:sz w:val="20"/>
          <w:lang w:val="es-ES_tradnl"/>
        </w:rPr>
      </w:pPr>
      <w:r>
        <w:rPr>
          <w:noProof/>
          <w:sz w:val="20"/>
          <w:lang w:val="es-ES_tradnl"/>
        </w:rPr>
        <w:t>Source: TAXUD, Surveillance Database</w:t>
      </w:r>
    </w:p>
    <w:p>
      <w:pPr>
        <w:jc w:val="left"/>
        <w:rPr>
          <w:b/>
          <w:noProof/>
        </w:rPr>
      </w:pPr>
    </w:p>
    <w:p>
      <w:pPr>
        <w:jc w:val="left"/>
        <w:rPr>
          <w:b/>
          <w:noProof/>
        </w:rPr>
      </w:pPr>
      <w:r>
        <w:rPr>
          <w:b/>
          <w:noProof/>
        </w:rPr>
        <w:t xml:space="preserve">Tariff quotas established by Colombia </w:t>
      </w:r>
    </w:p>
    <w:p>
      <w:pPr>
        <w:spacing w:after="120"/>
        <w:rPr>
          <w:noProof/>
        </w:rPr>
      </w:pPr>
      <w:r>
        <w:rPr>
          <w:noProof/>
        </w:rPr>
        <w:t xml:space="preserve">The EU is fully using the TRQs established for mushrooms, dairy products such as yogurt and milk and cream in powder, whey, preparations for infant use and sweetcorn, to a lesser extent TRQ on ice cream (though increasingly), and barely its TRQs on cheese (average of 8%) and on sugar confectionery (average of 3%).  </w:t>
      </w:r>
    </w:p>
    <w:p>
      <w:pPr>
        <w:widowControl w:val="0"/>
        <w:spacing w:after="120"/>
        <w:jc w:val="center"/>
        <w:rPr>
          <w:b/>
          <w:noProof/>
        </w:rPr>
      </w:pPr>
      <w:r>
        <w:rPr>
          <w:b/>
          <w:noProof/>
        </w:rPr>
        <w:t xml:space="preserve">Table 9: Rate of utilisation of Colombia TRQs by the EU </w:t>
      </w:r>
    </w:p>
    <w:tbl>
      <w:tblPr>
        <w:tblW w:w="6426" w:type="dxa"/>
        <w:jc w:val="center"/>
        <w:tblInd w:w="93" w:type="dxa"/>
        <w:tblLook w:val="04A0" w:firstRow="1" w:lastRow="0" w:firstColumn="1" w:lastColumn="0" w:noHBand="0" w:noVBand="1"/>
      </w:tblPr>
      <w:tblGrid>
        <w:gridCol w:w="1800"/>
        <w:gridCol w:w="1077"/>
        <w:gridCol w:w="1200"/>
        <w:gridCol w:w="1080"/>
        <w:gridCol w:w="1269"/>
      </w:tblGrid>
      <w:tr>
        <w:trPr>
          <w:trHeight w:val="315"/>
          <w:jc w:val="center"/>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spacing w:after="0"/>
              <w:jc w:val="center"/>
              <w:rPr>
                <w:noProof/>
                <w:color w:val="000000"/>
                <w:szCs w:val="24"/>
                <w:lang w:eastAsia="en-GB"/>
              </w:rPr>
            </w:pPr>
          </w:p>
        </w:tc>
        <w:tc>
          <w:tcPr>
            <w:tcW w:w="10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pPr>
              <w:spacing w:after="0"/>
              <w:jc w:val="center"/>
              <w:rPr>
                <w:noProof/>
              </w:rPr>
            </w:pPr>
            <w:r>
              <w:rPr>
                <w:b/>
                <w:bCs/>
                <w:noProof/>
                <w:color w:val="000000"/>
                <w:szCs w:val="24"/>
                <w:lang w:eastAsia="en-GB"/>
              </w:rPr>
              <w:t>2013</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pPr>
              <w:spacing w:after="0"/>
              <w:jc w:val="center"/>
              <w:rPr>
                <w:noProof/>
              </w:rPr>
            </w:pPr>
            <w:r>
              <w:rPr>
                <w:b/>
                <w:bCs/>
                <w:noProof/>
                <w:color w:val="000000"/>
                <w:szCs w:val="24"/>
                <w:lang w:eastAsia="en-GB"/>
              </w:rPr>
              <w:t>2014</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pPr>
              <w:spacing w:after="0"/>
              <w:jc w:val="center"/>
              <w:rPr>
                <w:noProof/>
              </w:rPr>
            </w:pPr>
            <w:r>
              <w:rPr>
                <w:b/>
                <w:bCs/>
                <w:noProof/>
                <w:color w:val="000000"/>
                <w:szCs w:val="24"/>
                <w:lang w:eastAsia="en-GB"/>
              </w:rPr>
              <w:t>2015</w:t>
            </w:r>
          </w:p>
        </w:tc>
        <w:tc>
          <w:tcPr>
            <w:tcW w:w="126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pPr>
              <w:spacing w:after="0"/>
              <w:jc w:val="center"/>
              <w:rPr>
                <w:noProof/>
              </w:rPr>
            </w:pPr>
            <w:r>
              <w:rPr>
                <w:b/>
                <w:bCs/>
                <w:noProof/>
                <w:color w:val="000000"/>
                <w:szCs w:val="24"/>
                <w:lang w:eastAsia="en-GB"/>
              </w:rPr>
              <w:t>2016</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lang w:eastAsia="en-GB"/>
              </w:rPr>
            </w:pPr>
            <w:r>
              <w:rPr>
                <w:noProof/>
                <w:color w:val="000000"/>
                <w:szCs w:val="24"/>
                <w:lang w:eastAsia="en-GB"/>
              </w:rPr>
              <w:t>Mushrooms</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1.6%</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5%</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100%</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100%</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lang w:eastAsia="en-GB"/>
              </w:rPr>
            </w:pPr>
            <w:r>
              <w:rPr>
                <w:noProof/>
                <w:color w:val="000000"/>
                <w:szCs w:val="24"/>
                <w:lang w:eastAsia="en-GB"/>
              </w:rPr>
              <w:t>Milk and cream in powder</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0%</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34.9%</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100%</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100%</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lang w:eastAsia="en-GB"/>
              </w:rPr>
            </w:pPr>
            <w:r>
              <w:rPr>
                <w:noProof/>
                <w:color w:val="000000"/>
                <w:szCs w:val="24"/>
                <w:lang w:eastAsia="en-GB"/>
              </w:rPr>
              <w:t>Whey</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57.6%</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50%</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92.9%</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No more TRQ</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lang w:eastAsia="en-GB"/>
              </w:rPr>
            </w:pPr>
            <w:r>
              <w:rPr>
                <w:noProof/>
                <w:color w:val="000000"/>
                <w:szCs w:val="24"/>
                <w:lang w:eastAsia="en-GB"/>
              </w:rPr>
              <w:t>Preparations for infant use</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40.4%</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67.5%</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99.1%</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100%</w:t>
            </w:r>
          </w:p>
        </w:tc>
      </w:tr>
      <w:tr>
        <w:trPr>
          <w:trHeight w:val="315"/>
          <w:jc w:val="center"/>
        </w:trPr>
        <w:tc>
          <w:tcPr>
            <w:tcW w:w="1800" w:type="dxa"/>
            <w:tcBorders>
              <w:top w:val="nil"/>
              <w:left w:val="single" w:sz="4" w:space="0" w:color="auto"/>
              <w:bottom w:val="single" w:sz="4" w:space="0" w:color="auto"/>
              <w:right w:val="single" w:sz="4" w:space="0" w:color="auto"/>
            </w:tcBorders>
            <w:shd w:val="clear" w:color="auto" w:fill="auto"/>
            <w:vAlign w:val="center"/>
          </w:tcPr>
          <w:p>
            <w:pPr>
              <w:spacing w:after="0"/>
              <w:jc w:val="center"/>
              <w:rPr>
                <w:noProof/>
                <w:color w:val="000000"/>
                <w:szCs w:val="24"/>
                <w:lang w:eastAsia="en-GB"/>
              </w:rPr>
            </w:pPr>
            <w:r>
              <w:rPr>
                <w:noProof/>
                <w:color w:val="000000"/>
                <w:szCs w:val="24"/>
                <w:lang w:eastAsia="en-GB"/>
              </w:rPr>
              <w:t>Yogurt</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0%</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0.5%</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0.8%</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100%</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lang w:eastAsia="en-GB"/>
              </w:rPr>
            </w:pPr>
            <w:r>
              <w:rPr>
                <w:noProof/>
                <w:color w:val="000000"/>
                <w:szCs w:val="24"/>
                <w:lang w:eastAsia="en-GB"/>
              </w:rPr>
              <w:t>Sweetcorn</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0.42%</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54.2%</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100%</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100%</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lang w:eastAsia="en-GB"/>
              </w:rPr>
            </w:pPr>
            <w:r>
              <w:rPr>
                <w:noProof/>
                <w:color w:val="000000"/>
                <w:szCs w:val="24"/>
                <w:lang w:eastAsia="en-GB"/>
              </w:rPr>
              <w:t xml:space="preserve">Ice cream </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5.26%</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13.4%</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7.4%</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25.9%</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lang w:eastAsia="en-GB"/>
              </w:rPr>
            </w:pPr>
            <w:r>
              <w:rPr>
                <w:noProof/>
                <w:color w:val="000000"/>
                <w:szCs w:val="24"/>
                <w:lang w:eastAsia="en-GB"/>
              </w:rPr>
              <w:t>Cheese</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9%</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8%</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8.2%</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7.9%</w:t>
            </w:r>
          </w:p>
        </w:tc>
      </w:tr>
      <w:tr>
        <w:trPr>
          <w:trHeight w:val="315"/>
          <w:jc w:val="center"/>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lang w:eastAsia="en-GB"/>
              </w:rPr>
            </w:pPr>
            <w:r>
              <w:rPr>
                <w:noProof/>
                <w:color w:val="000000"/>
                <w:szCs w:val="24"/>
                <w:lang w:eastAsia="en-GB"/>
              </w:rPr>
              <w:t>Sugar confectionary</w:t>
            </w:r>
          </w:p>
        </w:tc>
        <w:tc>
          <w:tcPr>
            <w:tcW w:w="1077"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1.8%</w:t>
            </w:r>
          </w:p>
        </w:tc>
        <w:tc>
          <w:tcPr>
            <w:tcW w:w="1200"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3.4%</w:t>
            </w:r>
          </w:p>
        </w:tc>
        <w:tc>
          <w:tcPr>
            <w:tcW w:w="1080"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3.1%</w:t>
            </w:r>
          </w:p>
        </w:tc>
        <w:tc>
          <w:tcPr>
            <w:tcW w:w="1269"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noProof/>
                <w:color w:val="000000"/>
                <w:szCs w:val="24"/>
                <w:lang w:eastAsia="en-GB"/>
              </w:rPr>
            </w:pPr>
            <w:r>
              <w:rPr>
                <w:noProof/>
              </w:rPr>
              <w:t>3.8%</w:t>
            </w:r>
          </w:p>
        </w:tc>
      </w:tr>
    </w:tbl>
    <w:p>
      <w:pPr>
        <w:widowControl w:val="0"/>
        <w:shd w:val="clear" w:color="auto" w:fill="FFFFFF"/>
        <w:spacing w:after="200" w:line="276" w:lineRule="auto"/>
        <w:jc w:val="center"/>
        <w:rPr>
          <w:noProof/>
          <w:sz w:val="20"/>
          <w:lang w:val="es-ES_tradnl"/>
        </w:rPr>
      </w:pPr>
      <w:r>
        <w:rPr>
          <w:noProof/>
          <w:sz w:val="20"/>
          <w:lang w:val="es-ES_tradnl"/>
        </w:rPr>
        <w:t>Source: DIAN (Dirección de Impuestos y Aduanas Nacionales)</w:t>
      </w:r>
    </w:p>
    <w:p>
      <w:pPr>
        <w:jc w:val="left"/>
        <w:rPr>
          <w:b/>
          <w:noProof/>
        </w:rPr>
      </w:pPr>
      <w:r>
        <w:rPr>
          <w:b/>
          <w:noProof/>
        </w:rPr>
        <w:t>Tariff quotas established by Peru</w:t>
      </w:r>
    </w:p>
    <w:p>
      <w:pPr>
        <w:widowControl w:val="0"/>
        <w:rPr>
          <w:noProof/>
        </w:rPr>
      </w:pPr>
      <w:r>
        <w:rPr>
          <w:noProof/>
        </w:rPr>
        <w:t xml:space="preserve">The EU is fully using the TRQ for butter and milk powder, and almost fully for ice cream. Other TRQs are barely used. </w:t>
      </w:r>
    </w:p>
    <w:p>
      <w:pPr>
        <w:widowControl w:val="0"/>
        <w:rPr>
          <w:noProof/>
        </w:rPr>
      </w:pPr>
    </w:p>
    <w:p>
      <w:pPr>
        <w:widowControl w:val="0"/>
        <w:rPr>
          <w:noProof/>
        </w:rPr>
      </w:pPr>
    </w:p>
    <w:p>
      <w:pPr>
        <w:widowControl w:val="0"/>
        <w:spacing w:after="120"/>
        <w:jc w:val="center"/>
        <w:rPr>
          <w:b/>
          <w:noProof/>
        </w:rPr>
      </w:pPr>
      <w:r>
        <w:rPr>
          <w:b/>
          <w:noProof/>
        </w:rPr>
        <w:t xml:space="preserve">Table 10: Rate of utilisation of Peru TRQs by the EU </w:t>
      </w:r>
    </w:p>
    <w:tbl>
      <w:tblPr>
        <w:tblW w:w="608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960"/>
        <w:gridCol w:w="960"/>
        <w:gridCol w:w="960"/>
        <w:gridCol w:w="1404"/>
      </w:tblGrid>
      <w:tr>
        <w:trPr>
          <w:trHeight w:val="315"/>
          <w:jc w:val="center"/>
        </w:trPr>
        <w:tc>
          <w:tcPr>
            <w:tcW w:w="1800" w:type="dxa"/>
            <w:shd w:val="clear" w:color="auto" w:fill="F2F2F2" w:themeFill="background1" w:themeFillShade="F2"/>
            <w:vAlign w:val="center"/>
          </w:tcPr>
          <w:p>
            <w:pPr>
              <w:spacing w:after="0"/>
              <w:jc w:val="center"/>
              <w:rPr>
                <w:noProof/>
                <w:color w:val="000000"/>
                <w:szCs w:val="24"/>
                <w:lang w:eastAsia="en-GB"/>
              </w:rPr>
            </w:pPr>
          </w:p>
        </w:tc>
        <w:tc>
          <w:tcPr>
            <w:tcW w:w="960" w:type="dxa"/>
            <w:shd w:val="clear" w:color="auto" w:fill="F2F2F2" w:themeFill="background1" w:themeFillShade="F2"/>
            <w:noWrap/>
            <w:vAlign w:val="center"/>
          </w:tcPr>
          <w:p>
            <w:pPr>
              <w:spacing w:after="0"/>
              <w:jc w:val="center"/>
              <w:rPr>
                <w:noProof/>
                <w:color w:val="000000"/>
                <w:szCs w:val="24"/>
                <w:lang w:eastAsia="en-GB"/>
              </w:rPr>
            </w:pPr>
            <w:r>
              <w:rPr>
                <w:b/>
                <w:bCs/>
                <w:noProof/>
                <w:color w:val="000000"/>
                <w:szCs w:val="24"/>
                <w:lang w:eastAsia="en-GB"/>
              </w:rPr>
              <w:t>2013</w:t>
            </w:r>
          </w:p>
        </w:tc>
        <w:tc>
          <w:tcPr>
            <w:tcW w:w="960" w:type="dxa"/>
            <w:shd w:val="clear" w:color="auto" w:fill="F2F2F2" w:themeFill="background1" w:themeFillShade="F2"/>
            <w:noWrap/>
            <w:vAlign w:val="center"/>
          </w:tcPr>
          <w:p>
            <w:pPr>
              <w:spacing w:after="0"/>
              <w:jc w:val="center"/>
              <w:rPr>
                <w:noProof/>
                <w:color w:val="000000"/>
                <w:szCs w:val="24"/>
                <w:lang w:eastAsia="en-GB"/>
              </w:rPr>
            </w:pPr>
            <w:r>
              <w:rPr>
                <w:b/>
                <w:bCs/>
                <w:noProof/>
                <w:color w:val="000000"/>
                <w:szCs w:val="24"/>
                <w:lang w:eastAsia="en-GB"/>
              </w:rPr>
              <w:t>2014</w:t>
            </w:r>
          </w:p>
        </w:tc>
        <w:tc>
          <w:tcPr>
            <w:tcW w:w="960" w:type="dxa"/>
            <w:shd w:val="clear" w:color="auto" w:fill="F2F2F2" w:themeFill="background1" w:themeFillShade="F2"/>
            <w:noWrap/>
            <w:vAlign w:val="center"/>
          </w:tcPr>
          <w:p>
            <w:pPr>
              <w:spacing w:after="0"/>
              <w:jc w:val="center"/>
              <w:rPr>
                <w:noProof/>
                <w:color w:val="000000"/>
                <w:szCs w:val="24"/>
                <w:lang w:eastAsia="en-GB"/>
              </w:rPr>
            </w:pPr>
            <w:r>
              <w:rPr>
                <w:b/>
                <w:bCs/>
                <w:noProof/>
                <w:color w:val="000000"/>
                <w:szCs w:val="24"/>
                <w:lang w:eastAsia="en-GB"/>
              </w:rPr>
              <w:t>2015</w:t>
            </w:r>
          </w:p>
        </w:tc>
        <w:tc>
          <w:tcPr>
            <w:tcW w:w="1404" w:type="dxa"/>
            <w:shd w:val="clear" w:color="auto" w:fill="F2F2F2" w:themeFill="background1" w:themeFillShade="F2"/>
            <w:noWrap/>
            <w:vAlign w:val="center"/>
          </w:tcPr>
          <w:p>
            <w:pPr>
              <w:spacing w:after="0"/>
              <w:jc w:val="center"/>
              <w:rPr>
                <w:noProof/>
                <w:color w:val="000000"/>
                <w:szCs w:val="24"/>
                <w:lang w:eastAsia="en-GB"/>
              </w:rPr>
            </w:pPr>
            <w:r>
              <w:rPr>
                <w:b/>
                <w:bCs/>
                <w:noProof/>
                <w:color w:val="000000"/>
                <w:szCs w:val="24"/>
                <w:lang w:eastAsia="en-GB"/>
              </w:rPr>
              <w:t>2016</w:t>
            </w:r>
          </w:p>
        </w:tc>
      </w:tr>
      <w:tr>
        <w:trPr>
          <w:trHeight w:val="315"/>
          <w:jc w:val="center"/>
        </w:trPr>
        <w:tc>
          <w:tcPr>
            <w:tcW w:w="1800" w:type="dxa"/>
            <w:shd w:val="clear" w:color="000000" w:fill="FFFFFF"/>
            <w:vAlign w:val="center"/>
            <w:hideMark/>
          </w:tcPr>
          <w:p>
            <w:pPr>
              <w:spacing w:after="0"/>
              <w:jc w:val="center"/>
              <w:rPr>
                <w:noProof/>
                <w:color w:val="000000"/>
                <w:szCs w:val="24"/>
                <w:lang w:eastAsia="en-GB"/>
              </w:rPr>
            </w:pPr>
            <w:r>
              <w:rPr>
                <w:noProof/>
                <w:color w:val="000000"/>
                <w:szCs w:val="24"/>
                <w:lang w:eastAsia="en-GB"/>
              </w:rPr>
              <w:t>Butter</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96.0%</w:t>
            </w:r>
          </w:p>
        </w:tc>
        <w:tc>
          <w:tcPr>
            <w:tcW w:w="1404" w:type="dxa"/>
            <w:shd w:val="clear" w:color="auto" w:fill="auto"/>
            <w:noWrap/>
            <w:vAlign w:val="center"/>
            <w:hideMark/>
          </w:tcPr>
          <w:p>
            <w:pPr>
              <w:spacing w:after="0"/>
              <w:jc w:val="center"/>
              <w:rPr>
                <w:noProof/>
                <w:color w:val="000000"/>
                <w:szCs w:val="24"/>
                <w:lang w:eastAsia="en-GB"/>
              </w:rPr>
            </w:pPr>
            <w:r>
              <w:rPr>
                <w:noProof/>
                <w:color w:val="000000"/>
                <w:szCs w:val="24"/>
                <w:lang w:eastAsia="en-GB"/>
              </w:rPr>
              <w:t>100%</w:t>
            </w:r>
          </w:p>
        </w:tc>
      </w:tr>
      <w:tr>
        <w:trPr>
          <w:trHeight w:val="315"/>
          <w:jc w:val="center"/>
        </w:trPr>
        <w:tc>
          <w:tcPr>
            <w:tcW w:w="1800" w:type="dxa"/>
            <w:shd w:val="clear" w:color="000000" w:fill="FFFFFF"/>
            <w:vAlign w:val="center"/>
            <w:hideMark/>
          </w:tcPr>
          <w:p>
            <w:pPr>
              <w:spacing w:after="0"/>
              <w:jc w:val="center"/>
              <w:rPr>
                <w:noProof/>
                <w:color w:val="000000"/>
                <w:szCs w:val="24"/>
                <w:lang w:eastAsia="en-GB"/>
              </w:rPr>
            </w:pPr>
            <w:r>
              <w:rPr>
                <w:noProof/>
                <w:color w:val="000000"/>
                <w:szCs w:val="24"/>
                <w:lang w:eastAsia="en-GB"/>
              </w:rPr>
              <w:t>Cheese</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1404" w:type="dxa"/>
            <w:shd w:val="clear" w:color="auto" w:fill="auto"/>
            <w:noWrap/>
            <w:vAlign w:val="center"/>
            <w:hideMark/>
          </w:tcPr>
          <w:p>
            <w:pPr>
              <w:spacing w:after="0"/>
              <w:jc w:val="center"/>
              <w:rPr>
                <w:noProof/>
                <w:color w:val="000000"/>
                <w:szCs w:val="24"/>
                <w:lang w:eastAsia="en-GB"/>
              </w:rPr>
            </w:pPr>
            <w:r>
              <w:rPr>
                <w:noProof/>
                <w:color w:val="000000"/>
                <w:szCs w:val="24"/>
                <w:lang w:eastAsia="en-GB"/>
              </w:rPr>
              <w:t>4.3%</w:t>
            </w:r>
          </w:p>
        </w:tc>
      </w:tr>
      <w:tr>
        <w:trPr>
          <w:trHeight w:val="315"/>
          <w:jc w:val="center"/>
        </w:trPr>
        <w:tc>
          <w:tcPr>
            <w:tcW w:w="1800" w:type="dxa"/>
            <w:shd w:val="clear" w:color="000000" w:fill="FFFFFF"/>
            <w:vAlign w:val="center"/>
            <w:hideMark/>
          </w:tcPr>
          <w:p>
            <w:pPr>
              <w:spacing w:after="0"/>
              <w:jc w:val="center"/>
              <w:rPr>
                <w:noProof/>
                <w:color w:val="000000"/>
                <w:szCs w:val="24"/>
                <w:lang w:eastAsia="en-GB"/>
              </w:rPr>
            </w:pPr>
            <w:r>
              <w:rPr>
                <w:noProof/>
                <w:color w:val="000000"/>
                <w:szCs w:val="24"/>
                <w:lang w:eastAsia="en-GB"/>
              </w:rPr>
              <w:t>Ice cream</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58.6%</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89.6%</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98.5%</w:t>
            </w:r>
          </w:p>
        </w:tc>
        <w:tc>
          <w:tcPr>
            <w:tcW w:w="1404" w:type="dxa"/>
            <w:shd w:val="clear" w:color="auto" w:fill="auto"/>
            <w:noWrap/>
            <w:vAlign w:val="center"/>
            <w:hideMark/>
          </w:tcPr>
          <w:p>
            <w:pPr>
              <w:spacing w:after="0"/>
              <w:jc w:val="center"/>
              <w:rPr>
                <w:noProof/>
                <w:color w:val="000000"/>
                <w:szCs w:val="24"/>
                <w:lang w:eastAsia="en-GB"/>
              </w:rPr>
            </w:pPr>
            <w:r>
              <w:rPr>
                <w:noProof/>
                <w:color w:val="000000"/>
                <w:szCs w:val="24"/>
                <w:lang w:eastAsia="en-GB"/>
              </w:rPr>
              <w:t>95.6%</w:t>
            </w:r>
          </w:p>
        </w:tc>
      </w:tr>
      <w:tr>
        <w:trPr>
          <w:trHeight w:val="315"/>
          <w:jc w:val="center"/>
        </w:trPr>
        <w:tc>
          <w:tcPr>
            <w:tcW w:w="1800" w:type="dxa"/>
            <w:shd w:val="clear" w:color="000000" w:fill="FFFFFF"/>
            <w:vAlign w:val="center"/>
            <w:hideMark/>
          </w:tcPr>
          <w:p>
            <w:pPr>
              <w:spacing w:after="0"/>
              <w:jc w:val="center"/>
              <w:rPr>
                <w:noProof/>
                <w:color w:val="000000"/>
                <w:szCs w:val="24"/>
                <w:lang w:eastAsia="en-GB"/>
              </w:rPr>
            </w:pPr>
            <w:r>
              <w:rPr>
                <w:noProof/>
                <w:color w:val="000000"/>
                <w:szCs w:val="24"/>
                <w:lang w:eastAsia="en-GB"/>
              </w:rPr>
              <w:t>Milk powder</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4.1%</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99.7%</w:t>
            </w:r>
          </w:p>
        </w:tc>
        <w:tc>
          <w:tcPr>
            <w:tcW w:w="1404" w:type="dxa"/>
            <w:shd w:val="clear" w:color="auto" w:fill="auto"/>
            <w:noWrap/>
            <w:vAlign w:val="center"/>
            <w:hideMark/>
          </w:tcPr>
          <w:p>
            <w:pPr>
              <w:spacing w:after="0"/>
              <w:jc w:val="center"/>
              <w:rPr>
                <w:noProof/>
                <w:color w:val="000000"/>
                <w:szCs w:val="24"/>
                <w:lang w:eastAsia="en-GB"/>
              </w:rPr>
            </w:pPr>
            <w:r>
              <w:rPr>
                <w:noProof/>
                <w:color w:val="000000"/>
                <w:szCs w:val="24"/>
                <w:lang w:eastAsia="en-GB"/>
              </w:rPr>
              <w:t>100%</w:t>
            </w:r>
          </w:p>
        </w:tc>
      </w:tr>
      <w:tr>
        <w:trPr>
          <w:trHeight w:val="315"/>
          <w:jc w:val="center"/>
        </w:trPr>
        <w:tc>
          <w:tcPr>
            <w:tcW w:w="1800" w:type="dxa"/>
            <w:shd w:val="clear" w:color="auto" w:fill="auto"/>
            <w:vAlign w:val="center"/>
            <w:hideMark/>
          </w:tcPr>
          <w:p>
            <w:pPr>
              <w:spacing w:after="0"/>
              <w:jc w:val="center"/>
              <w:rPr>
                <w:noProof/>
                <w:color w:val="000000"/>
                <w:szCs w:val="24"/>
                <w:lang w:eastAsia="en-GB"/>
              </w:rPr>
            </w:pPr>
            <w:r>
              <w:rPr>
                <w:noProof/>
                <w:color w:val="000000"/>
                <w:szCs w:val="24"/>
                <w:lang w:eastAsia="en-GB"/>
              </w:rPr>
              <w:t>Milk for babies</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1404" w:type="dxa"/>
            <w:shd w:val="clear" w:color="auto" w:fill="auto"/>
            <w:noWrap/>
            <w:vAlign w:val="center"/>
            <w:hideMark/>
          </w:tcPr>
          <w:p>
            <w:pPr>
              <w:spacing w:after="0"/>
              <w:jc w:val="center"/>
              <w:rPr>
                <w:noProof/>
                <w:color w:val="000000"/>
                <w:szCs w:val="24"/>
                <w:lang w:eastAsia="en-GB"/>
              </w:rPr>
            </w:pPr>
            <w:r>
              <w:rPr>
                <w:noProof/>
                <w:color w:val="000000"/>
                <w:szCs w:val="24"/>
                <w:lang w:eastAsia="en-GB"/>
              </w:rPr>
              <w:t>29.9%</w:t>
            </w:r>
          </w:p>
        </w:tc>
      </w:tr>
      <w:tr>
        <w:trPr>
          <w:trHeight w:val="315"/>
          <w:jc w:val="center"/>
        </w:trPr>
        <w:tc>
          <w:tcPr>
            <w:tcW w:w="1800" w:type="dxa"/>
            <w:shd w:val="clear" w:color="000000" w:fill="FFFFFF"/>
            <w:vAlign w:val="center"/>
            <w:hideMark/>
          </w:tcPr>
          <w:p>
            <w:pPr>
              <w:spacing w:after="0"/>
              <w:jc w:val="center"/>
              <w:rPr>
                <w:noProof/>
                <w:color w:val="000000"/>
                <w:szCs w:val="24"/>
                <w:lang w:eastAsia="en-GB"/>
              </w:rPr>
            </w:pPr>
            <w:r>
              <w:rPr>
                <w:noProof/>
                <w:color w:val="000000"/>
                <w:szCs w:val="24"/>
                <w:lang w:eastAsia="en-GB"/>
              </w:rPr>
              <w:t>Chewing gum</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0.3%</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0.1%</w:t>
            </w:r>
          </w:p>
        </w:tc>
        <w:tc>
          <w:tcPr>
            <w:tcW w:w="1404" w:type="dxa"/>
            <w:shd w:val="clear" w:color="auto" w:fill="auto"/>
            <w:noWrap/>
            <w:vAlign w:val="center"/>
            <w:hideMark/>
          </w:tcPr>
          <w:p>
            <w:pPr>
              <w:spacing w:after="0"/>
              <w:jc w:val="center"/>
              <w:rPr>
                <w:noProof/>
                <w:color w:val="000000"/>
                <w:szCs w:val="24"/>
                <w:lang w:eastAsia="en-GB"/>
              </w:rPr>
            </w:pPr>
            <w:r>
              <w:rPr>
                <w:noProof/>
                <w:color w:val="000000"/>
                <w:szCs w:val="24"/>
                <w:lang w:eastAsia="en-GB"/>
              </w:rPr>
              <w:t>2.2%</w:t>
            </w:r>
          </w:p>
        </w:tc>
      </w:tr>
      <w:tr>
        <w:trPr>
          <w:trHeight w:val="315"/>
          <w:jc w:val="center"/>
        </w:trPr>
        <w:tc>
          <w:tcPr>
            <w:tcW w:w="1800" w:type="dxa"/>
            <w:shd w:val="clear" w:color="000000" w:fill="FFFFFF"/>
            <w:vAlign w:val="center"/>
            <w:hideMark/>
          </w:tcPr>
          <w:p>
            <w:pPr>
              <w:spacing w:after="0"/>
              <w:jc w:val="center"/>
              <w:rPr>
                <w:noProof/>
                <w:color w:val="000000"/>
                <w:szCs w:val="24"/>
                <w:lang w:eastAsia="en-GB"/>
              </w:rPr>
            </w:pPr>
            <w:r>
              <w:rPr>
                <w:noProof/>
                <w:color w:val="000000"/>
                <w:szCs w:val="24"/>
                <w:lang w:eastAsia="en-GB"/>
              </w:rPr>
              <w:t>Sugar</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w:t>
            </w:r>
          </w:p>
        </w:tc>
        <w:tc>
          <w:tcPr>
            <w:tcW w:w="1404"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0.8%</w:t>
            </w:r>
          </w:p>
        </w:tc>
      </w:tr>
      <w:tr>
        <w:trPr>
          <w:trHeight w:val="315"/>
          <w:jc w:val="center"/>
        </w:trPr>
        <w:tc>
          <w:tcPr>
            <w:tcW w:w="1800" w:type="dxa"/>
            <w:shd w:val="clear" w:color="000000" w:fill="FFFFFF"/>
            <w:vAlign w:val="center"/>
            <w:hideMark/>
          </w:tcPr>
          <w:p>
            <w:pPr>
              <w:spacing w:after="0"/>
              <w:jc w:val="center"/>
              <w:rPr>
                <w:noProof/>
                <w:color w:val="000000"/>
                <w:szCs w:val="24"/>
                <w:lang w:eastAsia="en-GB"/>
              </w:rPr>
            </w:pPr>
            <w:r>
              <w:rPr>
                <w:noProof/>
                <w:color w:val="000000"/>
                <w:szCs w:val="24"/>
                <w:lang w:eastAsia="en-GB"/>
              </w:rPr>
              <w:t>Rum</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3.5%</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0.0%</w:t>
            </w:r>
          </w:p>
        </w:tc>
        <w:tc>
          <w:tcPr>
            <w:tcW w:w="960" w:type="dxa"/>
            <w:shd w:val="clear" w:color="auto" w:fill="auto"/>
            <w:noWrap/>
            <w:vAlign w:val="center"/>
            <w:hideMark/>
          </w:tcPr>
          <w:p>
            <w:pPr>
              <w:spacing w:after="0"/>
              <w:jc w:val="center"/>
              <w:rPr>
                <w:noProof/>
                <w:color w:val="000000"/>
                <w:szCs w:val="24"/>
                <w:lang w:eastAsia="en-GB"/>
              </w:rPr>
            </w:pPr>
            <w:r>
              <w:rPr>
                <w:noProof/>
                <w:color w:val="000000"/>
                <w:szCs w:val="24"/>
                <w:lang w:eastAsia="en-GB"/>
              </w:rPr>
              <w:t>3.5%</w:t>
            </w:r>
          </w:p>
        </w:tc>
        <w:tc>
          <w:tcPr>
            <w:tcW w:w="1404" w:type="dxa"/>
            <w:shd w:val="clear" w:color="auto" w:fill="auto"/>
            <w:noWrap/>
            <w:vAlign w:val="center"/>
            <w:hideMark/>
          </w:tcPr>
          <w:p>
            <w:pPr>
              <w:spacing w:after="0"/>
              <w:jc w:val="center"/>
              <w:rPr>
                <w:noProof/>
                <w:color w:val="000000"/>
                <w:szCs w:val="24"/>
                <w:lang w:eastAsia="en-GB"/>
              </w:rPr>
            </w:pPr>
            <w:r>
              <w:rPr>
                <w:noProof/>
                <w:color w:val="000000"/>
                <w:szCs w:val="24"/>
                <w:lang w:eastAsia="en-GB"/>
              </w:rPr>
              <w:t>5.8%</w:t>
            </w:r>
          </w:p>
        </w:tc>
      </w:tr>
    </w:tbl>
    <w:p>
      <w:pPr>
        <w:widowControl w:val="0"/>
        <w:shd w:val="clear" w:color="auto" w:fill="FFFFFF"/>
        <w:spacing w:after="200" w:line="276" w:lineRule="auto"/>
        <w:jc w:val="center"/>
        <w:rPr>
          <w:noProof/>
          <w:sz w:val="20"/>
          <w:lang w:val="es-ES_tradnl"/>
        </w:rPr>
      </w:pPr>
      <w:r>
        <w:rPr>
          <w:noProof/>
          <w:sz w:val="20"/>
          <w:lang w:val="es-ES_tradnl"/>
        </w:rPr>
        <w:t>Source: SUNAT (Superintendencia Nacional de Aduanas y de Administración Tributaria)</w:t>
      </w:r>
    </w:p>
    <w:p>
      <w:pPr>
        <w:pStyle w:val="Heading2"/>
        <w:rPr>
          <w:noProof/>
        </w:rPr>
      </w:pPr>
      <w:r>
        <w:rPr>
          <w:noProof/>
        </w:rPr>
        <w:t xml:space="preserve">Implementation of Regulation (EU) No 19/2013 of the European Parliament and the Council implementing the bilateral safeguard clause and the stabilisation mechanism for bananas </w:t>
      </w:r>
    </w:p>
    <w:p>
      <w:pPr>
        <w:pStyle w:val="Default"/>
        <w:spacing w:after="240"/>
        <w:ind w:left="1080"/>
        <w:jc w:val="both"/>
        <w:rPr>
          <w:rFonts w:ascii="Times New Roman" w:eastAsia="Times New Roman" w:hAnsi="Times New Roman" w:cs="Times New Roman"/>
          <w:noProof/>
          <w:szCs w:val="20"/>
        </w:rPr>
      </w:pPr>
      <w:r>
        <w:rPr>
          <w:noProof/>
        </w:rPr>
        <w:t>Regulation (EU) No 19/2013 of the European Parliament and the Council of 15 January 2013 implementing the bilateral safeguard clause and the stabilisation mechanism for bananas of the Trade Agreement between the European Union and its Member States, of the one part, and Colombia and Peru, of the other part</w:t>
      </w:r>
      <w:r>
        <w:rPr>
          <w:rFonts w:ascii="Times New Roman" w:hAnsi="Times New Roman" w:cs="Times New Roman"/>
          <w:noProof/>
          <w:color w:val="auto"/>
          <w:szCs w:val="22"/>
          <w:vertAlign w:val="superscript"/>
        </w:rPr>
        <w:footnoteReference w:id="7"/>
      </w:r>
      <w:r>
        <w:rPr>
          <w:noProof/>
        </w:rPr>
        <w:t xml:space="preserve"> (hereafter the "</w:t>
      </w:r>
      <w:r>
        <w:rPr>
          <w:rFonts w:ascii="Times New Roman" w:eastAsia="Times New Roman" w:hAnsi="Times New Roman" w:cs="Times New Roman"/>
          <w:noProof/>
          <w:szCs w:val="20"/>
        </w:rPr>
        <w:t>Regulation</w:t>
      </w:r>
      <w:r>
        <w:rPr>
          <w:noProof/>
        </w:rPr>
        <w:t>")</w:t>
      </w:r>
      <w:r>
        <w:rPr>
          <w:rFonts w:ascii="Times New Roman" w:eastAsia="Times New Roman" w:hAnsi="Times New Roman" w:cs="Times New Roman"/>
          <w:noProof/>
          <w:szCs w:val="20"/>
        </w:rPr>
        <w:t xml:space="preserve"> provides for the possibility to initiate a safeguard investigation or introduce prior surveillance measures under conditions set out in the Regulation. In accordance with Articles 3 and 13 of the Regulation, the Commission has been monitoring the evolution of imports of fresh bananas </w:t>
      </w:r>
      <w:r>
        <w:rPr>
          <w:noProof/>
        </w:rPr>
        <w:t xml:space="preserve">(HS 08039010) </w:t>
      </w:r>
      <w:r>
        <w:rPr>
          <w:rFonts w:ascii="Times New Roman" w:eastAsia="Times New Roman" w:hAnsi="Times New Roman" w:cs="Times New Roman"/>
          <w:noProof/>
          <w:szCs w:val="20"/>
        </w:rPr>
        <w:t xml:space="preserve">from Colombia and Peru. </w:t>
      </w:r>
    </w:p>
    <w:p>
      <w:pPr>
        <w:ind w:left="1080"/>
        <w:rPr>
          <w:noProof/>
        </w:rPr>
      </w:pPr>
      <w:r>
        <w:rPr>
          <w:noProof/>
        </w:rPr>
        <w:t xml:space="preserve">In 2015, EU imports of fresh bananas from </w:t>
      </w:r>
      <w:r>
        <w:rPr>
          <w:b/>
          <w:noProof/>
        </w:rPr>
        <w:t>Peru</w:t>
      </w:r>
      <w:r>
        <w:rPr>
          <w:noProof/>
        </w:rPr>
        <w:t xml:space="preserve"> increased by almost 5% in volume compared to 2014. This trend continued in 2016, with an increase of almost 10% compared to 2015. In 2015 and 2016, EU imports from Peru reached in October the trigger import volume established by the Agreement (86,250 tonnes in 2015 and 90,000 tonnes in 2016). Pursuant to Article 15(3) of the Regulation, the Commission examined the impact on the EU banana market, taking into account, inter alia, the effect on the price level, developments of imports from other sources and the overall stability of the Union market. </w:t>
      </w:r>
    </w:p>
    <w:p>
      <w:pPr>
        <w:ind w:left="1080"/>
        <w:rPr>
          <w:noProof/>
        </w:rPr>
      </w:pPr>
      <w:r>
        <w:rPr>
          <w:noProof/>
        </w:rPr>
        <w:t>The Commission concluded: (1) that given that the EU imports of fresh bananas from Peru represented only around 4% of total imports in 2015 and slightly less than 2% in 2016, (2) that imports of fresh bananas from other traditional exporting countries remained largely below the thresholds defined in comparable stabilisation mechanisms, (3) that the average wholesale banana price did not register notable changes and (4) that there were no indications of a negative effect for the stability of the EU market, EU producers or the EU outermost regions, the suspension of the preferential duty on bananas originating in Peru was not appropriate</w:t>
      </w:r>
      <w:r>
        <w:rPr>
          <w:rStyle w:val="FootnoteReference"/>
          <w:noProof/>
        </w:rPr>
        <w:footnoteReference w:id="8"/>
      </w:r>
      <w:r>
        <w:rPr>
          <w:noProof/>
        </w:rPr>
        <w:t>.</w:t>
      </w:r>
    </w:p>
    <w:p>
      <w:pPr>
        <w:spacing w:after="0"/>
        <w:jc w:val="left"/>
        <w:rPr>
          <w:b/>
          <w:noProof/>
        </w:rPr>
      </w:pPr>
      <w:r>
        <w:rPr>
          <w:b/>
          <w:noProof/>
        </w:rPr>
        <w:br w:type="page"/>
      </w:r>
    </w:p>
    <w:p>
      <w:pPr>
        <w:spacing w:after="0"/>
        <w:jc w:val="center"/>
        <w:rPr>
          <w:b/>
          <w:noProof/>
        </w:rPr>
      </w:pPr>
      <w:r>
        <w:rPr>
          <w:b/>
          <w:noProof/>
        </w:rPr>
        <w:t xml:space="preserve">Table 11:  EU imports of bananas from Peru in 2015 and 2016 </w:t>
      </w:r>
      <w:r>
        <w:rPr>
          <w:b/>
          <w:noProof/>
        </w:rPr>
        <w:br/>
        <w:t>(aggregate volumes in tonnes)</w:t>
      </w:r>
    </w:p>
    <w:p>
      <w:pPr>
        <w:spacing w:after="0"/>
        <w:jc w:val="center"/>
        <w:rPr>
          <w:b/>
          <w:noProof/>
        </w:rPr>
      </w:pPr>
    </w:p>
    <w:p>
      <w:pPr>
        <w:spacing w:after="0"/>
        <w:jc w:val="center"/>
        <w:rPr>
          <w:b/>
          <w:noProof/>
        </w:rPr>
      </w:pPr>
      <w:r>
        <w:rPr>
          <w:noProof/>
          <w:lang w:val="en-US"/>
        </w:rPr>
        <w:drawing>
          <wp:inline distT="0" distB="0" distL="0" distR="0">
            <wp:extent cx="5760720" cy="2810541"/>
            <wp:effectExtent l="0" t="0" r="11430" b="279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after="0"/>
        <w:jc w:val="center"/>
        <w:rPr>
          <w:b/>
          <w:noProof/>
        </w:rPr>
      </w:pPr>
    </w:p>
    <w:p>
      <w:pPr>
        <w:ind w:left="720"/>
        <w:rPr>
          <w:noProof/>
        </w:rPr>
      </w:pPr>
      <w:r>
        <w:rPr>
          <w:noProof/>
        </w:rPr>
        <w:t xml:space="preserve">In 2015, EU imports of fresh bananas from </w:t>
      </w:r>
      <w:r>
        <w:rPr>
          <w:b/>
          <w:noProof/>
        </w:rPr>
        <w:t>Colombia</w:t>
      </w:r>
      <w:r>
        <w:rPr>
          <w:noProof/>
        </w:rPr>
        <w:t xml:space="preserve"> increased by 21% in volume compared to 2014. Yet, in 2016, they decreased by 4% (from 1,307,458 tonnes in 2015 to 1,249,513 tonnes in 2016). </w:t>
      </w:r>
    </w:p>
    <w:p>
      <w:pPr>
        <w:ind w:left="720"/>
        <w:rPr>
          <w:noProof/>
        </w:rPr>
      </w:pPr>
      <w:r>
        <w:rPr>
          <w:noProof/>
        </w:rPr>
        <w:t>Colombia remained significantly below (at about 75%) the trigger import volume as established by the Agreement, i.e. 1,687,500 tonnes in 2015 and 1,755,000 tonnes in 2016.</w:t>
      </w:r>
    </w:p>
    <w:p>
      <w:pPr>
        <w:spacing w:after="0"/>
        <w:jc w:val="center"/>
        <w:rPr>
          <w:b/>
          <w:noProof/>
        </w:rPr>
      </w:pPr>
      <w:r>
        <w:rPr>
          <w:b/>
          <w:noProof/>
        </w:rPr>
        <w:t xml:space="preserve">Table 12:  EU imports of bananas from Colombia in 2015 and 2016 </w:t>
      </w:r>
      <w:r>
        <w:rPr>
          <w:b/>
          <w:noProof/>
        </w:rPr>
        <w:br/>
        <w:t>(aggregate volumes in tonnes)</w:t>
      </w:r>
    </w:p>
    <w:p>
      <w:pPr>
        <w:spacing w:after="0"/>
        <w:jc w:val="center"/>
        <w:rPr>
          <w:b/>
          <w:noProof/>
        </w:rPr>
      </w:pPr>
    </w:p>
    <w:p>
      <w:pPr>
        <w:spacing w:after="0"/>
        <w:jc w:val="center"/>
        <w:rPr>
          <w:noProof/>
        </w:rPr>
      </w:pPr>
      <w:r>
        <w:rPr>
          <w:noProof/>
          <w:lang w:val="en-US"/>
        </w:rPr>
        <w:drawing>
          <wp:inline distT="0" distB="0" distL="0" distR="0">
            <wp:extent cx="5760720" cy="2573655"/>
            <wp:effectExtent l="0" t="0" r="11430" b="1714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trPr>
          <w:tblCellSpacing w:w="15" w:type="dxa"/>
        </w:trPr>
        <w:tc>
          <w:tcPr>
            <w:tcW w:w="0" w:type="auto"/>
            <w:vAlign w:val="center"/>
          </w:tcPr>
          <w:p>
            <w:pPr>
              <w:spacing w:after="0"/>
              <w:jc w:val="center"/>
              <w:rPr>
                <w:noProof/>
                <w:szCs w:val="24"/>
                <w:lang w:eastAsia="en-GB"/>
              </w:rPr>
            </w:pPr>
          </w:p>
        </w:tc>
        <w:tc>
          <w:tcPr>
            <w:tcW w:w="0" w:type="auto"/>
            <w:vAlign w:val="center"/>
          </w:tcPr>
          <w:p>
            <w:pPr>
              <w:spacing w:after="0"/>
              <w:jc w:val="right"/>
              <w:rPr>
                <w:noProof/>
                <w:szCs w:val="24"/>
                <w:lang w:eastAsia="en-GB"/>
              </w:rPr>
            </w:pPr>
          </w:p>
        </w:tc>
      </w:tr>
      <w:tr>
        <w:trPr>
          <w:tblCellSpacing w:w="15" w:type="dxa"/>
        </w:trPr>
        <w:tc>
          <w:tcPr>
            <w:tcW w:w="0" w:type="auto"/>
            <w:vAlign w:val="center"/>
          </w:tcPr>
          <w:p>
            <w:pPr>
              <w:spacing w:after="0"/>
              <w:jc w:val="center"/>
              <w:rPr>
                <w:noProof/>
                <w:szCs w:val="24"/>
                <w:lang w:eastAsia="en-GB"/>
              </w:rPr>
            </w:pPr>
          </w:p>
        </w:tc>
        <w:tc>
          <w:tcPr>
            <w:tcW w:w="0" w:type="auto"/>
            <w:vAlign w:val="center"/>
          </w:tcPr>
          <w:p>
            <w:pPr>
              <w:spacing w:after="0"/>
              <w:jc w:val="right"/>
              <w:rPr>
                <w:noProof/>
                <w:szCs w:val="24"/>
                <w:lang w:eastAsia="en-GB"/>
              </w:rPr>
            </w:pPr>
          </w:p>
        </w:tc>
      </w:tr>
    </w:tbl>
    <w:p>
      <w:pPr>
        <w:spacing w:before="120" w:after="120"/>
        <w:ind w:left="850" w:hanging="850"/>
        <w:jc w:val="center"/>
        <w:rPr>
          <w:noProof/>
          <w:lang w:eastAsia="en-GB"/>
        </w:rPr>
      </w:pPr>
    </w:p>
    <w:p>
      <w:pPr>
        <w:pStyle w:val="Heading1"/>
        <w:rPr>
          <w:noProof/>
        </w:rPr>
      </w:pPr>
      <w:r>
        <w:rPr>
          <w:noProof/>
          <w:sz w:val="28"/>
          <w:szCs w:val="28"/>
        </w:rPr>
        <w:t>Conclusions</w:t>
      </w:r>
      <w:r>
        <w:rPr>
          <w:noProof/>
        </w:rPr>
        <w:t xml:space="preserve"> </w:t>
      </w:r>
    </w:p>
    <w:p>
      <w:pPr>
        <w:rPr>
          <w:noProof/>
          <w:color w:val="000000" w:themeColor="text1"/>
        </w:rPr>
      </w:pPr>
      <w:r>
        <w:rPr>
          <w:rFonts w:eastAsiaTheme="minorHAnsi"/>
          <w:noProof/>
          <w:szCs w:val="24"/>
        </w:rPr>
        <w:t>Four years</w:t>
      </w:r>
      <w:r>
        <w:rPr>
          <w:noProof/>
        </w:rPr>
        <w:t xml:space="preserve"> after its entry into force</w:t>
      </w:r>
      <w:r>
        <w:rPr>
          <w:rFonts w:eastAsiaTheme="minorHAnsi"/>
          <w:noProof/>
          <w:szCs w:val="24"/>
        </w:rPr>
        <w:t xml:space="preserve">, </w:t>
      </w:r>
      <w:r>
        <w:rPr>
          <w:noProof/>
        </w:rPr>
        <w:t>the Agreement is functioning well overall. It is clear that the economic slowdown in Latin America and the fall in commodity prices on the global market have affected trade flows.</w:t>
      </w:r>
      <w:r>
        <w:rPr>
          <w:noProof/>
          <w:color w:val="000000" w:themeColor="text1"/>
        </w:rPr>
        <w:t xml:space="preserve"> Yet, the decrease of bilateral trade between the EU and Colombia (23.5%) and between the EU and Peru (11%) is lower than the overall decrease of these countries' trade with the world (approximately 36% for Colombia and 18% for Peru). </w:t>
      </w:r>
    </w:p>
    <w:p>
      <w:pPr>
        <w:spacing w:after="0"/>
        <w:rPr>
          <w:noProof/>
        </w:rPr>
      </w:pPr>
      <w:r>
        <w:rPr>
          <w:noProof/>
        </w:rPr>
        <w:t xml:space="preserve">While the share of mineral products in the exports of Colombia and Peru to the EU has decreased and is today significantly lower than to the rest of the world, the Agreement has contributed to the diversification of both countries' exports. The Agreement provided opportunities for new exports, notably for </w:t>
      </w:r>
      <w:r>
        <w:rPr>
          <w:rFonts w:eastAsia="Calibri"/>
          <w:noProof/>
          <w:szCs w:val="24"/>
        </w:rPr>
        <w:t xml:space="preserve">agricultural products, which  are now a key element in both Colombia's and Peru's export structure to the EU accounting respectively for almost 40% and 51% of the value of total exports to the EU. </w:t>
      </w:r>
      <w:r>
        <w:rPr>
          <w:noProof/>
        </w:rPr>
        <w:t xml:space="preserve">This diversification also led to an important expansion in the number of new exporters to the EU, notably Small and Medium-sized Enterprises, which are strongly represented in the fast-growing categories of exports of agricultural products. </w:t>
      </w:r>
    </w:p>
    <w:p>
      <w:pPr>
        <w:spacing w:after="0"/>
        <w:rPr>
          <w:noProof/>
        </w:rPr>
      </w:pPr>
    </w:p>
    <w:p>
      <w:pPr>
        <w:rPr>
          <w:rFonts w:eastAsia="Calibri"/>
          <w:noProof/>
          <w:szCs w:val="24"/>
        </w:rPr>
      </w:pPr>
      <w:r>
        <w:rPr>
          <w:rFonts w:eastAsiaTheme="minorHAnsi"/>
          <w:noProof/>
          <w:szCs w:val="24"/>
        </w:rPr>
        <w:t xml:space="preserve">Full implementation of the Agreement continues to be of key importance to bring the expected benefits to both sides. </w:t>
      </w:r>
      <w:r>
        <w:rPr>
          <w:rFonts w:eastAsia="Calibri"/>
          <w:noProof/>
          <w:szCs w:val="24"/>
        </w:rPr>
        <w:t xml:space="preserve">While implementation is going well in most fields, some areas need further attention, for example the implementation by Peru of its obligations in the area of sanitary and phytosanitary measures to </w:t>
      </w:r>
      <w:r>
        <w:rPr>
          <w:rFonts w:eastAsiaTheme="minorHAnsi"/>
          <w:noProof/>
          <w:szCs w:val="24"/>
        </w:rPr>
        <w:t>allow EU exports of</w:t>
      </w:r>
      <w:r>
        <w:rPr>
          <w:noProof/>
        </w:rPr>
        <w:t xml:space="preserve"> agricultural products.</w:t>
      </w:r>
    </w:p>
    <w:p>
      <w:pPr>
        <w:rPr>
          <w:noProof/>
        </w:rPr>
      </w:pPr>
      <w:r>
        <w:rPr>
          <w:noProof/>
        </w:rPr>
        <w:t xml:space="preserve">The taxation of spirits - a long standing issue in Colombia and following the initiation of Dispute Settlement case by the EU (DS502) - has registered major progress with the adoption of a reform law on spirits. Law 1816, entered into force on 1 January 2017, reformed the spirits regime by removing the fiscal discrimination and also disciplined the monopolies exercised by the Colombian departments over the production, introduction and distribution of spirits. The Commission is closely monitoring the implementation of these steps. In contrast, the discriminatory taxation on spirits is still an unresolved issue in Peru. </w:t>
      </w:r>
    </w:p>
    <w:p>
      <w:pPr>
        <w:rPr>
          <w:noProof/>
        </w:rPr>
      </w:pPr>
      <w:r>
        <w:rPr>
          <w:noProof/>
        </w:rPr>
        <w:t>Discussions with Colombia on the implementation of the market access commitments for procurement at sub-central level in Colombia</w:t>
      </w:r>
      <w:r>
        <w:rPr>
          <w:rFonts w:eastAsia="Calibri"/>
          <w:noProof/>
          <w:szCs w:val="24"/>
        </w:rPr>
        <w:t xml:space="preserve"> are also positive.</w:t>
      </w:r>
      <w:r>
        <w:rPr>
          <w:noProof/>
        </w:rPr>
        <w:t xml:space="preserve"> </w:t>
      </w:r>
    </w:p>
    <w:p>
      <w:pPr>
        <w:rPr>
          <w:rFonts w:eastAsia="Calibri"/>
          <w:noProof/>
          <w:szCs w:val="24"/>
        </w:rPr>
      </w:pPr>
      <w:r>
        <w:rPr>
          <w:noProof/>
        </w:rPr>
        <w:t xml:space="preserve">Both countries need to make further efforts to ensure the enforcement of EU geographical indications in both countries. </w:t>
      </w:r>
    </w:p>
    <w:p>
      <w:pPr>
        <w:spacing w:after="0"/>
        <w:rPr>
          <w:rFonts w:eastAsia="Calibri"/>
          <w:noProof/>
          <w:szCs w:val="24"/>
        </w:rPr>
      </w:pPr>
      <w:r>
        <w:rPr>
          <w:rFonts w:eastAsia="Calibri"/>
          <w:noProof/>
          <w:szCs w:val="24"/>
        </w:rPr>
        <w:t xml:space="preserve">The implementation of the Trade and Sustainable Development chapter has progressed and there has been an increasingly open dialogue on labour with both countries. Challenges nevertheless remain both on labour and environment issues and to </w:t>
      </w:r>
      <w:r>
        <w:rPr>
          <w:noProof/>
        </w:rPr>
        <w:t>support the implementation of this chapter, further efforts are necessary including cooperation activities.</w:t>
      </w:r>
    </w:p>
    <w:p>
      <w:pPr>
        <w:spacing w:after="0"/>
        <w:rPr>
          <w:rFonts w:ascii="Calibri" w:eastAsia="Calibri" w:hAnsi="Calibri" w:cs="Arial"/>
          <w:noProof/>
          <w:sz w:val="22"/>
          <w:szCs w:val="22"/>
        </w:rPr>
      </w:pPr>
    </w:p>
    <w:p>
      <w:pPr>
        <w:rPr>
          <w:rFonts w:eastAsia="Calibri"/>
          <w:noProof/>
          <w:szCs w:val="24"/>
        </w:rPr>
      </w:pPr>
      <w:r>
        <w:rPr>
          <w:rFonts w:eastAsia="Calibri"/>
          <w:noProof/>
          <w:szCs w:val="24"/>
        </w:rPr>
        <w:t>Regarding the stabilisation mechanism for bananas, there was no indication that the stability of the EU market nor that the situation of the EU producers have been affected by the level of Colombian and Peruvian exports. The close and reinforced monitoring of banana imports and the evaluation of the market situation will continue.</w:t>
      </w:r>
    </w:p>
    <w:p>
      <w:pPr>
        <w:autoSpaceDE w:val="0"/>
        <w:autoSpaceDN w:val="0"/>
        <w:adjustRightInd w:val="0"/>
        <w:rPr>
          <w:noProof/>
        </w:rPr>
      </w:pPr>
      <w:r>
        <w:rPr>
          <w:rFonts w:eastAsia="Calibri"/>
          <w:noProof/>
          <w:szCs w:val="24"/>
        </w:rPr>
        <w:t>The Commission will continue to pursue the implementation of the Agreement with Colombia and Peru and now also Ecuador, so that citizens, economic operators and other stakeholders on both sides are able to fully benefit from the opportunities the Agreement creates</w:t>
      </w:r>
      <w:r>
        <w:rPr>
          <w:rFonts w:eastAsiaTheme="minorHAnsi"/>
          <w:noProof/>
          <w:szCs w:val="24"/>
        </w:rPr>
        <w:t xml:space="preserve">. </w:t>
      </w:r>
      <w:r>
        <w:rPr>
          <w:rFonts w:eastAsia="Calibri"/>
          <w:noProof/>
          <w:szCs w:val="24"/>
        </w:rPr>
        <w:t>The Commission calls upon the EU Member States and the European Parliament to continue to actively contribute to this process.</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7338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jc w:val="both"/>
        <w:rPr>
          <w:lang w:val="pl-PL"/>
        </w:rPr>
      </w:pPr>
      <w:r>
        <w:rPr>
          <w:rStyle w:val="FootnoteReference"/>
        </w:rPr>
        <w:footnoteRef/>
      </w:r>
      <w:r>
        <w:rPr>
          <w:lang w:val="pl-PL"/>
        </w:rPr>
        <w:t xml:space="preserve"> OJ L 354, 21.12.2012, p. 3.</w:t>
      </w:r>
    </w:p>
  </w:footnote>
  <w:footnote w:id="2">
    <w:p>
      <w:pPr>
        <w:pStyle w:val="FootnoteText"/>
        <w:ind w:left="120" w:hanging="120"/>
        <w:jc w:val="both"/>
        <w:rPr>
          <w:lang w:val="pl-PL"/>
        </w:rPr>
      </w:pPr>
      <w:r>
        <w:rPr>
          <w:rStyle w:val="FootnoteReference"/>
        </w:rPr>
        <w:footnoteRef/>
      </w:r>
      <w:r>
        <w:rPr>
          <w:lang w:val="pl-PL"/>
        </w:rPr>
        <w:t xml:space="preserve"> </w:t>
      </w:r>
      <w:hyperlink r:id="rId1" w:history="1">
        <w:r>
          <w:rPr>
            <w:rStyle w:val="Hyperlink"/>
            <w:lang w:val="pl-PL"/>
          </w:rPr>
          <w:t>http://www.consilium.europa.eu/en/documents-publications/agreements-conventions/agreement/?aid=2011057</w:t>
        </w:r>
      </w:hyperlink>
      <w:r>
        <w:rPr>
          <w:lang w:val="pl-PL"/>
        </w:rPr>
        <w:t xml:space="preserve"> </w:t>
      </w:r>
    </w:p>
  </w:footnote>
  <w:footnote w:id="3">
    <w:p>
      <w:pPr>
        <w:pStyle w:val="PlainText"/>
        <w:ind w:left="120" w:hanging="120"/>
        <w:jc w:val="both"/>
        <w:rPr>
          <w:lang w:val="pl-PL"/>
        </w:rPr>
      </w:pPr>
      <w:r>
        <w:rPr>
          <w:rStyle w:val="FootnoteReference"/>
        </w:rPr>
        <w:footnoteRef/>
      </w:r>
      <w:r>
        <w:rPr>
          <w:lang w:val="pl-PL"/>
        </w:rPr>
        <w:t xml:space="preserve"> </w:t>
      </w:r>
      <w:hyperlink r:id="rId2" w:history="1">
        <w:r>
          <w:rPr>
            <w:rStyle w:val="Hyperlink"/>
            <w:rFonts w:ascii="Times New Roman" w:hAnsi="Times New Roman"/>
            <w:sz w:val="20"/>
            <w:szCs w:val="20"/>
            <w:lang w:val="pl-PL"/>
          </w:rPr>
          <w:t>http://www.consilium.europa.eu/en/documents-publications/agreements-conventions/agreement/?aid=2016044</w:t>
        </w:r>
      </w:hyperlink>
    </w:p>
  </w:footnote>
  <w:footnote w:id="4">
    <w:p>
      <w:pPr>
        <w:pStyle w:val="FootnoteText"/>
        <w:ind w:left="120" w:hanging="120"/>
        <w:jc w:val="both"/>
      </w:pPr>
      <w:r>
        <w:rPr>
          <w:rStyle w:val="FootnoteReference"/>
        </w:rPr>
        <w:footnoteRef/>
      </w:r>
      <w:r>
        <w:t xml:space="preserve"> OJ L 17, 19.1.2013, p. 1</w:t>
      </w:r>
    </w:p>
  </w:footnote>
  <w:footnote w:id="5">
    <w:p>
      <w:pPr>
        <w:pStyle w:val="FootnoteText"/>
        <w:rPr>
          <w:color w:val="000000" w:themeColor="text1"/>
        </w:rPr>
      </w:pPr>
      <w:r>
        <w:rPr>
          <w:rStyle w:val="FootnoteReference"/>
          <w:color w:val="000000" w:themeColor="text1"/>
        </w:rPr>
        <w:footnoteRef/>
      </w:r>
      <w:r>
        <w:rPr>
          <w:color w:val="000000" w:themeColor="text1"/>
        </w:rPr>
        <w:t xml:space="preserve"> A SME is a company which exports between 500,000 USD and 5mn USD FOB in total.</w:t>
      </w:r>
    </w:p>
  </w:footnote>
  <w:footnote w:id="6">
    <w:p>
      <w:pPr>
        <w:pStyle w:val="FootnoteText"/>
      </w:pPr>
      <w:r>
        <w:rPr>
          <w:rStyle w:val="FootnoteReference"/>
          <w:color w:val="000000" w:themeColor="text1"/>
        </w:rPr>
        <w:footnoteRef/>
      </w:r>
      <w:r>
        <w:rPr>
          <w:color w:val="000000" w:themeColor="text1"/>
        </w:rPr>
        <w:t xml:space="preserve"> A micro-enterprise exports less than 500,000 USD in total.</w:t>
      </w:r>
    </w:p>
  </w:footnote>
  <w:footnote w:id="7">
    <w:p>
      <w:pPr>
        <w:pStyle w:val="FootnoteText"/>
      </w:pPr>
      <w:r>
        <w:rPr>
          <w:rStyle w:val="FootnoteReference"/>
        </w:rPr>
        <w:footnoteRef/>
      </w:r>
      <w:r>
        <w:tab/>
        <w:t>OJ L 17, 19.01.2013, p.1.</w:t>
      </w:r>
    </w:p>
  </w:footnote>
  <w:footnote w:id="8">
    <w:p>
      <w:pPr>
        <w:pStyle w:val="FootnoteText"/>
      </w:pPr>
      <w:r>
        <w:rPr>
          <w:rStyle w:val="FootnoteReference"/>
        </w:rPr>
        <w:footnoteRef/>
      </w:r>
      <w:r>
        <w:t xml:space="preserve"> </w:t>
      </w:r>
      <w:r>
        <w:tab/>
        <w:t>OJ L 328, 12.12.2015, p. 116 and OJ L 326, 1.12.2016, p.16.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64AC"/>
    <w:multiLevelType w:val="hybridMultilevel"/>
    <w:tmpl w:val="EF648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69B546D"/>
    <w:multiLevelType w:val="hybridMultilevel"/>
    <w:tmpl w:val="B3AC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4406C5"/>
    <w:multiLevelType w:val="hybridMultilevel"/>
    <w:tmpl w:val="A686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823475"/>
    <w:multiLevelType w:val="hybridMultilevel"/>
    <w:tmpl w:val="6900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EC93543"/>
    <w:multiLevelType w:val="hybridMultilevel"/>
    <w:tmpl w:val="0180E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CD3F99"/>
    <w:multiLevelType w:val="hybridMultilevel"/>
    <w:tmpl w:val="DE060976"/>
    <w:lvl w:ilvl="0" w:tplc="E6F015E2">
      <w:start w:val="455"/>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5"/>
  </w:num>
  <w:num w:numId="6">
    <w:abstractNumId w:val="0"/>
  </w:num>
  <w:num w:numId="7">
    <w:abstractNumId w:val="4"/>
  </w:num>
  <w:num w:numId="8">
    <w:abstractNumId w:val="4"/>
  </w:num>
  <w:num w:numId="9">
    <w:abstractNumId w:val="6"/>
  </w:num>
  <w:num w:numId="10">
    <w:abstractNumId w:val="3"/>
  </w:num>
  <w:num w:numId="11">
    <w:abstractNumId w:val="2"/>
  </w:num>
  <w:num w:numId="12">
    <w:abstractNumId w:val="1"/>
  </w:num>
  <w:num w:numId="13">
    <w:abstractNumId w:val="4"/>
  </w:num>
  <w:num w:numId="14">
    <w:abstractNumId w:val="4"/>
  </w:num>
  <w:num w:numId="15">
    <w:abstractNumId w:val="4"/>
  </w:num>
  <w:num w:numId="16">
    <w:abstractNumId w:val="4"/>
  </w:num>
  <w:num w:numId="17">
    <w:abstractNumId w:val="4"/>
  </w:num>
  <w:num w:numId="18">
    <w:abstractNumId w:val="0"/>
  </w:num>
  <w:num w:numId="19">
    <w:abstractNumId w:val="4"/>
  </w:num>
  <w:num w:numId="20">
    <w:abstractNumId w:val="4"/>
  </w:num>
  <w:num w:numId="21">
    <w:abstractNumId w:val="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FB58C0CEA4C4EBBB19088DBD97495BB"/>
    <w:docVar w:name="LW_CROSSREFERENCE" w:val="&lt;UNUSED&gt;"/>
    <w:docVar w:name="LW_DocType" w:val="NORMAL"/>
    <w:docVar w:name="LW_EMISSION" w:val="10.10.2017"/>
    <w:docVar w:name="LW_EMISSION_ISODATE" w:val="2017-10-10"/>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85"/>
    <w:docVar w:name="LW_REF.INTERNE" w:val="&lt;UNUSED&gt;"/>
    <w:docVar w:name="LW_SOUS.TITRE.OBJ.CP" w:val="&lt;UNUSED&gt;"/>
    <w:docVar w:name="LW_SUPERTITRE" w:val="&lt;UNUSED&gt;"/>
    <w:docVar w:name="LW_TITRE.OBJ.CP" w:val="Third Annual Report on the Implementation of the EU-Colombia/Peru Trade Agreemen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jc w:val="both"/>
    </w:pPr>
    <w:rPr>
      <w:rFonts w:eastAsia="Times New Roman"/>
      <w:sz w:val="24"/>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mallCaps/>
      <w:sz w:val="24"/>
    </w:rPr>
  </w:style>
  <w:style w:type="character" w:customStyle="1" w:styleId="Heading2Char">
    <w:name w:val="Heading 2 Char"/>
    <w:basedOn w:val="DefaultParagraphFont"/>
    <w:link w:val="Heading2"/>
    <w:rPr>
      <w:rFonts w:eastAsia="Times New Roman"/>
      <w:b/>
      <w:sz w:val="24"/>
    </w:rPr>
  </w:style>
  <w:style w:type="character" w:customStyle="1" w:styleId="Heading3Char">
    <w:name w:val="Heading 3 Char"/>
    <w:basedOn w:val="DefaultParagraphFont"/>
    <w:link w:val="Heading3"/>
    <w:rPr>
      <w:rFonts w:eastAsia="Times New Roman"/>
      <w:i/>
      <w:sz w:val="24"/>
    </w:rPr>
  </w:style>
  <w:style w:type="character" w:customStyle="1" w:styleId="Heading4Char">
    <w:name w:val="Heading 4 Char"/>
    <w:basedOn w:val="DefaultParagraphFont"/>
    <w:link w:val="Heading4"/>
    <w:rPr>
      <w:rFonts w:eastAsia="Times New Roman"/>
      <w:sz w:val="24"/>
    </w:rPr>
  </w:style>
  <w:style w:type="paragraph" w:customStyle="1" w:styleId="Text1">
    <w:name w:val="Text 1"/>
    <w:basedOn w:val="Normal"/>
    <w:pPr>
      <w:ind w:left="482"/>
    </w:pPr>
  </w:style>
  <w:style w:type="paragraph" w:customStyle="1" w:styleId="Titreobjet">
    <w:name w:val="Titre objet"/>
    <w:basedOn w:val="Normal"/>
    <w:next w:val="Normal"/>
    <w:pPr>
      <w:spacing w:before="360" w:after="360"/>
      <w:jc w:val="center"/>
    </w:pPr>
    <w:rPr>
      <w:b/>
      <w:lang w:eastAsia="en-GB"/>
    </w:rPr>
  </w:style>
  <w:style w:type="paragraph" w:customStyle="1" w:styleId="Typedudocument">
    <w:name w:val="Type du document"/>
    <w:basedOn w:val="Normal"/>
    <w:next w:val="Titreobjet"/>
    <w:link w:val="TypedudocumentChar"/>
    <w:pPr>
      <w:spacing w:before="360" w:after="0"/>
      <w:jc w:val="center"/>
    </w:pPr>
    <w:rPr>
      <w:b/>
      <w:lang w:eastAsia="en-GB"/>
    </w:rPr>
  </w:style>
  <w:style w:type="character" w:customStyle="1" w:styleId="TypedudocumentChar">
    <w:name w:val="Type du document Char"/>
    <w:link w:val="Typedudocument"/>
    <w:rPr>
      <w:rFonts w:eastAsia="Times New Roman"/>
      <w:b/>
      <w:sz w:val="24"/>
      <w:lang w:eastAsia="en-GB"/>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FootnoteText">
    <w:name w:val="footnote text"/>
    <w:basedOn w:val="Normal"/>
    <w:link w:val="FootnoteTextChar"/>
    <w:uiPriority w:val="99"/>
    <w:pPr>
      <w:spacing w:after="0"/>
      <w:jc w:val="left"/>
    </w:pPr>
    <w:rPr>
      <w:sz w:val="20"/>
      <w:lang w:eastAsia="en-GB"/>
    </w:rPr>
  </w:style>
  <w:style w:type="character" w:customStyle="1" w:styleId="FootnoteTextChar">
    <w:name w:val="Footnote Text Char"/>
    <w:basedOn w:val="DefaultParagraphFont"/>
    <w:link w:val="FootnoteText"/>
    <w:uiPriority w:val="99"/>
    <w:rPr>
      <w:rFonts w:eastAsia="Times New Roman"/>
      <w:lang w:eastAsia="en-GB"/>
    </w:rPr>
  </w:style>
  <w:style w:type="character" w:styleId="FootnoteReference">
    <w:name w:val="footnote reference"/>
    <w:uiPriority w:val="99"/>
    <w:unhideWhenUsed/>
    <w:rPr>
      <w:vertAlign w:val="superscript"/>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PlainText">
    <w:name w:val="Plain Text"/>
    <w:basedOn w:val="Normal"/>
    <w:link w:val="PlainTextChar"/>
    <w:uiPriority w:val="99"/>
    <w:unhideWhenUsed/>
    <w:pPr>
      <w:spacing w:after="0"/>
      <w:jc w:val="left"/>
    </w:pPr>
    <w:rPr>
      <w:rFonts w:ascii="Calibri" w:hAnsi="Calibri"/>
      <w:sz w:val="22"/>
      <w:szCs w:val="21"/>
      <w:lang w:eastAsia="en-GB"/>
    </w:rPr>
  </w:style>
  <w:style w:type="character" w:customStyle="1" w:styleId="PlainTextChar">
    <w:name w:val="Plain Text Char"/>
    <w:basedOn w:val="DefaultParagraphFont"/>
    <w:link w:val="PlainText"/>
    <w:uiPriority w:val="99"/>
    <w:rPr>
      <w:rFonts w:ascii="Calibri" w:eastAsia="Times New Roman" w:hAnsi="Calibri"/>
      <w:sz w:val="22"/>
      <w:szCs w:val="21"/>
      <w:lang w:eastAsia="en-GB"/>
    </w:rPr>
  </w:style>
  <w:style w:type="paragraph" w:styleId="ListParagraph">
    <w:name w:val="List Paragraph"/>
    <w:basedOn w:val="Normal"/>
    <w:uiPriority w:val="34"/>
    <w:qFormat/>
    <w:pPr>
      <w:ind w:left="720"/>
      <w:contextualSpacing/>
    </w:p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jc w:val="left"/>
    </w:pPr>
    <w:rPr>
      <w:rFonts w:ascii="Calibri" w:eastAsiaTheme="minorHAnsi" w:hAnsi="Calibri"/>
      <w:sz w:val="20"/>
    </w:rPr>
  </w:style>
  <w:style w:type="character" w:customStyle="1" w:styleId="CommentTextChar">
    <w:name w:val="Comment Text Char"/>
    <w:basedOn w:val="DefaultParagraphFont"/>
    <w:link w:val="CommentText"/>
    <w:uiPriority w:val="99"/>
    <w:rPr>
      <w:rFonts w:ascii="Calibri" w:hAnsi="Calibri"/>
    </w:rPr>
  </w:style>
  <w:style w:type="character" w:customStyle="1" w:styleId="st1">
    <w:name w:val="st1"/>
    <w:basedOn w:val="DefaultParagraphFont"/>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rFonts w:eastAsia="Times New Roman"/>
      <w:sz w:val="24"/>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rFonts w:eastAsia="Times New Roman"/>
      <w:sz w:val="24"/>
    </w:rPr>
  </w:style>
  <w:style w:type="paragraph" w:styleId="CommentSubject">
    <w:name w:val="annotation subject"/>
    <w:basedOn w:val="CommentText"/>
    <w:next w:val="CommentText"/>
    <w:link w:val="CommentSubjectChar"/>
    <w:pPr>
      <w:spacing w:after="240"/>
      <w:jc w:val="both"/>
    </w:pPr>
    <w:rPr>
      <w:rFonts w:ascii="Times New Roman" w:eastAsia="Times New Roman" w:hAnsi="Times New Roman"/>
      <w:b/>
      <w:bCs/>
    </w:rPr>
  </w:style>
  <w:style w:type="character" w:customStyle="1" w:styleId="CommentSubjectChar">
    <w:name w:val="Comment Subject Char"/>
    <w:basedOn w:val="CommentTextChar"/>
    <w:link w:val="CommentSubject"/>
    <w:rPr>
      <w:rFonts w:ascii="Calibri" w:eastAsia="Times New Roman" w:hAnsi="Calibri"/>
      <w:b/>
      <w:bCs/>
    </w:rPr>
  </w:style>
  <w:style w:type="paragraph" w:styleId="Revision">
    <w:name w:val="Revision"/>
    <w:hidden/>
    <w:uiPriority w:val="99"/>
    <w:semiHidden/>
    <w:rPr>
      <w:rFonts w:eastAsia="Times New Roman"/>
      <w:sz w:val="24"/>
    </w:rPr>
  </w:style>
  <w:style w:type="character" w:styleId="FollowedHyperlink">
    <w:name w:val="FollowedHyperlink"/>
    <w:basedOn w:val="DefaultParagraphFont"/>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2"/>
    </w:rPr>
  </w:style>
  <w:style w:type="character" w:customStyle="1" w:styleId="FooterCoverPageChar">
    <w:name w:val="Footer Cover Page Char"/>
    <w:basedOn w:val="DefaultParagraphFont"/>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pPr>
    <w:rPr>
      <w:rFonts w:eastAsia="Calibri"/>
      <w:szCs w:val="22"/>
    </w:rPr>
  </w:style>
  <w:style w:type="character" w:customStyle="1" w:styleId="HeaderCoverPageChar">
    <w:name w:val="Header Cover Page Char"/>
    <w:basedOn w:val="DefaultParagraphFont"/>
    <w:link w:val="HeaderCoverPage"/>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jc w:val="both"/>
    </w:pPr>
    <w:rPr>
      <w:rFonts w:eastAsia="Times New Roman"/>
      <w:sz w:val="24"/>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mallCaps/>
      <w:sz w:val="24"/>
    </w:rPr>
  </w:style>
  <w:style w:type="character" w:customStyle="1" w:styleId="Heading2Char">
    <w:name w:val="Heading 2 Char"/>
    <w:basedOn w:val="DefaultParagraphFont"/>
    <w:link w:val="Heading2"/>
    <w:rPr>
      <w:rFonts w:eastAsia="Times New Roman"/>
      <w:b/>
      <w:sz w:val="24"/>
    </w:rPr>
  </w:style>
  <w:style w:type="character" w:customStyle="1" w:styleId="Heading3Char">
    <w:name w:val="Heading 3 Char"/>
    <w:basedOn w:val="DefaultParagraphFont"/>
    <w:link w:val="Heading3"/>
    <w:rPr>
      <w:rFonts w:eastAsia="Times New Roman"/>
      <w:i/>
      <w:sz w:val="24"/>
    </w:rPr>
  </w:style>
  <w:style w:type="character" w:customStyle="1" w:styleId="Heading4Char">
    <w:name w:val="Heading 4 Char"/>
    <w:basedOn w:val="DefaultParagraphFont"/>
    <w:link w:val="Heading4"/>
    <w:rPr>
      <w:rFonts w:eastAsia="Times New Roman"/>
      <w:sz w:val="24"/>
    </w:rPr>
  </w:style>
  <w:style w:type="paragraph" w:customStyle="1" w:styleId="Text1">
    <w:name w:val="Text 1"/>
    <w:basedOn w:val="Normal"/>
    <w:pPr>
      <w:ind w:left="482"/>
    </w:pPr>
  </w:style>
  <w:style w:type="paragraph" w:customStyle="1" w:styleId="Titreobjet">
    <w:name w:val="Titre objet"/>
    <w:basedOn w:val="Normal"/>
    <w:next w:val="Normal"/>
    <w:pPr>
      <w:spacing w:before="360" w:after="360"/>
      <w:jc w:val="center"/>
    </w:pPr>
    <w:rPr>
      <w:b/>
      <w:lang w:eastAsia="en-GB"/>
    </w:rPr>
  </w:style>
  <w:style w:type="paragraph" w:customStyle="1" w:styleId="Typedudocument">
    <w:name w:val="Type du document"/>
    <w:basedOn w:val="Normal"/>
    <w:next w:val="Titreobjet"/>
    <w:link w:val="TypedudocumentChar"/>
    <w:pPr>
      <w:spacing w:before="360" w:after="0"/>
      <w:jc w:val="center"/>
    </w:pPr>
    <w:rPr>
      <w:b/>
      <w:lang w:eastAsia="en-GB"/>
    </w:rPr>
  </w:style>
  <w:style w:type="character" w:customStyle="1" w:styleId="TypedudocumentChar">
    <w:name w:val="Type du document Char"/>
    <w:link w:val="Typedudocument"/>
    <w:rPr>
      <w:rFonts w:eastAsia="Times New Roman"/>
      <w:b/>
      <w:sz w:val="24"/>
      <w:lang w:eastAsia="en-GB"/>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FootnoteText">
    <w:name w:val="footnote text"/>
    <w:basedOn w:val="Normal"/>
    <w:link w:val="FootnoteTextChar"/>
    <w:uiPriority w:val="99"/>
    <w:pPr>
      <w:spacing w:after="0"/>
      <w:jc w:val="left"/>
    </w:pPr>
    <w:rPr>
      <w:sz w:val="20"/>
      <w:lang w:eastAsia="en-GB"/>
    </w:rPr>
  </w:style>
  <w:style w:type="character" w:customStyle="1" w:styleId="FootnoteTextChar">
    <w:name w:val="Footnote Text Char"/>
    <w:basedOn w:val="DefaultParagraphFont"/>
    <w:link w:val="FootnoteText"/>
    <w:uiPriority w:val="99"/>
    <w:rPr>
      <w:rFonts w:eastAsia="Times New Roman"/>
      <w:lang w:eastAsia="en-GB"/>
    </w:rPr>
  </w:style>
  <w:style w:type="character" w:styleId="FootnoteReference">
    <w:name w:val="footnote reference"/>
    <w:uiPriority w:val="99"/>
    <w:unhideWhenUsed/>
    <w:rPr>
      <w:vertAlign w:val="superscript"/>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PlainText">
    <w:name w:val="Plain Text"/>
    <w:basedOn w:val="Normal"/>
    <w:link w:val="PlainTextChar"/>
    <w:uiPriority w:val="99"/>
    <w:unhideWhenUsed/>
    <w:pPr>
      <w:spacing w:after="0"/>
      <w:jc w:val="left"/>
    </w:pPr>
    <w:rPr>
      <w:rFonts w:ascii="Calibri" w:hAnsi="Calibri"/>
      <w:sz w:val="22"/>
      <w:szCs w:val="21"/>
      <w:lang w:eastAsia="en-GB"/>
    </w:rPr>
  </w:style>
  <w:style w:type="character" w:customStyle="1" w:styleId="PlainTextChar">
    <w:name w:val="Plain Text Char"/>
    <w:basedOn w:val="DefaultParagraphFont"/>
    <w:link w:val="PlainText"/>
    <w:uiPriority w:val="99"/>
    <w:rPr>
      <w:rFonts w:ascii="Calibri" w:eastAsia="Times New Roman" w:hAnsi="Calibri"/>
      <w:sz w:val="22"/>
      <w:szCs w:val="21"/>
      <w:lang w:eastAsia="en-GB"/>
    </w:rPr>
  </w:style>
  <w:style w:type="paragraph" w:styleId="ListParagraph">
    <w:name w:val="List Paragraph"/>
    <w:basedOn w:val="Normal"/>
    <w:uiPriority w:val="34"/>
    <w:qFormat/>
    <w:pPr>
      <w:ind w:left="720"/>
      <w:contextualSpacing/>
    </w:p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jc w:val="left"/>
    </w:pPr>
    <w:rPr>
      <w:rFonts w:ascii="Calibri" w:eastAsiaTheme="minorHAnsi" w:hAnsi="Calibri"/>
      <w:sz w:val="20"/>
    </w:rPr>
  </w:style>
  <w:style w:type="character" w:customStyle="1" w:styleId="CommentTextChar">
    <w:name w:val="Comment Text Char"/>
    <w:basedOn w:val="DefaultParagraphFont"/>
    <w:link w:val="CommentText"/>
    <w:uiPriority w:val="99"/>
    <w:rPr>
      <w:rFonts w:ascii="Calibri" w:hAnsi="Calibri"/>
    </w:rPr>
  </w:style>
  <w:style w:type="character" w:customStyle="1" w:styleId="st1">
    <w:name w:val="st1"/>
    <w:basedOn w:val="DefaultParagraphFont"/>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rFonts w:eastAsia="Times New Roman"/>
      <w:sz w:val="24"/>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rFonts w:eastAsia="Times New Roman"/>
      <w:sz w:val="24"/>
    </w:rPr>
  </w:style>
  <w:style w:type="paragraph" w:styleId="CommentSubject">
    <w:name w:val="annotation subject"/>
    <w:basedOn w:val="CommentText"/>
    <w:next w:val="CommentText"/>
    <w:link w:val="CommentSubjectChar"/>
    <w:pPr>
      <w:spacing w:after="240"/>
      <w:jc w:val="both"/>
    </w:pPr>
    <w:rPr>
      <w:rFonts w:ascii="Times New Roman" w:eastAsia="Times New Roman" w:hAnsi="Times New Roman"/>
      <w:b/>
      <w:bCs/>
    </w:rPr>
  </w:style>
  <w:style w:type="character" w:customStyle="1" w:styleId="CommentSubjectChar">
    <w:name w:val="Comment Subject Char"/>
    <w:basedOn w:val="CommentTextChar"/>
    <w:link w:val="CommentSubject"/>
    <w:rPr>
      <w:rFonts w:ascii="Calibri" w:eastAsia="Times New Roman" w:hAnsi="Calibri"/>
      <w:b/>
      <w:bCs/>
    </w:rPr>
  </w:style>
  <w:style w:type="paragraph" w:styleId="Revision">
    <w:name w:val="Revision"/>
    <w:hidden/>
    <w:uiPriority w:val="99"/>
    <w:semiHidden/>
    <w:rPr>
      <w:rFonts w:eastAsia="Times New Roman"/>
      <w:sz w:val="24"/>
    </w:rPr>
  </w:style>
  <w:style w:type="character" w:styleId="FollowedHyperlink">
    <w:name w:val="FollowedHyperlink"/>
    <w:basedOn w:val="DefaultParagraphFont"/>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2"/>
    </w:rPr>
  </w:style>
  <w:style w:type="character" w:customStyle="1" w:styleId="FooterCoverPageChar">
    <w:name w:val="Footer Cover Page Char"/>
    <w:basedOn w:val="DefaultParagraphFont"/>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pPr>
    <w:rPr>
      <w:rFonts w:eastAsia="Calibri"/>
      <w:szCs w:val="22"/>
    </w:rPr>
  </w:style>
  <w:style w:type="character" w:customStyle="1" w:styleId="HeaderCoverPageChar">
    <w:name w:val="Header Cover Page Char"/>
    <w:basedOn w:val="DefaultParagraphFont"/>
    <w:link w:val="HeaderCoverPage"/>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0856">
      <w:bodyDiv w:val="1"/>
      <w:marLeft w:val="0"/>
      <w:marRight w:val="0"/>
      <w:marTop w:val="0"/>
      <w:marBottom w:val="0"/>
      <w:divBdr>
        <w:top w:val="none" w:sz="0" w:space="0" w:color="auto"/>
        <w:left w:val="none" w:sz="0" w:space="0" w:color="auto"/>
        <w:bottom w:val="none" w:sz="0" w:space="0" w:color="auto"/>
        <w:right w:val="none" w:sz="0" w:space="0" w:color="auto"/>
      </w:divBdr>
    </w:div>
    <w:div w:id="169417765">
      <w:bodyDiv w:val="1"/>
      <w:marLeft w:val="0"/>
      <w:marRight w:val="0"/>
      <w:marTop w:val="0"/>
      <w:marBottom w:val="0"/>
      <w:divBdr>
        <w:top w:val="none" w:sz="0" w:space="0" w:color="auto"/>
        <w:left w:val="none" w:sz="0" w:space="0" w:color="auto"/>
        <w:bottom w:val="none" w:sz="0" w:space="0" w:color="auto"/>
        <w:right w:val="none" w:sz="0" w:space="0" w:color="auto"/>
      </w:divBdr>
    </w:div>
    <w:div w:id="170491369">
      <w:bodyDiv w:val="1"/>
      <w:marLeft w:val="0"/>
      <w:marRight w:val="0"/>
      <w:marTop w:val="0"/>
      <w:marBottom w:val="0"/>
      <w:divBdr>
        <w:top w:val="none" w:sz="0" w:space="0" w:color="auto"/>
        <w:left w:val="none" w:sz="0" w:space="0" w:color="auto"/>
        <w:bottom w:val="none" w:sz="0" w:space="0" w:color="auto"/>
        <w:right w:val="none" w:sz="0" w:space="0" w:color="auto"/>
      </w:divBdr>
    </w:div>
    <w:div w:id="175308920">
      <w:bodyDiv w:val="1"/>
      <w:marLeft w:val="0"/>
      <w:marRight w:val="0"/>
      <w:marTop w:val="0"/>
      <w:marBottom w:val="0"/>
      <w:divBdr>
        <w:top w:val="none" w:sz="0" w:space="0" w:color="auto"/>
        <w:left w:val="none" w:sz="0" w:space="0" w:color="auto"/>
        <w:bottom w:val="none" w:sz="0" w:space="0" w:color="auto"/>
        <w:right w:val="none" w:sz="0" w:space="0" w:color="auto"/>
      </w:divBdr>
    </w:div>
    <w:div w:id="447698162">
      <w:bodyDiv w:val="1"/>
      <w:marLeft w:val="0"/>
      <w:marRight w:val="0"/>
      <w:marTop w:val="0"/>
      <w:marBottom w:val="0"/>
      <w:divBdr>
        <w:top w:val="none" w:sz="0" w:space="0" w:color="auto"/>
        <w:left w:val="none" w:sz="0" w:space="0" w:color="auto"/>
        <w:bottom w:val="none" w:sz="0" w:space="0" w:color="auto"/>
        <w:right w:val="none" w:sz="0" w:space="0" w:color="auto"/>
      </w:divBdr>
    </w:div>
    <w:div w:id="505020600">
      <w:bodyDiv w:val="1"/>
      <w:marLeft w:val="0"/>
      <w:marRight w:val="0"/>
      <w:marTop w:val="0"/>
      <w:marBottom w:val="0"/>
      <w:divBdr>
        <w:top w:val="none" w:sz="0" w:space="0" w:color="auto"/>
        <w:left w:val="none" w:sz="0" w:space="0" w:color="auto"/>
        <w:bottom w:val="none" w:sz="0" w:space="0" w:color="auto"/>
        <w:right w:val="none" w:sz="0" w:space="0" w:color="auto"/>
      </w:divBdr>
    </w:div>
    <w:div w:id="511535501">
      <w:bodyDiv w:val="1"/>
      <w:marLeft w:val="0"/>
      <w:marRight w:val="0"/>
      <w:marTop w:val="0"/>
      <w:marBottom w:val="0"/>
      <w:divBdr>
        <w:top w:val="none" w:sz="0" w:space="0" w:color="auto"/>
        <w:left w:val="none" w:sz="0" w:space="0" w:color="auto"/>
        <w:bottom w:val="none" w:sz="0" w:space="0" w:color="auto"/>
        <w:right w:val="none" w:sz="0" w:space="0" w:color="auto"/>
      </w:divBdr>
    </w:div>
    <w:div w:id="568271729">
      <w:bodyDiv w:val="1"/>
      <w:marLeft w:val="0"/>
      <w:marRight w:val="0"/>
      <w:marTop w:val="0"/>
      <w:marBottom w:val="0"/>
      <w:divBdr>
        <w:top w:val="none" w:sz="0" w:space="0" w:color="auto"/>
        <w:left w:val="none" w:sz="0" w:space="0" w:color="auto"/>
        <w:bottom w:val="none" w:sz="0" w:space="0" w:color="auto"/>
        <w:right w:val="none" w:sz="0" w:space="0" w:color="auto"/>
      </w:divBdr>
    </w:div>
    <w:div w:id="604077702">
      <w:bodyDiv w:val="1"/>
      <w:marLeft w:val="0"/>
      <w:marRight w:val="0"/>
      <w:marTop w:val="0"/>
      <w:marBottom w:val="0"/>
      <w:divBdr>
        <w:top w:val="none" w:sz="0" w:space="0" w:color="auto"/>
        <w:left w:val="none" w:sz="0" w:space="0" w:color="auto"/>
        <w:bottom w:val="none" w:sz="0" w:space="0" w:color="auto"/>
        <w:right w:val="none" w:sz="0" w:space="0" w:color="auto"/>
      </w:divBdr>
    </w:div>
    <w:div w:id="735083204">
      <w:bodyDiv w:val="1"/>
      <w:marLeft w:val="0"/>
      <w:marRight w:val="0"/>
      <w:marTop w:val="0"/>
      <w:marBottom w:val="0"/>
      <w:divBdr>
        <w:top w:val="none" w:sz="0" w:space="0" w:color="auto"/>
        <w:left w:val="none" w:sz="0" w:space="0" w:color="auto"/>
        <w:bottom w:val="none" w:sz="0" w:space="0" w:color="auto"/>
        <w:right w:val="none" w:sz="0" w:space="0" w:color="auto"/>
      </w:divBdr>
    </w:div>
    <w:div w:id="942540620">
      <w:bodyDiv w:val="1"/>
      <w:marLeft w:val="0"/>
      <w:marRight w:val="0"/>
      <w:marTop w:val="0"/>
      <w:marBottom w:val="0"/>
      <w:divBdr>
        <w:top w:val="none" w:sz="0" w:space="0" w:color="auto"/>
        <w:left w:val="none" w:sz="0" w:space="0" w:color="auto"/>
        <w:bottom w:val="none" w:sz="0" w:space="0" w:color="auto"/>
        <w:right w:val="none" w:sz="0" w:space="0" w:color="auto"/>
      </w:divBdr>
    </w:div>
    <w:div w:id="945499093">
      <w:bodyDiv w:val="1"/>
      <w:marLeft w:val="0"/>
      <w:marRight w:val="0"/>
      <w:marTop w:val="0"/>
      <w:marBottom w:val="0"/>
      <w:divBdr>
        <w:top w:val="none" w:sz="0" w:space="0" w:color="auto"/>
        <w:left w:val="none" w:sz="0" w:space="0" w:color="auto"/>
        <w:bottom w:val="none" w:sz="0" w:space="0" w:color="auto"/>
        <w:right w:val="none" w:sz="0" w:space="0" w:color="auto"/>
      </w:divBdr>
    </w:div>
    <w:div w:id="1050350025">
      <w:bodyDiv w:val="1"/>
      <w:marLeft w:val="0"/>
      <w:marRight w:val="0"/>
      <w:marTop w:val="0"/>
      <w:marBottom w:val="0"/>
      <w:divBdr>
        <w:top w:val="none" w:sz="0" w:space="0" w:color="auto"/>
        <w:left w:val="none" w:sz="0" w:space="0" w:color="auto"/>
        <w:bottom w:val="none" w:sz="0" w:space="0" w:color="auto"/>
        <w:right w:val="none" w:sz="0" w:space="0" w:color="auto"/>
      </w:divBdr>
    </w:div>
    <w:div w:id="1107847184">
      <w:bodyDiv w:val="1"/>
      <w:marLeft w:val="0"/>
      <w:marRight w:val="0"/>
      <w:marTop w:val="0"/>
      <w:marBottom w:val="0"/>
      <w:divBdr>
        <w:top w:val="none" w:sz="0" w:space="0" w:color="auto"/>
        <w:left w:val="none" w:sz="0" w:space="0" w:color="auto"/>
        <w:bottom w:val="none" w:sz="0" w:space="0" w:color="auto"/>
        <w:right w:val="none" w:sz="0" w:space="0" w:color="auto"/>
      </w:divBdr>
    </w:div>
    <w:div w:id="1152988787">
      <w:bodyDiv w:val="1"/>
      <w:marLeft w:val="0"/>
      <w:marRight w:val="0"/>
      <w:marTop w:val="0"/>
      <w:marBottom w:val="0"/>
      <w:divBdr>
        <w:top w:val="none" w:sz="0" w:space="0" w:color="auto"/>
        <w:left w:val="none" w:sz="0" w:space="0" w:color="auto"/>
        <w:bottom w:val="none" w:sz="0" w:space="0" w:color="auto"/>
        <w:right w:val="none" w:sz="0" w:space="0" w:color="auto"/>
      </w:divBdr>
      <w:divsChild>
        <w:div w:id="1730613975">
          <w:marLeft w:val="0"/>
          <w:marRight w:val="0"/>
          <w:marTop w:val="0"/>
          <w:marBottom w:val="0"/>
          <w:divBdr>
            <w:top w:val="none" w:sz="0" w:space="0" w:color="auto"/>
            <w:left w:val="none" w:sz="0" w:space="0" w:color="auto"/>
            <w:bottom w:val="none" w:sz="0" w:space="0" w:color="auto"/>
            <w:right w:val="none" w:sz="0" w:space="0" w:color="auto"/>
          </w:divBdr>
          <w:divsChild>
            <w:div w:id="2057775940">
              <w:marLeft w:val="0"/>
              <w:marRight w:val="0"/>
              <w:marTop w:val="0"/>
              <w:marBottom w:val="0"/>
              <w:divBdr>
                <w:top w:val="none" w:sz="0" w:space="0" w:color="auto"/>
                <w:left w:val="none" w:sz="0" w:space="0" w:color="auto"/>
                <w:bottom w:val="none" w:sz="0" w:space="0" w:color="auto"/>
                <w:right w:val="none" w:sz="0" w:space="0" w:color="auto"/>
              </w:divBdr>
              <w:divsChild>
                <w:div w:id="1289897185">
                  <w:marLeft w:val="0"/>
                  <w:marRight w:val="0"/>
                  <w:marTop w:val="0"/>
                  <w:marBottom w:val="0"/>
                  <w:divBdr>
                    <w:top w:val="none" w:sz="0" w:space="0" w:color="auto"/>
                    <w:left w:val="none" w:sz="0" w:space="0" w:color="auto"/>
                    <w:bottom w:val="none" w:sz="0" w:space="0" w:color="auto"/>
                    <w:right w:val="none" w:sz="0" w:space="0" w:color="auto"/>
                  </w:divBdr>
                  <w:divsChild>
                    <w:div w:id="425537344">
                      <w:marLeft w:val="0"/>
                      <w:marRight w:val="0"/>
                      <w:marTop w:val="0"/>
                      <w:marBottom w:val="0"/>
                      <w:divBdr>
                        <w:top w:val="none" w:sz="0" w:space="0" w:color="auto"/>
                        <w:left w:val="none" w:sz="0" w:space="0" w:color="auto"/>
                        <w:bottom w:val="none" w:sz="0" w:space="0" w:color="auto"/>
                        <w:right w:val="none" w:sz="0" w:space="0" w:color="auto"/>
                      </w:divBdr>
                      <w:divsChild>
                        <w:div w:id="1050304840">
                          <w:marLeft w:val="0"/>
                          <w:marRight w:val="0"/>
                          <w:marTop w:val="0"/>
                          <w:marBottom w:val="0"/>
                          <w:divBdr>
                            <w:top w:val="none" w:sz="0" w:space="0" w:color="auto"/>
                            <w:left w:val="none" w:sz="0" w:space="0" w:color="auto"/>
                            <w:bottom w:val="none" w:sz="0" w:space="0" w:color="auto"/>
                            <w:right w:val="none" w:sz="0" w:space="0" w:color="auto"/>
                          </w:divBdr>
                          <w:divsChild>
                            <w:div w:id="686517277">
                              <w:marLeft w:val="0"/>
                              <w:marRight w:val="0"/>
                              <w:marTop w:val="0"/>
                              <w:marBottom w:val="0"/>
                              <w:divBdr>
                                <w:top w:val="none" w:sz="0" w:space="0" w:color="auto"/>
                                <w:left w:val="none" w:sz="0" w:space="0" w:color="auto"/>
                                <w:bottom w:val="none" w:sz="0" w:space="0" w:color="auto"/>
                                <w:right w:val="none" w:sz="0" w:space="0" w:color="auto"/>
                              </w:divBdr>
                              <w:divsChild>
                                <w:div w:id="1306621447">
                                  <w:marLeft w:val="0"/>
                                  <w:marRight w:val="0"/>
                                  <w:marTop w:val="0"/>
                                  <w:marBottom w:val="0"/>
                                  <w:divBdr>
                                    <w:top w:val="none" w:sz="0" w:space="0" w:color="auto"/>
                                    <w:left w:val="none" w:sz="0" w:space="0" w:color="auto"/>
                                    <w:bottom w:val="none" w:sz="0" w:space="0" w:color="auto"/>
                                    <w:right w:val="none" w:sz="0" w:space="0" w:color="auto"/>
                                  </w:divBdr>
                                  <w:divsChild>
                                    <w:div w:id="146015805">
                                      <w:marLeft w:val="0"/>
                                      <w:marRight w:val="0"/>
                                      <w:marTop w:val="0"/>
                                      <w:marBottom w:val="0"/>
                                      <w:divBdr>
                                        <w:top w:val="none" w:sz="0" w:space="0" w:color="auto"/>
                                        <w:left w:val="none" w:sz="0" w:space="0" w:color="auto"/>
                                        <w:bottom w:val="none" w:sz="0" w:space="0" w:color="auto"/>
                                        <w:right w:val="none" w:sz="0" w:space="0" w:color="auto"/>
                                      </w:divBdr>
                                      <w:divsChild>
                                        <w:div w:id="29696816">
                                          <w:marLeft w:val="0"/>
                                          <w:marRight w:val="0"/>
                                          <w:marTop w:val="0"/>
                                          <w:marBottom w:val="0"/>
                                          <w:divBdr>
                                            <w:top w:val="none" w:sz="0" w:space="0" w:color="auto"/>
                                            <w:left w:val="none" w:sz="0" w:space="0" w:color="auto"/>
                                            <w:bottom w:val="none" w:sz="0" w:space="0" w:color="auto"/>
                                            <w:right w:val="none" w:sz="0" w:space="0" w:color="auto"/>
                                          </w:divBdr>
                                          <w:divsChild>
                                            <w:div w:id="971790649">
                                              <w:marLeft w:val="0"/>
                                              <w:marRight w:val="0"/>
                                              <w:marTop w:val="0"/>
                                              <w:marBottom w:val="0"/>
                                              <w:divBdr>
                                                <w:top w:val="none" w:sz="0" w:space="0" w:color="auto"/>
                                                <w:left w:val="none" w:sz="0" w:space="0" w:color="auto"/>
                                                <w:bottom w:val="none" w:sz="0" w:space="0" w:color="auto"/>
                                                <w:right w:val="none" w:sz="0" w:space="0" w:color="auto"/>
                                              </w:divBdr>
                                              <w:divsChild>
                                                <w:div w:id="17007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141223">
      <w:bodyDiv w:val="1"/>
      <w:marLeft w:val="0"/>
      <w:marRight w:val="0"/>
      <w:marTop w:val="0"/>
      <w:marBottom w:val="0"/>
      <w:divBdr>
        <w:top w:val="none" w:sz="0" w:space="0" w:color="auto"/>
        <w:left w:val="none" w:sz="0" w:space="0" w:color="auto"/>
        <w:bottom w:val="none" w:sz="0" w:space="0" w:color="auto"/>
        <w:right w:val="none" w:sz="0" w:space="0" w:color="auto"/>
      </w:divBdr>
    </w:div>
    <w:div w:id="1249116564">
      <w:bodyDiv w:val="1"/>
      <w:marLeft w:val="0"/>
      <w:marRight w:val="0"/>
      <w:marTop w:val="0"/>
      <w:marBottom w:val="0"/>
      <w:divBdr>
        <w:top w:val="none" w:sz="0" w:space="0" w:color="auto"/>
        <w:left w:val="none" w:sz="0" w:space="0" w:color="auto"/>
        <w:bottom w:val="none" w:sz="0" w:space="0" w:color="auto"/>
        <w:right w:val="none" w:sz="0" w:space="0" w:color="auto"/>
      </w:divBdr>
    </w:div>
    <w:div w:id="1265386416">
      <w:bodyDiv w:val="1"/>
      <w:marLeft w:val="0"/>
      <w:marRight w:val="0"/>
      <w:marTop w:val="0"/>
      <w:marBottom w:val="0"/>
      <w:divBdr>
        <w:top w:val="none" w:sz="0" w:space="0" w:color="auto"/>
        <w:left w:val="none" w:sz="0" w:space="0" w:color="auto"/>
        <w:bottom w:val="none" w:sz="0" w:space="0" w:color="auto"/>
        <w:right w:val="none" w:sz="0" w:space="0" w:color="auto"/>
      </w:divBdr>
    </w:div>
    <w:div w:id="1269191381">
      <w:bodyDiv w:val="1"/>
      <w:marLeft w:val="0"/>
      <w:marRight w:val="0"/>
      <w:marTop w:val="0"/>
      <w:marBottom w:val="0"/>
      <w:divBdr>
        <w:top w:val="none" w:sz="0" w:space="0" w:color="auto"/>
        <w:left w:val="none" w:sz="0" w:space="0" w:color="auto"/>
        <w:bottom w:val="none" w:sz="0" w:space="0" w:color="auto"/>
        <w:right w:val="none" w:sz="0" w:space="0" w:color="auto"/>
      </w:divBdr>
    </w:div>
    <w:div w:id="1412316306">
      <w:bodyDiv w:val="1"/>
      <w:marLeft w:val="0"/>
      <w:marRight w:val="0"/>
      <w:marTop w:val="0"/>
      <w:marBottom w:val="0"/>
      <w:divBdr>
        <w:top w:val="none" w:sz="0" w:space="0" w:color="auto"/>
        <w:left w:val="none" w:sz="0" w:space="0" w:color="auto"/>
        <w:bottom w:val="none" w:sz="0" w:space="0" w:color="auto"/>
        <w:right w:val="none" w:sz="0" w:space="0" w:color="auto"/>
      </w:divBdr>
    </w:div>
    <w:div w:id="1440221029">
      <w:bodyDiv w:val="1"/>
      <w:marLeft w:val="0"/>
      <w:marRight w:val="0"/>
      <w:marTop w:val="0"/>
      <w:marBottom w:val="0"/>
      <w:divBdr>
        <w:top w:val="none" w:sz="0" w:space="0" w:color="auto"/>
        <w:left w:val="none" w:sz="0" w:space="0" w:color="auto"/>
        <w:bottom w:val="none" w:sz="0" w:space="0" w:color="auto"/>
        <w:right w:val="none" w:sz="0" w:space="0" w:color="auto"/>
      </w:divBdr>
    </w:div>
    <w:div w:id="1510371665">
      <w:bodyDiv w:val="1"/>
      <w:marLeft w:val="0"/>
      <w:marRight w:val="0"/>
      <w:marTop w:val="0"/>
      <w:marBottom w:val="0"/>
      <w:divBdr>
        <w:top w:val="none" w:sz="0" w:space="0" w:color="auto"/>
        <w:left w:val="none" w:sz="0" w:space="0" w:color="auto"/>
        <w:bottom w:val="none" w:sz="0" w:space="0" w:color="auto"/>
        <w:right w:val="none" w:sz="0" w:space="0" w:color="auto"/>
      </w:divBdr>
    </w:div>
    <w:div w:id="1699314590">
      <w:bodyDiv w:val="1"/>
      <w:marLeft w:val="0"/>
      <w:marRight w:val="0"/>
      <w:marTop w:val="0"/>
      <w:marBottom w:val="0"/>
      <w:divBdr>
        <w:top w:val="none" w:sz="0" w:space="0" w:color="auto"/>
        <w:left w:val="none" w:sz="0" w:space="0" w:color="auto"/>
        <w:bottom w:val="none" w:sz="0" w:space="0" w:color="auto"/>
        <w:right w:val="none" w:sz="0" w:space="0" w:color="auto"/>
      </w:divBdr>
    </w:div>
    <w:div w:id="1727757642">
      <w:bodyDiv w:val="1"/>
      <w:marLeft w:val="0"/>
      <w:marRight w:val="0"/>
      <w:marTop w:val="0"/>
      <w:marBottom w:val="0"/>
      <w:divBdr>
        <w:top w:val="none" w:sz="0" w:space="0" w:color="auto"/>
        <w:left w:val="none" w:sz="0" w:space="0" w:color="auto"/>
        <w:bottom w:val="none" w:sz="0" w:space="0" w:color="auto"/>
        <w:right w:val="none" w:sz="0" w:space="0" w:color="auto"/>
      </w:divBdr>
    </w:div>
    <w:div w:id="1738625694">
      <w:bodyDiv w:val="1"/>
      <w:marLeft w:val="0"/>
      <w:marRight w:val="0"/>
      <w:marTop w:val="0"/>
      <w:marBottom w:val="0"/>
      <w:divBdr>
        <w:top w:val="none" w:sz="0" w:space="0" w:color="auto"/>
        <w:left w:val="none" w:sz="0" w:space="0" w:color="auto"/>
        <w:bottom w:val="none" w:sz="0" w:space="0" w:color="auto"/>
        <w:right w:val="none" w:sz="0" w:space="0" w:color="auto"/>
      </w:divBdr>
    </w:div>
    <w:div w:id="1782796464">
      <w:bodyDiv w:val="1"/>
      <w:marLeft w:val="0"/>
      <w:marRight w:val="0"/>
      <w:marTop w:val="0"/>
      <w:marBottom w:val="0"/>
      <w:divBdr>
        <w:top w:val="none" w:sz="0" w:space="0" w:color="auto"/>
        <w:left w:val="none" w:sz="0" w:space="0" w:color="auto"/>
        <w:bottom w:val="none" w:sz="0" w:space="0" w:color="auto"/>
        <w:right w:val="none" w:sz="0" w:space="0" w:color="auto"/>
      </w:divBdr>
    </w:div>
    <w:div w:id="1841697220">
      <w:bodyDiv w:val="1"/>
      <w:marLeft w:val="0"/>
      <w:marRight w:val="0"/>
      <w:marTop w:val="0"/>
      <w:marBottom w:val="0"/>
      <w:divBdr>
        <w:top w:val="none" w:sz="0" w:space="0" w:color="auto"/>
        <w:left w:val="none" w:sz="0" w:space="0" w:color="auto"/>
        <w:bottom w:val="none" w:sz="0" w:space="0" w:color="auto"/>
        <w:right w:val="none" w:sz="0" w:space="0" w:color="auto"/>
      </w:divBdr>
    </w:div>
    <w:div w:id="1929002730">
      <w:bodyDiv w:val="1"/>
      <w:marLeft w:val="0"/>
      <w:marRight w:val="0"/>
      <w:marTop w:val="0"/>
      <w:marBottom w:val="0"/>
      <w:divBdr>
        <w:top w:val="none" w:sz="0" w:space="0" w:color="auto"/>
        <w:left w:val="none" w:sz="0" w:space="0" w:color="auto"/>
        <w:bottom w:val="none" w:sz="0" w:space="0" w:color="auto"/>
        <w:right w:val="none" w:sz="0" w:space="0" w:color="auto"/>
      </w:divBdr>
    </w:div>
    <w:div w:id="1999067148">
      <w:bodyDiv w:val="1"/>
      <w:marLeft w:val="0"/>
      <w:marRight w:val="0"/>
      <w:marTop w:val="0"/>
      <w:marBottom w:val="0"/>
      <w:divBdr>
        <w:top w:val="none" w:sz="0" w:space="0" w:color="auto"/>
        <w:left w:val="none" w:sz="0" w:space="0" w:color="auto"/>
        <w:bottom w:val="none" w:sz="0" w:space="0" w:color="auto"/>
        <w:right w:val="none" w:sz="0" w:space="0" w:color="auto"/>
      </w:divBdr>
    </w:div>
    <w:div w:id="2022969855">
      <w:bodyDiv w:val="1"/>
      <w:marLeft w:val="0"/>
      <w:marRight w:val="0"/>
      <w:marTop w:val="0"/>
      <w:marBottom w:val="0"/>
      <w:divBdr>
        <w:top w:val="none" w:sz="0" w:space="0" w:color="auto"/>
        <w:left w:val="none" w:sz="0" w:space="0" w:color="auto"/>
        <w:bottom w:val="none" w:sz="0" w:space="0" w:color="auto"/>
        <w:right w:val="none" w:sz="0" w:space="0" w:color="auto"/>
      </w:divBdr>
    </w:div>
    <w:div w:id="2087918183">
      <w:bodyDiv w:val="1"/>
      <w:marLeft w:val="0"/>
      <w:marRight w:val="0"/>
      <w:marTop w:val="0"/>
      <w:marBottom w:val="0"/>
      <w:divBdr>
        <w:top w:val="none" w:sz="0" w:space="0" w:color="auto"/>
        <w:left w:val="none" w:sz="0" w:space="0" w:color="auto"/>
        <w:bottom w:val="none" w:sz="0" w:space="0" w:color="auto"/>
        <w:right w:val="none" w:sz="0" w:space="0" w:color="auto"/>
      </w:divBdr>
    </w:div>
    <w:div w:id="2111269494">
      <w:bodyDiv w:val="1"/>
      <w:marLeft w:val="0"/>
      <w:marRight w:val="0"/>
      <w:marTop w:val="0"/>
      <w:marBottom w:val="0"/>
      <w:divBdr>
        <w:top w:val="none" w:sz="0" w:space="0" w:color="auto"/>
        <w:left w:val="none" w:sz="0" w:space="0" w:color="auto"/>
        <w:bottom w:val="none" w:sz="0" w:space="0" w:color="auto"/>
        <w:right w:val="none" w:sz="0" w:space="0" w:color="auto"/>
      </w:divBdr>
    </w:div>
    <w:div w:id="212514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nsilium.europa.eu/en/documents-publications/agreements-conventions/agreement/?aid=2016044" TargetMode="External"/><Relationship Id="rId1" Type="http://schemas.openxmlformats.org/officeDocument/2006/relationships/hyperlink" Target="http://www.consilium.europa.eu/en/documents-publications/agreements-conventions/agreement/?aid=201105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'Table 1'!$A$3</c:f>
              <c:strCache>
                <c:ptCount val="1"/>
                <c:pt idx="0">
                  <c:v>EU imports from Colombia</c:v>
                </c:pt>
              </c:strCache>
            </c:strRef>
          </c:tx>
          <c:cat>
            <c:numRef>
              <c:f>'Table 1'!$B$2:$F$2</c:f>
              <c:numCache>
                <c:formatCode>General</c:formatCode>
                <c:ptCount val="5"/>
                <c:pt idx="0">
                  <c:v>2012</c:v>
                </c:pt>
                <c:pt idx="1">
                  <c:v>2013</c:v>
                </c:pt>
                <c:pt idx="2">
                  <c:v>2014</c:v>
                </c:pt>
                <c:pt idx="3">
                  <c:v>2015</c:v>
                </c:pt>
                <c:pt idx="4">
                  <c:v>2016</c:v>
                </c:pt>
              </c:numCache>
            </c:numRef>
          </c:cat>
          <c:val>
            <c:numRef>
              <c:f>'Table 1'!$B$3:$F$3</c:f>
              <c:numCache>
                <c:formatCode>#,##0</c:formatCode>
                <c:ptCount val="5"/>
                <c:pt idx="0">
                  <c:v>8634.0611659999995</c:v>
                </c:pt>
                <c:pt idx="1">
                  <c:v>7643.3310549999997</c:v>
                </c:pt>
                <c:pt idx="2">
                  <c:v>8178.3614160000006</c:v>
                </c:pt>
                <c:pt idx="3">
                  <c:v>6724.2761380000002</c:v>
                </c:pt>
                <c:pt idx="4">
                  <c:v>5397.9322659999998</c:v>
                </c:pt>
              </c:numCache>
            </c:numRef>
          </c:val>
          <c:smooth val="0"/>
        </c:ser>
        <c:ser>
          <c:idx val="1"/>
          <c:order val="1"/>
          <c:tx>
            <c:strRef>
              <c:f>'Table 1'!$A$4</c:f>
              <c:strCache>
                <c:ptCount val="1"/>
                <c:pt idx="0">
                  <c:v>EU exports to Colombia</c:v>
                </c:pt>
              </c:strCache>
            </c:strRef>
          </c:tx>
          <c:cat>
            <c:numRef>
              <c:f>'Table 1'!$B$2:$F$2</c:f>
              <c:numCache>
                <c:formatCode>General</c:formatCode>
                <c:ptCount val="5"/>
                <c:pt idx="0">
                  <c:v>2012</c:v>
                </c:pt>
                <c:pt idx="1">
                  <c:v>2013</c:v>
                </c:pt>
                <c:pt idx="2">
                  <c:v>2014</c:v>
                </c:pt>
                <c:pt idx="3">
                  <c:v>2015</c:v>
                </c:pt>
                <c:pt idx="4">
                  <c:v>2016</c:v>
                </c:pt>
              </c:numCache>
            </c:numRef>
          </c:cat>
          <c:val>
            <c:numRef>
              <c:f>'Table 1'!$B$4:$F$4</c:f>
              <c:numCache>
                <c:formatCode>#,##0</c:formatCode>
                <c:ptCount val="5"/>
                <c:pt idx="0">
                  <c:v>5533.9496660000004</c:v>
                </c:pt>
                <c:pt idx="1">
                  <c:v>5863.1545729999998</c:v>
                </c:pt>
                <c:pt idx="2">
                  <c:v>6347.570901</c:v>
                </c:pt>
                <c:pt idx="3">
                  <c:v>6518.8375300000007</c:v>
                </c:pt>
                <c:pt idx="4">
                  <c:v>5442.4324299999998</c:v>
                </c:pt>
              </c:numCache>
            </c:numRef>
          </c:val>
          <c:smooth val="0"/>
        </c:ser>
        <c:dLbls>
          <c:showLegendKey val="0"/>
          <c:showVal val="0"/>
          <c:showCatName val="0"/>
          <c:showSerName val="0"/>
          <c:showPercent val="0"/>
          <c:showBubbleSize val="0"/>
        </c:dLbls>
        <c:marker val="1"/>
        <c:smooth val="0"/>
        <c:axId val="35101312"/>
        <c:axId val="35111296"/>
      </c:lineChart>
      <c:catAx>
        <c:axId val="35101312"/>
        <c:scaling>
          <c:orientation val="minMax"/>
        </c:scaling>
        <c:delete val="0"/>
        <c:axPos val="b"/>
        <c:numFmt formatCode="General" sourceLinked="1"/>
        <c:majorTickMark val="out"/>
        <c:minorTickMark val="none"/>
        <c:tickLblPos val="nextTo"/>
        <c:crossAx val="35111296"/>
        <c:crosses val="autoZero"/>
        <c:auto val="1"/>
        <c:lblAlgn val="ctr"/>
        <c:lblOffset val="100"/>
        <c:noMultiLvlLbl val="0"/>
      </c:catAx>
      <c:valAx>
        <c:axId val="35111296"/>
        <c:scaling>
          <c:orientation val="minMax"/>
        </c:scaling>
        <c:delete val="0"/>
        <c:axPos val="l"/>
        <c:majorGridlines/>
        <c:numFmt formatCode="#,##0" sourceLinked="1"/>
        <c:majorTickMark val="out"/>
        <c:minorTickMark val="none"/>
        <c:tickLblPos val="nextTo"/>
        <c:crossAx val="35101312"/>
        <c:crosses val="autoZero"/>
        <c:crossBetween val="between"/>
      </c:valAx>
    </c:plotArea>
    <c:legend>
      <c:legendPos val="b"/>
      <c:overlay val="0"/>
    </c:legend>
    <c:plotVisOnly val="1"/>
    <c:dispBlanksAs val="gap"/>
    <c:showDLblsOverMax val="0"/>
  </c:chart>
  <c:spPr>
    <a:ln cmpd="sng"/>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'Table 2'!$A$3</c:f>
              <c:strCache>
                <c:ptCount val="1"/>
                <c:pt idx="0">
                  <c:v>EU Imports from Peru</c:v>
                </c:pt>
              </c:strCache>
            </c:strRef>
          </c:tx>
          <c:cat>
            <c:numRef>
              <c:f>'Table 2'!$B$2:$F$2</c:f>
              <c:numCache>
                <c:formatCode>General</c:formatCode>
                <c:ptCount val="5"/>
                <c:pt idx="0">
                  <c:v>2012</c:v>
                </c:pt>
                <c:pt idx="1">
                  <c:v>2013</c:v>
                </c:pt>
                <c:pt idx="2">
                  <c:v>2014</c:v>
                </c:pt>
                <c:pt idx="3">
                  <c:v>2015</c:v>
                </c:pt>
                <c:pt idx="4">
                  <c:v>2016</c:v>
                </c:pt>
              </c:numCache>
            </c:numRef>
          </c:cat>
          <c:val>
            <c:numRef>
              <c:f>'Table 2'!$B$3:$F$3</c:f>
              <c:numCache>
                <c:formatCode>#,##0.00</c:formatCode>
                <c:ptCount val="5"/>
                <c:pt idx="0">
                  <c:v>6259.3502580000004</c:v>
                </c:pt>
                <c:pt idx="1">
                  <c:v>5274.2732860000006</c:v>
                </c:pt>
                <c:pt idx="2">
                  <c:v>4978.1782389999998</c:v>
                </c:pt>
                <c:pt idx="3">
                  <c:v>5026.690047</c:v>
                </c:pt>
                <c:pt idx="4">
                  <c:v>5074.7208490000003</c:v>
                </c:pt>
              </c:numCache>
            </c:numRef>
          </c:val>
          <c:smooth val="0"/>
        </c:ser>
        <c:ser>
          <c:idx val="1"/>
          <c:order val="1"/>
          <c:tx>
            <c:strRef>
              <c:f>'Table 2'!$A$4</c:f>
              <c:strCache>
                <c:ptCount val="1"/>
                <c:pt idx="0">
                  <c:v>EU Exports to Peru</c:v>
                </c:pt>
              </c:strCache>
            </c:strRef>
          </c:tx>
          <c:cat>
            <c:numRef>
              <c:f>'Table 2'!$B$2:$F$2</c:f>
              <c:numCache>
                <c:formatCode>General</c:formatCode>
                <c:ptCount val="5"/>
                <c:pt idx="0">
                  <c:v>2012</c:v>
                </c:pt>
                <c:pt idx="1">
                  <c:v>2013</c:v>
                </c:pt>
                <c:pt idx="2">
                  <c:v>2014</c:v>
                </c:pt>
                <c:pt idx="3">
                  <c:v>2015</c:v>
                </c:pt>
                <c:pt idx="4">
                  <c:v>2016</c:v>
                </c:pt>
              </c:numCache>
            </c:numRef>
          </c:cat>
          <c:val>
            <c:numRef>
              <c:f>'Table 2'!$B$4:$F$4</c:f>
              <c:numCache>
                <c:formatCode>#,##0.00</c:formatCode>
                <c:ptCount val="5"/>
                <c:pt idx="0">
                  <c:v>3481.8184539999997</c:v>
                </c:pt>
                <c:pt idx="1">
                  <c:v>3484.7203319999999</c:v>
                </c:pt>
                <c:pt idx="2">
                  <c:v>3232.2839199999999</c:v>
                </c:pt>
                <c:pt idx="3">
                  <c:v>3727.6167730000002</c:v>
                </c:pt>
                <c:pt idx="4">
                  <c:v>3618.750724</c:v>
                </c:pt>
              </c:numCache>
            </c:numRef>
          </c:val>
          <c:smooth val="0"/>
        </c:ser>
        <c:dLbls>
          <c:showLegendKey val="0"/>
          <c:showVal val="0"/>
          <c:showCatName val="0"/>
          <c:showSerName val="0"/>
          <c:showPercent val="0"/>
          <c:showBubbleSize val="0"/>
        </c:dLbls>
        <c:marker val="1"/>
        <c:smooth val="0"/>
        <c:axId val="72348416"/>
        <c:axId val="72349952"/>
      </c:lineChart>
      <c:catAx>
        <c:axId val="72348416"/>
        <c:scaling>
          <c:orientation val="minMax"/>
        </c:scaling>
        <c:delete val="0"/>
        <c:axPos val="b"/>
        <c:numFmt formatCode="General" sourceLinked="1"/>
        <c:majorTickMark val="none"/>
        <c:minorTickMark val="none"/>
        <c:tickLblPos val="nextTo"/>
        <c:crossAx val="72349952"/>
        <c:crosses val="autoZero"/>
        <c:auto val="1"/>
        <c:lblAlgn val="ctr"/>
        <c:lblOffset val="100"/>
        <c:noMultiLvlLbl val="0"/>
      </c:catAx>
      <c:valAx>
        <c:axId val="72349952"/>
        <c:scaling>
          <c:orientation val="minMax"/>
        </c:scaling>
        <c:delete val="0"/>
        <c:axPos val="l"/>
        <c:majorGridlines/>
        <c:title>
          <c:tx>
            <c:rich>
              <a:bodyPr/>
              <a:lstStyle/>
              <a:p>
                <a:pPr>
                  <a:defRPr/>
                </a:pPr>
                <a:r>
                  <a:rPr lang="en-US"/>
                  <a:t>Trade (million euros)</a:t>
                </a:r>
              </a:p>
            </c:rich>
          </c:tx>
          <c:overlay val="0"/>
        </c:title>
        <c:numFmt formatCode="#,##0.00" sourceLinked="1"/>
        <c:majorTickMark val="none"/>
        <c:minorTickMark val="none"/>
        <c:tickLblPos val="nextTo"/>
        <c:crossAx val="7234841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'Imports from Peru '!$A$4</c:f>
              <c:strCache>
                <c:ptCount val="1"/>
                <c:pt idx="0">
                  <c:v>Peru        </c:v>
                </c:pt>
              </c:strCache>
            </c:strRef>
          </c:tx>
          <c:invertIfNegative val="0"/>
          <c:cat>
            <c:strRef>
              <c:f>'Imports from Peru '!$B$3:$Y$3</c:f>
              <c:strCache>
                <c:ptCount val="24"/>
                <c:pt idx="0">
                  <c:v>201501</c:v>
                </c:pt>
                <c:pt idx="1">
                  <c:v>201502</c:v>
                </c:pt>
                <c:pt idx="2">
                  <c:v>201503</c:v>
                </c:pt>
                <c:pt idx="3">
                  <c:v>201504</c:v>
                </c:pt>
                <c:pt idx="4">
                  <c:v>201505</c:v>
                </c:pt>
                <c:pt idx="5">
                  <c:v>201506</c:v>
                </c:pt>
                <c:pt idx="6">
                  <c:v>201507</c:v>
                </c:pt>
                <c:pt idx="7">
                  <c:v>201508</c:v>
                </c:pt>
                <c:pt idx="8">
                  <c:v>201509</c:v>
                </c:pt>
                <c:pt idx="9">
                  <c:v>201510</c:v>
                </c:pt>
                <c:pt idx="10">
                  <c:v>201511</c:v>
                </c:pt>
                <c:pt idx="11">
                  <c:v>201512</c:v>
                </c:pt>
                <c:pt idx="12">
                  <c:v>201601</c:v>
                </c:pt>
                <c:pt idx="13">
                  <c:v>201602</c:v>
                </c:pt>
                <c:pt idx="14">
                  <c:v>201603</c:v>
                </c:pt>
                <c:pt idx="15">
                  <c:v>201604</c:v>
                </c:pt>
                <c:pt idx="16">
                  <c:v>201605</c:v>
                </c:pt>
                <c:pt idx="17">
                  <c:v>201606</c:v>
                </c:pt>
                <c:pt idx="18">
                  <c:v>201607</c:v>
                </c:pt>
                <c:pt idx="19">
                  <c:v>201608</c:v>
                </c:pt>
                <c:pt idx="20">
                  <c:v>201609</c:v>
                </c:pt>
                <c:pt idx="21">
                  <c:v>201610</c:v>
                </c:pt>
                <c:pt idx="22">
                  <c:v>201611</c:v>
                </c:pt>
                <c:pt idx="23">
                  <c:v>201612</c:v>
                </c:pt>
              </c:strCache>
            </c:strRef>
          </c:cat>
          <c:val>
            <c:numRef>
              <c:f>'Imports from Peru '!$B$4:$Y$4</c:f>
              <c:numCache>
                <c:formatCode>#,##0.00</c:formatCode>
                <c:ptCount val="24"/>
                <c:pt idx="0">
                  <c:v>9490.2999999999993</c:v>
                </c:pt>
                <c:pt idx="1">
                  <c:v>18143.900000000001</c:v>
                </c:pt>
                <c:pt idx="2">
                  <c:v>26313.4</c:v>
                </c:pt>
                <c:pt idx="3">
                  <c:v>35741.100000000006</c:v>
                </c:pt>
                <c:pt idx="4">
                  <c:v>44341.900000000009</c:v>
                </c:pt>
                <c:pt idx="5">
                  <c:v>52783.600000000006</c:v>
                </c:pt>
                <c:pt idx="6">
                  <c:v>61032.800000000003</c:v>
                </c:pt>
                <c:pt idx="7">
                  <c:v>68227.600000000006</c:v>
                </c:pt>
                <c:pt idx="8">
                  <c:v>76200.100000000006</c:v>
                </c:pt>
                <c:pt idx="9">
                  <c:v>85774.900000000009</c:v>
                </c:pt>
                <c:pt idx="10">
                  <c:v>94023.200000000012</c:v>
                </c:pt>
                <c:pt idx="11">
                  <c:v>102166.30000000002</c:v>
                </c:pt>
                <c:pt idx="12">
                  <c:v>8858.2000000000007</c:v>
                </c:pt>
                <c:pt idx="13">
                  <c:v>18236.900000000001</c:v>
                </c:pt>
                <c:pt idx="14">
                  <c:v>29504.7</c:v>
                </c:pt>
                <c:pt idx="15">
                  <c:v>40182.199999999997</c:v>
                </c:pt>
                <c:pt idx="16">
                  <c:v>51836.1</c:v>
                </c:pt>
                <c:pt idx="17">
                  <c:v>61468.899999999994</c:v>
                </c:pt>
                <c:pt idx="18">
                  <c:v>69724.5</c:v>
                </c:pt>
                <c:pt idx="19">
                  <c:v>78343.899999999994</c:v>
                </c:pt>
                <c:pt idx="20">
                  <c:v>87834.5</c:v>
                </c:pt>
                <c:pt idx="21">
                  <c:v>97481.5</c:v>
                </c:pt>
                <c:pt idx="22">
                  <c:v>106387.6</c:v>
                </c:pt>
                <c:pt idx="23">
                  <c:v>115286.6</c:v>
                </c:pt>
              </c:numCache>
            </c:numRef>
          </c:val>
        </c:ser>
        <c:dLbls>
          <c:showLegendKey val="0"/>
          <c:showVal val="0"/>
          <c:showCatName val="0"/>
          <c:showSerName val="0"/>
          <c:showPercent val="0"/>
          <c:showBubbleSize val="0"/>
        </c:dLbls>
        <c:gapWidth val="150"/>
        <c:axId val="72288128"/>
        <c:axId val="72289664"/>
      </c:barChart>
      <c:lineChart>
        <c:grouping val="standard"/>
        <c:varyColors val="0"/>
        <c:ser>
          <c:idx val="1"/>
          <c:order val="1"/>
          <c:tx>
            <c:strRef>
              <c:f>'Imports from Peru '!$A$5</c:f>
              <c:strCache>
                <c:ptCount val="1"/>
                <c:pt idx="0">
                  <c:v>Trigger level</c:v>
                </c:pt>
              </c:strCache>
            </c:strRef>
          </c:tx>
          <c:spPr>
            <a:ln>
              <a:prstDash val="dash"/>
            </a:ln>
          </c:spPr>
          <c:marker>
            <c:symbol val="none"/>
          </c:marker>
          <c:cat>
            <c:strRef>
              <c:f>'Imports from Peru '!$B$3:$Y$3</c:f>
              <c:strCache>
                <c:ptCount val="24"/>
                <c:pt idx="0">
                  <c:v>201501</c:v>
                </c:pt>
                <c:pt idx="1">
                  <c:v>201502</c:v>
                </c:pt>
                <c:pt idx="2">
                  <c:v>201503</c:v>
                </c:pt>
                <c:pt idx="3">
                  <c:v>201504</c:v>
                </c:pt>
                <c:pt idx="4">
                  <c:v>201505</c:v>
                </c:pt>
                <c:pt idx="5">
                  <c:v>201506</c:v>
                </c:pt>
                <c:pt idx="6">
                  <c:v>201507</c:v>
                </c:pt>
                <c:pt idx="7">
                  <c:v>201508</c:v>
                </c:pt>
                <c:pt idx="8">
                  <c:v>201509</c:v>
                </c:pt>
                <c:pt idx="9">
                  <c:v>201510</c:v>
                </c:pt>
                <c:pt idx="10">
                  <c:v>201511</c:v>
                </c:pt>
                <c:pt idx="11">
                  <c:v>201512</c:v>
                </c:pt>
                <c:pt idx="12">
                  <c:v>201601</c:v>
                </c:pt>
                <c:pt idx="13">
                  <c:v>201602</c:v>
                </c:pt>
                <c:pt idx="14">
                  <c:v>201603</c:v>
                </c:pt>
                <c:pt idx="15">
                  <c:v>201604</c:v>
                </c:pt>
                <c:pt idx="16">
                  <c:v>201605</c:v>
                </c:pt>
                <c:pt idx="17">
                  <c:v>201606</c:v>
                </c:pt>
                <c:pt idx="18">
                  <c:v>201607</c:v>
                </c:pt>
                <c:pt idx="19">
                  <c:v>201608</c:v>
                </c:pt>
                <c:pt idx="20">
                  <c:v>201609</c:v>
                </c:pt>
                <c:pt idx="21">
                  <c:v>201610</c:v>
                </c:pt>
                <c:pt idx="22">
                  <c:v>201611</c:v>
                </c:pt>
                <c:pt idx="23">
                  <c:v>201612</c:v>
                </c:pt>
              </c:strCache>
            </c:strRef>
          </c:cat>
          <c:val>
            <c:numRef>
              <c:f>'Imports from Peru '!$B$5:$Y$5</c:f>
              <c:numCache>
                <c:formatCode>#,##0.00</c:formatCode>
                <c:ptCount val="24"/>
                <c:pt idx="0">
                  <c:v>86250</c:v>
                </c:pt>
                <c:pt idx="1">
                  <c:v>86250</c:v>
                </c:pt>
                <c:pt idx="2">
                  <c:v>86250</c:v>
                </c:pt>
                <c:pt idx="3">
                  <c:v>86250</c:v>
                </c:pt>
                <c:pt idx="4">
                  <c:v>86250</c:v>
                </c:pt>
                <c:pt idx="5">
                  <c:v>86250</c:v>
                </c:pt>
                <c:pt idx="6">
                  <c:v>86250</c:v>
                </c:pt>
                <c:pt idx="7">
                  <c:v>86250</c:v>
                </c:pt>
                <c:pt idx="8">
                  <c:v>86250</c:v>
                </c:pt>
                <c:pt idx="9">
                  <c:v>86250</c:v>
                </c:pt>
                <c:pt idx="10">
                  <c:v>86250</c:v>
                </c:pt>
                <c:pt idx="11">
                  <c:v>86250</c:v>
                </c:pt>
                <c:pt idx="12">
                  <c:v>90000</c:v>
                </c:pt>
                <c:pt idx="13">
                  <c:v>90000</c:v>
                </c:pt>
                <c:pt idx="14">
                  <c:v>90000</c:v>
                </c:pt>
                <c:pt idx="15">
                  <c:v>90000</c:v>
                </c:pt>
                <c:pt idx="16">
                  <c:v>90000</c:v>
                </c:pt>
                <c:pt idx="17">
                  <c:v>90000</c:v>
                </c:pt>
                <c:pt idx="18">
                  <c:v>90000</c:v>
                </c:pt>
                <c:pt idx="19">
                  <c:v>90000</c:v>
                </c:pt>
                <c:pt idx="20">
                  <c:v>90000</c:v>
                </c:pt>
                <c:pt idx="21">
                  <c:v>90000</c:v>
                </c:pt>
                <c:pt idx="22">
                  <c:v>90000</c:v>
                </c:pt>
                <c:pt idx="23">
                  <c:v>90000</c:v>
                </c:pt>
              </c:numCache>
            </c:numRef>
          </c:val>
          <c:smooth val="0"/>
        </c:ser>
        <c:dLbls>
          <c:showLegendKey val="0"/>
          <c:showVal val="0"/>
          <c:showCatName val="0"/>
          <c:showSerName val="0"/>
          <c:showPercent val="0"/>
          <c:showBubbleSize val="0"/>
        </c:dLbls>
        <c:marker val="1"/>
        <c:smooth val="0"/>
        <c:axId val="72288128"/>
        <c:axId val="72289664"/>
      </c:lineChart>
      <c:catAx>
        <c:axId val="72288128"/>
        <c:scaling>
          <c:orientation val="minMax"/>
        </c:scaling>
        <c:delete val="0"/>
        <c:axPos val="b"/>
        <c:majorTickMark val="out"/>
        <c:minorTickMark val="none"/>
        <c:tickLblPos val="nextTo"/>
        <c:crossAx val="72289664"/>
        <c:crosses val="autoZero"/>
        <c:auto val="1"/>
        <c:lblAlgn val="ctr"/>
        <c:lblOffset val="100"/>
        <c:noMultiLvlLbl val="0"/>
      </c:catAx>
      <c:valAx>
        <c:axId val="72289664"/>
        <c:scaling>
          <c:orientation val="minMax"/>
        </c:scaling>
        <c:delete val="0"/>
        <c:axPos val="l"/>
        <c:majorGridlines/>
        <c:numFmt formatCode="#,##0.00" sourceLinked="1"/>
        <c:majorTickMark val="out"/>
        <c:minorTickMark val="none"/>
        <c:tickLblPos val="nextTo"/>
        <c:crossAx val="722881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'Imports from Colombia'!$A$4</c:f>
              <c:strCache>
                <c:ptCount val="1"/>
                <c:pt idx="0">
                  <c:v>Colombia    </c:v>
                </c:pt>
              </c:strCache>
            </c:strRef>
          </c:tx>
          <c:invertIfNegative val="0"/>
          <c:cat>
            <c:strRef>
              <c:f>'Imports from Colombia'!$B$3:$Y$3</c:f>
              <c:strCache>
                <c:ptCount val="24"/>
                <c:pt idx="0">
                  <c:v>201501</c:v>
                </c:pt>
                <c:pt idx="1">
                  <c:v>201502</c:v>
                </c:pt>
                <c:pt idx="2">
                  <c:v>201503</c:v>
                </c:pt>
                <c:pt idx="3">
                  <c:v>201504</c:v>
                </c:pt>
                <c:pt idx="4">
                  <c:v>201505</c:v>
                </c:pt>
                <c:pt idx="5">
                  <c:v>201506</c:v>
                </c:pt>
                <c:pt idx="6">
                  <c:v>201507</c:v>
                </c:pt>
                <c:pt idx="7">
                  <c:v>201508</c:v>
                </c:pt>
                <c:pt idx="8">
                  <c:v>201509</c:v>
                </c:pt>
                <c:pt idx="9">
                  <c:v>201510</c:v>
                </c:pt>
                <c:pt idx="10">
                  <c:v>201511</c:v>
                </c:pt>
                <c:pt idx="11">
                  <c:v>201512</c:v>
                </c:pt>
                <c:pt idx="12">
                  <c:v>201601</c:v>
                </c:pt>
                <c:pt idx="13">
                  <c:v>201602</c:v>
                </c:pt>
                <c:pt idx="14">
                  <c:v>201603</c:v>
                </c:pt>
                <c:pt idx="15">
                  <c:v>201604</c:v>
                </c:pt>
                <c:pt idx="16">
                  <c:v>201605</c:v>
                </c:pt>
                <c:pt idx="17">
                  <c:v>201606</c:v>
                </c:pt>
                <c:pt idx="18">
                  <c:v>201607</c:v>
                </c:pt>
                <c:pt idx="19">
                  <c:v>201608</c:v>
                </c:pt>
                <c:pt idx="20">
                  <c:v>201609</c:v>
                </c:pt>
                <c:pt idx="21">
                  <c:v>201610</c:v>
                </c:pt>
                <c:pt idx="22">
                  <c:v>201611</c:v>
                </c:pt>
                <c:pt idx="23">
                  <c:v>201612</c:v>
                </c:pt>
              </c:strCache>
            </c:strRef>
          </c:cat>
          <c:val>
            <c:numRef>
              <c:f>'Imports from Colombia'!$B$4:$Y$4</c:f>
              <c:numCache>
                <c:formatCode>#,##0.00</c:formatCode>
                <c:ptCount val="24"/>
                <c:pt idx="0">
                  <c:v>110139.1</c:v>
                </c:pt>
                <c:pt idx="1">
                  <c:v>215969.6</c:v>
                </c:pt>
                <c:pt idx="2">
                  <c:v>338514.4</c:v>
                </c:pt>
                <c:pt idx="3">
                  <c:v>455650.60000000003</c:v>
                </c:pt>
                <c:pt idx="4">
                  <c:v>551854</c:v>
                </c:pt>
                <c:pt idx="5">
                  <c:v>645564.80000000005</c:v>
                </c:pt>
                <c:pt idx="6">
                  <c:v>737917.4</c:v>
                </c:pt>
                <c:pt idx="7">
                  <c:v>835664.20000000007</c:v>
                </c:pt>
                <c:pt idx="8">
                  <c:v>950222.4</c:v>
                </c:pt>
                <c:pt idx="9">
                  <c:v>1073894.8999999999</c:v>
                </c:pt>
                <c:pt idx="10">
                  <c:v>1191921</c:v>
                </c:pt>
                <c:pt idx="11">
                  <c:v>1314452.3999999999</c:v>
                </c:pt>
                <c:pt idx="12">
                  <c:v>115393.5</c:v>
                </c:pt>
                <c:pt idx="13">
                  <c:v>232426.2</c:v>
                </c:pt>
                <c:pt idx="14">
                  <c:v>360045.1</c:v>
                </c:pt>
                <c:pt idx="15">
                  <c:v>472360.8</c:v>
                </c:pt>
                <c:pt idx="16">
                  <c:v>570169.1</c:v>
                </c:pt>
                <c:pt idx="17">
                  <c:v>646769.9</c:v>
                </c:pt>
                <c:pt idx="18">
                  <c:v>716525.8</c:v>
                </c:pt>
                <c:pt idx="19">
                  <c:v>816876.70000000007</c:v>
                </c:pt>
                <c:pt idx="20">
                  <c:v>935364.60000000009</c:v>
                </c:pt>
                <c:pt idx="21">
                  <c:v>1052463.4000000001</c:v>
                </c:pt>
                <c:pt idx="22">
                  <c:v>1180677.7000000002</c:v>
                </c:pt>
                <c:pt idx="23">
                  <c:v>1287850.6000000001</c:v>
                </c:pt>
              </c:numCache>
            </c:numRef>
          </c:val>
        </c:ser>
        <c:dLbls>
          <c:showLegendKey val="0"/>
          <c:showVal val="0"/>
          <c:showCatName val="0"/>
          <c:showSerName val="0"/>
          <c:showPercent val="0"/>
          <c:showBubbleSize val="0"/>
        </c:dLbls>
        <c:gapWidth val="150"/>
        <c:axId val="64196992"/>
        <c:axId val="64198528"/>
      </c:barChart>
      <c:lineChart>
        <c:grouping val="standard"/>
        <c:varyColors val="0"/>
        <c:ser>
          <c:idx val="1"/>
          <c:order val="1"/>
          <c:tx>
            <c:strRef>
              <c:f>'Imports from Colombia'!$A$5</c:f>
              <c:strCache>
                <c:ptCount val="1"/>
                <c:pt idx="0">
                  <c:v>Trigger level</c:v>
                </c:pt>
              </c:strCache>
            </c:strRef>
          </c:tx>
          <c:spPr>
            <a:ln>
              <a:prstDash val="dash"/>
            </a:ln>
          </c:spPr>
          <c:marker>
            <c:symbol val="none"/>
          </c:marker>
          <c:cat>
            <c:strRef>
              <c:f>'Imports from Colombia'!$B$3:$Y$3</c:f>
              <c:strCache>
                <c:ptCount val="24"/>
                <c:pt idx="0">
                  <c:v>201501</c:v>
                </c:pt>
                <c:pt idx="1">
                  <c:v>201502</c:v>
                </c:pt>
                <c:pt idx="2">
                  <c:v>201503</c:v>
                </c:pt>
                <c:pt idx="3">
                  <c:v>201504</c:v>
                </c:pt>
                <c:pt idx="4">
                  <c:v>201505</c:v>
                </c:pt>
                <c:pt idx="5">
                  <c:v>201506</c:v>
                </c:pt>
                <c:pt idx="6">
                  <c:v>201507</c:v>
                </c:pt>
                <c:pt idx="7">
                  <c:v>201508</c:v>
                </c:pt>
                <c:pt idx="8">
                  <c:v>201509</c:v>
                </c:pt>
                <c:pt idx="9">
                  <c:v>201510</c:v>
                </c:pt>
                <c:pt idx="10">
                  <c:v>201511</c:v>
                </c:pt>
                <c:pt idx="11">
                  <c:v>201512</c:v>
                </c:pt>
                <c:pt idx="12">
                  <c:v>201601</c:v>
                </c:pt>
                <c:pt idx="13">
                  <c:v>201602</c:v>
                </c:pt>
                <c:pt idx="14">
                  <c:v>201603</c:v>
                </c:pt>
                <c:pt idx="15">
                  <c:v>201604</c:v>
                </c:pt>
                <c:pt idx="16">
                  <c:v>201605</c:v>
                </c:pt>
                <c:pt idx="17">
                  <c:v>201606</c:v>
                </c:pt>
                <c:pt idx="18">
                  <c:v>201607</c:v>
                </c:pt>
                <c:pt idx="19">
                  <c:v>201608</c:v>
                </c:pt>
                <c:pt idx="20">
                  <c:v>201609</c:v>
                </c:pt>
                <c:pt idx="21">
                  <c:v>201610</c:v>
                </c:pt>
                <c:pt idx="22">
                  <c:v>201611</c:v>
                </c:pt>
                <c:pt idx="23">
                  <c:v>201612</c:v>
                </c:pt>
              </c:strCache>
            </c:strRef>
          </c:cat>
          <c:val>
            <c:numRef>
              <c:f>'Imports from Colombia'!$B$5:$Y$5</c:f>
              <c:numCache>
                <c:formatCode>#,##0.00</c:formatCode>
                <c:ptCount val="24"/>
                <c:pt idx="0">
                  <c:v>1687500</c:v>
                </c:pt>
                <c:pt idx="1">
                  <c:v>1687500</c:v>
                </c:pt>
                <c:pt idx="2">
                  <c:v>1687500</c:v>
                </c:pt>
                <c:pt idx="3">
                  <c:v>1687500</c:v>
                </c:pt>
                <c:pt idx="4">
                  <c:v>1687500</c:v>
                </c:pt>
                <c:pt idx="5">
                  <c:v>1687500</c:v>
                </c:pt>
                <c:pt idx="6">
                  <c:v>1687500</c:v>
                </c:pt>
                <c:pt idx="7">
                  <c:v>1687500</c:v>
                </c:pt>
                <c:pt idx="8">
                  <c:v>1687500</c:v>
                </c:pt>
                <c:pt idx="9">
                  <c:v>1687500</c:v>
                </c:pt>
                <c:pt idx="10">
                  <c:v>1687500</c:v>
                </c:pt>
                <c:pt idx="11">
                  <c:v>1687500</c:v>
                </c:pt>
                <c:pt idx="12">
                  <c:v>1755000</c:v>
                </c:pt>
                <c:pt idx="13">
                  <c:v>1755000</c:v>
                </c:pt>
                <c:pt idx="14">
                  <c:v>1755000</c:v>
                </c:pt>
                <c:pt idx="15">
                  <c:v>1755000</c:v>
                </c:pt>
                <c:pt idx="16">
                  <c:v>1755000</c:v>
                </c:pt>
                <c:pt idx="17">
                  <c:v>1755000</c:v>
                </c:pt>
                <c:pt idx="18">
                  <c:v>1755000</c:v>
                </c:pt>
                <c:pt idx="19">
                  <c:v>1755000</c:v>
                </c:pt>
                <c:pt idx="20">
                  <c:v>1755000</c:v>
                </c:pt>
                <c:pt idx="21">
                  <c:v>1755000</c:v>
                </c:pt>
                <c:pt idx="22">
                  <c:v>1755000</c:v>
                </c:pt>
                <c:pt idx="23">
                  <c:v>1755000</c:v>
                </c:pt>
              </c:numCache>
            </c:numRef>
          </c:val>
          <c:smooth val="0"/>
        </c:ser>
        <c:dLbls>
          <c:showLegendKey val="0"/>
          <c:showVal val="0"/>
          <c:showCatName val="0"/>
          <c:showSerName val="0"/>
          <c:showPercent val="0"/>
          <c:showBubbleSize val="0"/>
        </c:dLbls>
        <c:marker val="1"/>
        <c:smooth val="0"/>
        <c:axId val="64196992"/>
        <c:axId val="64198528"/>
      </c:lineChart>
      <c:catAx>
        <c:axId val="64196992"/>
        <c:scaling>
          <c:orientation val="minMax"/>
        </c:scaling>
        <c:delete val="0"/>
        <c:axPos val="b"/>
        <c:majorTickMark val="out"/>
        <c:minorTickMark val="none"/>
        <c:tickLblPos val="nextTo"/>
        <c:crossAx val="64198528"/>
        <c:crosses val="autoZero"/>
        <c:auto val="1"/>
        <c:lblAlgn val="ctr"/>
        <c:lblOffset val="100"/>
        <c:noMultiLvlLbl val="0"/>
      </c:catAx>
      <c:valAx>
        <c:axId val="64198528"/>
        <c:scaling>
          <c:orientation val="minMax"/>
        </c:scaling>
        <c:delete val="0"/>
        <c:axPos val="l"/>
        <c:majorGridlines/>
        <c:numFmt formatCode="#,##0.00" sourceLinked="1"/>
        <c:majorTickMark val="out"/>
        <c:minorTickMark val="none"/>
        <c:tickLblPos val="nextTo"/>
        <c:crossAx val="641969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9448-4E41-4C4E-8972-FBF81A19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5079</Words>
  <Characters>27076</Characters>
  <Application>Microsoft Office Word</Application>
  <DocSecurity>0</DocSecurity>
  <Lines>773</Lines>
  <Paragraphs>494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2017-08-22T14:34:00Z</cp:lastPrinted>
  <dcterms:created xsi:type="dcterms:W3CDTF">2017-09-21T08:28:00Z</dcterms:created>
  <dcterms:modified xsi:type="dcterms:W3CDTF">2017-10-02T10:03:00Z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