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67DBCBB0A0F4A1AA7DAADA7B5BA0FC3"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Целта на предложението е да бъде адаптиран размерът на наличните средства по цел „Инвестиции за растеж и работни места“ и по цел „Европейско териториално сътрудничество“, залегнали в член 91, параграф 1 и член 92, параграфи 1 и 5 от Регламент (ЕС) № 1303/2013</w:t>
      </w:r>
      <w:r>
        <w:rPr>
          <w:rStyle w:val="FootnoteReference"/>
          <w:noProof/>
        </w:rPr>
        <w:footnoteReference w:id="2"/>
      </w:r>
      <w:r>
        <w:rPr>
          <w:noProof/>
        </w:rPr>
        <w:t>, заедно с годишното разпределение на бюджетните кредити за поети задължения, фигуриращо в приложение VI към решенията, приети след приемането на посочения регламент. На първо място, да бъдат адаптирани сумите с оглед на резултата от техническите корекции в съответствие с член 92, параграф 3 от посочения регламент; на второ място, да бъдат отразени различните прехвърляния на средства, одобрени въз основа на членове 25, 93 и 94 от същия регламент, които засягат глобалните годишни суми; на трето място, да бъде включено увеличението по инициативата за младежка заетост (ИМЗ) до 2020 г. с обща сума от 1,2 милиарда евро по текущи цени за специално разпределение по ИМЗ, което е необходимо да бъде допълнено с поне 1,2 милиарда евро от целевите инвестиции по линия на Европейския социален фонд (ЕСФ), и на четвърто място, да бъде отразено прехвърлянето на някои бюджетни кредити за поети задължения от 2014 г. за следващите години поради приемането на нови програми след 1 януари 2015 г. Резултатите от техническата корекция и прехвърлянията, договорени въз основа на членове 25, 93 и 94 от посочения регламент, вече бяха предмет на разпоредбите на Решение за изпълнение (ЕС) 2016/1941 на Комисията</w:t>
      </w:r>
      <w:r>
        <w:rPr>
          <w:rStyle w:val="FootnoteReference"/>
          <w:noProof/>
        </w:rPr>
        <w:footnoteReference w:id="3"/>
      </w:r>
      <w:r>
        <w:rPr>
          <w:noProof/>
        </w:rPr>
        <w:t>.</w:t>
      </w:r>
    </w:p>
    <w:p>
      <w:pPr>
        <w:pBdr>
          <w:top w:val="nil"/>
          <w:left w:val="nil"/>
          <w:bottom w:val="nil"/>
          <w:right w:val="nil"/>
          <w:between w:val="nil"/>
          <w:bar w:val="nil"/>
        </w:pBdr>
        <w:spacing w:before="0" w:after="240"/>
        <w:rPr>
          <w:noProof/>
        </w:rPr>
      </w:pPr>
      <w:r>
        <w:rPr>
          <w:noProof/>
        </w:rPr>
        <w:t>В предложението е отразен и фактът, че се очаква Кипър отново да стане допустим за подкрепа от Кохезионния фонд, като считано от 1 януари 2017 г. вече не е необходимо да получава подкрепа от Кохезионния фонд на преходно и специално основание. Този въпрос вече беше разгледан в Решение за изпълнение (ЕС) 2016/1916 на Комисията</w:t>
      </w:r>
      <w:r>
        <w:rPr>
          <w:rStyle w:val="FootnoteReference"/>
          <w:noProof/>
        </w:rPr>
        <w:footnoteReference w:id="4"/>
      </w:r>
      <w:r>
        <w:rPr>
          <w:noProof/>
        </w:rPr>
        <w:t>.</w:t>
      </w:r>
    </w:p>
    <w:p>
      <w:pPr>
        <w:pBdr>
          <w:top w:val="nil"/>
          <w:left w:val="nil"/>
          <w:bottom w:val="nil"/>
          <w:right w:val="nil"/>
          <w:between w:val="nil"/>
          <w:bar w:val="nil"/>
        </w:pBdr>
        <w:spacing w:before="0" w:after="240"/>
        <w:rPr>
          <w:noProof/>
        </w:rPr>
      </w:pPr>
      <w:r>
        <w:rPr>
          <w:noProof/>
        </w:rPr>
        <w:t>Техническата корекция се основава на член 7 от Регламент (ЕС) № 1311/2013 на Съвета</w:t>
      </w:r>
      <w:r>
        <w:rPr>
          <w:rStyle w:val="FootnoteReference"/>
          <w:noProof/>
        </w:rPr>
        <w:footnoteReference w:id="5"/>
      </w:r>
      <w:r>
        <w:rPr>
          <w:noProof/>
        </w:rPr>
        <w:t xml:space="preserve"> с оглед отчитане на особено затрудненото положение на държавите членки, засегнати от кризата, и подлагане на преразглеждане през 2016 г. на общия размер на разпределените средства по цел „Инвестиции за растеж и работни места“.</w:t>
      </w:r>
    </w:p>
    <w:p>
      <w:pPr>
        <w:pBdr>
          <w:top w:val="nil"/>
          <w:left w:val="nil"/>
          <w:bottom w:val="nil"/>
          <w:right w:val="nil"/>
          <w:between w:val="nil"/>
          <w:bar w:val="nil"/>
        </w:pBdr>
        <w:spacing w:before="0" w:after="240"/>
        <w:rPr>
          <w:noProof/>
        </w:rPr>
      </w:pPr>
      <w:r>
        <w:rPr>
          <w:noProof/>
        </w:rPr>
        <w:t>В член 25 е предвиден механизъм за управление на техническата помощ за държави членки, изпитващи временни бюджетни затруднения, т. е. прехвърлянето на част от тази техническа помощ към техническата помощ по инициатива на Комисията.</w:t>
      </w:r>
    </w:p>
    <w:p>
      <w:pPr>
        <w:pBdr>
          <w:top w:val="nil"/>
          <w:left w:val="nil"/>
          <w:bottom w:val="nil"/>
          <w:right w:val="nil"/>
          <w:between w:val="nil"/>
          <w:bar w:val="nil"/>
        </w:pBdr>
        <w:spacing w:before="0" w:after="240"/>
        <w:rPr>
          <w:noProof/>
        </w:rPr>
      </w:pPr>
      <w:r>
        <w:rPr>
          <w:noProof/>
        </w:rPr>
        <w:t>При определени условия член 93 допуска прехвърляне на средства между отделните категории региони, а член 94 — прехвърляне на средства между отделните цели.</w:t>
      </w:r>
    </w:p>
    <w:p>
      <w:pPr>
        <w:pStyle w:val="ManualHeading2"/>
        <w:rPr>
          <w:rFonts w:eastAsia="Arial Unicode MS"/>
          <w:noProof/>
          <w:u w:color="000000"/>
          <w:bdr w:val="nil"/>
        </w:rPr>
      </w:pPr>
      <w:r>
        <w:rPr>
          <w:noProof/>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Настоящото предложение е резултат от разпоредбите на член 92, параграф 3 относно преразглеждането на средствата по линия на политиката на сближаване за периода 2017—2020 г., решенията за прехвърляне на средства между отделните категории и цели съгласно членове 93 и 94, решението за удължаване на срока на инициативата за младежка заетост за периода 2017—2020 г. и решението за прехвърляне на някои бюджетни кредити за поети задължения от 2014 г. за следващите години.</w:t>
      </w:r>
    </w:p>
    <w:p>
      <w:pPr>
        <w:pStyle w:val="ManualHeading2"/>
        <w:rPr>
          <w:rFonts w:eastAsia="Arial Unicode MS"/>
          <w:noProof/>
        </w:rPr>
      </w:pPr>
      <w:r>
        <w:rPr>
          <w:noProof/>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съгласувано с другите предложения и инициативи, приети от Европейската комисия в отговор на финансовата криза.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В член 92, параграф 3 от Регламент (ЕС) № 1303/2013 се предвижда през 2016 г. Комисията — в рамките на техническите корекции за 2017 г. и в съответствие с членове 4 и 5 от Регламент (ЕС, Евратом) № 1311/2013 — да преразгледа общия размер на разпределените средства по цел „Инвестиции за растеж и работни места“ за всяка държава членка за периода 2017—2020 г., като приложи метода за разпределение, посочен в параграфи 1—16 от приложение VII, въз основа на най-новите налични статистически данни.</w:t>
      </w:r>
    </w:p>
    <w:p>
      <w:pPr>
        <w:pBdr>
          <w:top w:val="nil"/>
          <w:left w:val="nil"/>
          <w:bottom w:val="nil"/>
          <w:right w:val="nil"/>
          <w:between w:val="nil"/>
          <w:bar w:val="nil"/>
        </w:pBdr>
        <w:spacing w:before="0" w:after="240"/>
        <w:rPr>
          <w:noProof/>
        </w:rPr>
      </w:pPr>
      <w:r>
        <w:rPr>
          <w:noProof/>
        </w:rPr>
        <w:t>Това преразглеждане на общия размер на разпределените средства отразява и резултатите от някои прехвърляния на средства.</w:t>
      </w:r>
    </w:p>
    <w:p>
      <w:pPr>
        <w:pBdr>
          <w:top w:val="nil"/>
          <w:left w:val="nil"/>
          <w:bottom w:val="nil"/>
          <w:right w:val="nil"/>
          <w:between w:val="nil"/>
          <w:bar w:val="nil"/>
        </w:pBdr>
        <w:spacing w:before="0" w:after="240"/>
        <w:rPr>
          <w:noProof/>
        </w:rPr>
      </w:pPr>
      <w:r>
        <w:rPr>
          <w:noProof/>
        </w:rPr>
        <w:t>В член 25 е предвиден механизъм за управление на техническата помощ за държави членки, изпитващи временни бюджетни затруднения, т. е. прехвърлянето на част от тази техническа помощ към техническата помощ по инициатива на Комисията.</w:t>
      </w:r>
    </w:p>
    <w:p>
      <w:pPr>
        <w:pBdr>
          <w:top w:val="nil"/>
          <w:left w:val="nil"/>
          <w:bottom w:val="nil"/>
          <w:right w:val="nil"/>
          <w:between w:val="nil"/>
          <w:bar w:val="nil"/>
        </w:pBdr>
        <w:spacing w:before="0" w:after="240"/>
        <w:rPr>
          <w:noProof/>
        </w:rPr>
      </w:pPr>
      <w:r>
        <w:rPr>
          <w:noProof/>
        </w:rPr>
        <w:t>При определени условия член 93 допуска прехвърляне на средства между отделните категории региони, а член 94 — прехвърляне на средства между отделните цели.</w:t>
      </w:r>
    </w:p>
    <w:p>
      <w:pPr>
        <w:pBdr>
          <w:top w:val="nil"/>
          <w:left w:val="nil"/>
          <w:bottom w:val="nil"/>
          <w:right w:val="nil"/>
          <w:between w:val="nil"/>
          <w:bar w:val="nil"/>
        </w:pBdr>
        <w:spacing w:before="0" w:after="240"/>
        <w:rPr>
          <w:noProof/>
        </w:rPr>
      </w:pPr>
      <w:r>
        <w:rPr>
          <w:noProof/>
        </w:rPr>
        <w:t>Преразглеждането на общия размер на разпределените средства отразява също така удължаването на срока на инициативата за младежка заетост за периода 2017—2020 г.</w:t>
      </w:r>
    </w:p>
    <w:p>
      <w:pPr>
        <w:pBdr>
          <w:top w:val="nil"/>
          <w:left w:val="nil"/>
          <w:bottom w:val="nil"/>
          <w:right w:val="nil"/>
          <w:between w:val="nil"/>
          <w:bar w:val="nil"/>
        </w:pBdr>
        <w:spacing w:before="0" w:after="240"/>
        <w:rPr>
          <w:noProof/>
        </w:rPr>
      </w:pPr>
      <w:r>
        <w:rPr>
          <w:noProof/>
        </w:rPr>
        <w:t>На последно място, преразгледаното годишно разпределение от приложение VI отразява изменението на Регламент (ЕС, Евратом) № 1311/2013 на Съвета с оглед на прехвърлянето на някои бюджетни кредити за поети задължения от 2014 г. за следващите години.</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субсидиарност дотолкова, доколкото то е технически резултат от прилагането на разпоредбите на член 92, параграф 3 от Регламент (ЕС) № 1303/2013, а също и на членове 93 и 94 от него, както и от решението за удължаване на срока на инициативата за младежка заетост за периода 2017—2020 г.</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се свежда само до необходимите технически корекции.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Предлаган инструмент: изменение на действащия регламент.</w:t>
      </w:r>
    </w:p>
    <w:p>
      <w:pPr>
        <w:pBdr>
          <w:top w:val="nil"/>
          <w:left w:val="nil"/>
          <w:bottom w:val="nil"/>
          <w:right w:val="nil"/>
          <w:between w:val="nil"/>
          <w:bar w:val="nil"/>
        </w:pBdr>
        <w:spacing w:before="0" w:after="240"/>
        <w:rPr>
          <w:rFonts w:eastAsia="Arial Unicode MS"/>
          <w:noProof/>
        </w:rPr>
      </w:pPr>
      <w:r>
        <w:rPr>
          <w:noProof/>
        </w:rPr>
        <w:t>Комисията разгледа всички възможности за действие съгласно нормативната уредба и счита, че е необходимо да бъдат предложени изменения на Регламент (ЕС) № 1303/2013.</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са правени последваща оценка или проверки за пригодност на действащото законодателство.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бяха проведени консултации с външни заинтересовани страни.</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беше необходимо използването на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Text1"/>
        <w:ind w:left="0"/>
        <w:rPr>
          <w:noProof/>
        </w:rPr>
      </w:pPr>
      <w:r>
        <w:rPr>
          <w:noProof/>
        </w:rPr>
        <w:t>Предложението не е инициатива по линия на Програмата за пригодност и резултатност на регулаторната рамка (REFIT).</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има отражение върху бюджетните кредити за поети задължения, което се дължи на положителния нетен резултат, равен на 4 милиарда евро (по цени от 2011 г.), на техническите корекции, предвидени в член 92, параграф 3, и на решението за удължаване на срока на инициативата за младежка заетост за периода 2017—2020 г. със сума в общ размер от 1,2 милиарда евро по текущи цени за специално разпределение по инициативата за младежка заетост, което трябва да бъде допълнено с поне 1,2 милиарда евро от целевите инвестиции по линия на ЕСФ. Тези допълнителни средства също така ще породят необходимост от допълнителни бюджетни кредити за плащания за периода 2018—2020 г.</w:t>
      </w:r>
    </w:p>
    <w:p>
      <w:pPr>
        <w:pBdr>
          <w:top w:val="nil"/>
          <w:left w:val="nil"/>
          <w:bottom w:val="nil"/>
          <w:right w:val="nil"/>
          <w:between w:val="nil"/>
          <w:bar w:val="nil"/>
        </w:pBdr>
        <w:spacing w:before="0" w:after="240"/>
        <w:rPr>
          <w:noProof/>
        </w:rPr>
      </w:pPr>
      <w:r>
        <w:rPr>
          <w:noProof/>
        </w:rPr>
        <w:t>Таваните за бюджетните кредити за поети задължения и бюджетните кредити за плащания по функция 1b следователно се увеличават, както е посочено в Съобщението до Съвета и до Европейския парламент [COM(2016) 311 final] относно техническа корекция на финансовата рамка за 2017 г. в съответствие с промените в БНД и корекция на финансовите пакети за политиката на сближаване. Предвид факта, че повечето плащания във връзка с това увеличение на задълженията се очаква да настъпят след 2020 г., увеличението на таваните на плащанията остава ограничено.</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Обяснителни документи (за директивите)</w:t>
      </w:r>
    </w:p>
    <w:p>
      <w:pPr>
        <w:pStyle w:val="Text1"/>
        <w:ind w:hanging="850"/>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Въз основа на член 7 от Регламент (ЕС, Евратом) № 1311/2013 на Съвета през 2016 г. Комисията трябваше да подложи на преразглеждане общия размер на отпуснатите средства за всички държави членки по цел „Инвестиции за растеж и работни места“ на политиката на сближаване за периода 2017—2020 г., като приложи метода за разпределение, определен в относимия основен акт (приложение VII към Регламент (ЕС) № 1303/2013), въз основа на най-новите налични статистически данни и на сравнението (за държавите членки, за които се прилага таван) между съвкупния национален БВП, отчетен за периода 2014—2015 г., и съвкупния национален БВП, прогнозиран през 2012 г. Разпределените средства бяха адаптирани, когато беше налице кумулативно отклонение от повече от +/– 5 %. Освен това допустимостта по Кохезионния фонд също беше подложена на преглед и ако държава членка отново стане допустима за финансиране по линия на Кохезионния фонд, тези суми се добавят към средствата, отпуснати на съответната държава членка за периода 2017—2020 г.</w:t>
      </w:r>
    </w:p>
    <w:p>
      <w:pPr>
        <w:pBdr>
          <w:top w:val="nil"/>
          <w:left w:val="nil"/>
          <w:bottom w:val="nil"/>
          <w:right w:val="nil"/>
          <w:between w:val="nil"/>
          <w:bar w:val="nil"/>
        </w:pBdr>
        <w:spacing w:before="0" w:after="240"/>
        <w:rPr>
          <w:rFonts w:eastAsia="Arial Unicode MS"/>
          <w:noProof/>
        </w:rPr>
      </w:pPr>
      <w:r>
        <w:rPr>
          <w:noProof/>
        </w:rPr>
        <w:t>Прегледът обхваща следните елементи:</w:t>
      </w:r>
    </w:p>
    <w:p>
      <w:pPr>
        <w:pBdr>
          <w:top w:val="nil"/>
          <w:left w:val="nil"/>
          <w:bottom w:val="nil"/>
          <w:right w:val="nil"/>
          <w:between w:val="nil"/>
          <w:bar w:val="nil"/>
        </w:pBdr>
        <w:spacing w:before="0" w:after="240"/>
        <w:ind w:left="360" w:hanging="360"/>
        <w:rPr>
          <w:rFonts w:eastAsia="Arial Unicode MS"/>
          <w:noProof/>
        </w:rPr>
      </w:pPr>
      <w:r>
        <w:rPr>
          <w:noProof/>
        </w:rPr>
        <w:t>а)</w:t>
      </w:r>
      <w:r>
        <w:rPr>
          <w:noProof/>
        </w:rPr>
        <w:tab/>
        <w:t>за всички държави членки — прегледа на средствата, отпуснати за периода 2017—2020 г., въз основа на най-новите налични статистически данни и като се прилага същият метод както и за определянето на първоначално отпуснатите средства, описан в параграфи 1—16 от приложение VII към Регламент (ЕС) № 1303/2013;</w:t>
      </w:r>
    </w:p>
    <w:p>
      <w:pPr>
        <w:pBdr>
          <w:top w:val="nil"/>
          <w:left w:val="nil"/>
          <w:bottom w:val="nil"/>
          <w:right w:val="nil"/>
          <w:between w:val="nil"/>
          <w:bar w:val="nil"/>
        </w:pBdr>
        <w:spacing w:before="0" w:after="240"/>
        <w:ind w:left="360" w:hanging="360"/>
        <w:rPr>
          <w:rFonts w:eastAsia="Arial Unicode MS"/>
          <w:noProof/>
        </w:rPr>
      </w:pPr>
      <w:r>
        <w:rPr>
          <w:noProof/>
        </w:rPr>
        <w:t>б)</w:t>
      </w:r>
      <w:r>
        <w:rPr>
          <w:noProof/>
        </w:rPr>
        <w:tab/>
        <w:t>за държавите членки, за които се прилага таван (България, Естония, Хърватия, Унгария, Литва, Латвия, Полша, Румъния и Словакия) — сравнението на наблюдаваните нива на БВП за 2014 и 2015 г. с предвидените за същите две години през 2012 г.;</w:t>
      </w:r>
    </w:p>
    <w:p>
      <w:pPr>
        <w:pBdr>
          <w:top w:val="nil"/>
          <w:left w:val="nil"/>
          <w:bottom w:val="nil"/>
          <w:right w:val="nil"/>
          <w:between w:val="nil"/>
          <w:bar w:val="nil"/>
        </w:pBdr>
        <w:spacing w:before="0" w:after="240"/>
        <w:ind w:left="360" w:hanging="360"/>
        <w:rPr>
          <w:rFonts w:eastAsia="Arial Unicode MS"/>
          <w:noProof/>
        </w:rPr>
      </w:pPr>
      <w:r>
        <w:rPr>
          <w:noProof/>
        </w:rPr>
        <w:t>в)</w:t>
      </w:r>
      <w:r>
        <w:rPr>
          <w:noProof/>
        </w:rPr>
        <w:tab/>
        <w:t>прегледа на допустимостта по Кохезионния фонд въз основа на данните за БНД на глава от населението за периода 2012—2014 г. в сравнение със средната стойност за ЕС-27.</w:t>
      </w:r>
    </w:p>
    <w:p>
      <w:pPr>
        <w:pBdr>
          <w:top w:val="nil"/>
          <w:left w:val="nil"/>
          <w:bottom w:val="nil"/>
          <w:right w:val="nil"/>
          <w:between w:val="nil"/>
          <w:bar w:val="nil"/>
        </w:pBdr>
        <w:spacing w:before="0" w:after="240"/>
        <w:rPr>
          <w:rFonts w:eastAsia="Arial Unicode MS"/>
          <w:noProof/>
        </w:rPr>
      </w:pPr>
      <w:r>
        <w:rPr>
          <w:noProof/>
        </w:rPr>
        <w:t>Резултатите показаха кумулативно отклонение от повече от +/– 5 % между общия и преразгледания размер на разпределените средства в Белгия, Чешката република, Дания, Естония, Ирландия, Гърция, Испания, Хърватия, Италия, Кипър, Нидерландия, Словения, Словакия, Финландия, Швеция и Обединеното кралство. Корекцията на съответните средства беше публикувана в Съобщението до Съвета и до Европейския парламент [COM(2016) 311 final] относно техническа корекция на финансовата рамка за 2017 г. в съответствие с промените в БНД и корекция на финансовите пакети за политиката на сближаване.</w:t>
      </w:r>
    </w:p>
    <w:p>
      <w:pPr>
        <w:pBdr>
          <w:top w:val="nil"/>
          <w:left w:val="nil"/>
          <w:bottom w:val="nil"/>
          <w:right w:val="nil"/>
          <w:between w:val="nil"/>
          <w:bar w:val="nil"/>
        </w:pBdr>
        <w:spacing w:before="0" w:after="240"/>
        <w:rPr>
          <w:rFonts w:eastAsia="Arial Unicode MS"/>
          <w:noProof/>
        </w:rPr>
      </w:pPr>
      <w:r>
        <w:rPr>
          <w:noProof/>
        </w:rPr>
        <w:t>Прегледът на допустимостта по Кохезионния фонд води до един случай на промяна на допустимостта, тъй като Кипър започна да отговаря на условията за подкрепа от Кохезионния фонд за периода 2017—2020 г., което доведе до допълнителна сума в размер на 19,4 милиона евро.</w:t>
      </w:r>
    </w:p>
    <w:p>
      <w:pPr>
        <w:pBdr>
          <w:top w:val="nil"/>
          <w:left w:val="nil"/>
          <w:bottom w:val="nil"/>
          <w:right w:val="nil"/>
          <w:between w:val="nil"/>
          <w:bar w:val="nil"/>
        </w:pBdr>
        <w:spacing w:before="0" w:after="240"/>
        <w:rPr>
          <w:rFonts w:eastAsia="Arial Unicode MS"/>
          <w:noProof/>
        </w:rPr>
      </w:pPr>
      <w:r>
        <w:rPr>
          <w:noProof/>
        </w:rPr>
        <w:t>В съответствие с член 94, параграф 2 от Регламент (ЕС) № 1303/2013 Комисията прие предложение, представено от Дания, за прехвърляне на част от бюджетните ѝ кредити по цел „Европейско териториално сътрудничество“ към цел „Инвестиции за растеж и работни места“.</w:t>
      </w:r>
    </w:p>
    <w:p>
      <w:pPr>
        <w:pBdr>
          <w:top w:val="nil"/>
          <w:left w:val="nil"/>
          <w:bottom w:val="nil"/>
          <w:right w:val="nil"/>
          <w:between w:val="nil"/>
          <w:bar w:val="nil"/>
        </w:pBdr>
        <w:spacing w:before="0" w:after="240"/>
        <w:rPr>
          <w:rFonts w:eastAsia="Arial Unicode MS"/>
          <w:noProof/>
        </w:rPr>
      </w:pPr>
      <w:r>
        <w:rPr>
          <w:noProof/>
        </w:rPr>
        <w:t>На последно място, на 20 юни 2017 г. Съветът взе решение да удължи до 2020 г. срока на инициативата за младежка заетост със сумата от 1,2 милиарда евро по текущи цени за специално разпределение по инициативата, формирана, както следва: 500 милиона евро за 2017 г. и по 233,3 милиона евро годишно за периода 2018—2020 г.</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2017/0247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1303/2013 във връзка с промените в средствата за икономическо, социално и териториално сближаване, както и в средствата по цел „Инвестиции за растеж и работни места“ и по цел „Европейско териториално сътрудничество“</w:t>
      </w:r>
    </w:p>
    <w:p>
      <w:pPr>
        <w:pStyle w:val="Institutionquiagit"/>
        <w:rPr>
          <w:noProof/>
          <w:szCs w:val="24"/>
        </w:rPr>
      </w:pPr>
      <w:r>
        <w:rPr>
          <w:noProof/>
        </w:rPr>
        <w:t>ЕВРОПЕЙСКИЯТ ПАРЛАМЕНТ И СЪВЕТЪТ НА ЕВРОПЕЙСКИЯ СЪЮЗ,</w:t>
      </w:r>
    </w:p>
    <w:p>
      <w:pPr>
        <w:rPr>
          <w:noProof/>
          <w:szCs w:val="24"/>
        </w:rPr>
      </w:pPr>
      <w:r>
        <w:rPr>
          <w:noProof/>
        </w:rPr>
        <w:t xml:space="preserve">като взеха предвид Договора за функционирането на Европейския съюз, и по-специално член 177 от него, </w:t>
      </w:r>
    </w:p>
    <w:p>
      <w:pPr>
        <w:rPr>
          <w:noProof/>
          <w:szCs w:val="24"/>
        </w:rPr>
      </w:pPr>
      <w:r>
        <w:rPr>
          <w:noProof/>
        </w:rPr>
        <w:t>като взеха предвид предложението на Европейската комисия,</w:t>
      </w:r>
    </w:p>
    <w:p>
      <w:pPr>
        <w:rPr>
          <w:noProof/>
          <w:szCs w:val="24"/>
        </w:rPr>
      </w:pPr>
      <w:r>
        <w:rPr>
          <w:noProof/>
        </w:rPr>
        <w:t>след предаване на проекта на законодателния акт на националните парламенти,</w:t>
      </w:r>
    </w:p>
    <w:p>
      <w:pPr>
        <w:rPr>
          <w:noProof/>
          <w:szCs w:val="24"/>
        </w:rPr>
      </w:pPr>
      <w:r>
        <w:rPr>
          <w:noProof/>
        </w:rPr>
        <w:t>като взеха предвид становището на Европейския икономически и социален комитет</w:t>
      </w:r>
      <w:r>
        <w:rPr>
          <w:rStyle w:val="FootnoteReference"/>
          <w:noProof/>
        </w:rPr>
        <w:footnoteReference w:id="6"/>
      </w:r>
      <w:r>
        <w:rPr>
          <w:noProof/>
        </w:rPr>
        <w:t>,</w:t>
      </w:r>
    </w:p>
    <w:p>
      <w:pPr>
        <w:rPr>
          <w:noProof/>
          <w:szCs w:val="24"/>
        </w:rPr>
      </w:pPr>
      <w:r>
        <w:rPr>
          <w:noProof/>
        </w:rPr>
        <w:t>след консултация с Комитета на регионите</w:t>
      </w:r>
      <w:r>
        <w:rPr>
          <w:rStyle w:val="FootnoteReference"/>
          <w:noProof/>
        </w:rPr>
        <w:footnoteReference w:id="7"/>
      </w:r>
      <w:r>
        <w:rPr>
          <w:noProof/>
        </w:rPr>
        <w:t>,</w:t>
      </w:r>
    </w:p>
    <w:p>
      <w:pPr>
        <w:rPr>
          <w:noProof/>
          <w:szCs w:val="24"/>
        </w:rPr>
      </w:pPr>
      <w:r>
        <w:rPr>
          <w:noProof/>
        </w:rPr>
        <w:t>в съответствие с обикновената законодателна процедура,</w:t>
      </w:r>
    </w:p>
    <w:p>
      <w:pPr>
        <w:rPr>
          <w:noProof/>
          <w:szCs w:val="24"/>
        </w:rPr>
      </w:pPr>
      <w:r>
        <w:rPr>
          <w:noProof/>
        </w:rPr>
        <w:t>като имат предвид, че:</w:t>
      </w:r>
    </w:p>
    <w:p>
      <w:pPr>
        <w:pStyle w:val="ManualConsidrant"/>
        <w:rPr>
          <w:noProof/>
          <w:szCs w:val="24"/>
        </w:rPr>
      </w:pPr>
      <w:r>
        <w:t>(1)</w:t>
      </w:r>
      <w:r>
        <w:tab/>
      </w:r>
      <w:r>
        <w:rPr>
          <w:noProof/>
        </w:rPr>
        <w:t>С Регламент (ЕС) № 1303/2013 на Европейския парламент и на Съвета</w:t>
      </w:r>
      <w:r>
        <w:rPr>
          <w:rStyle w:val="FootnoteReference"/>
          <w:noProof/>
        </w:rPr>
        <w:footnoteReference w:id="8"/>
      </w:r>
      <w:r>
        <w:rPr>
          <w:noProof/>
        </w:rPr>
        <w:t xml:space="preserve"> се определят общоприложимите и общите правила по отношение на европейските структурни и инвестиционни фондове. </w:t>
      </w:r>
    </w:p>
    <w:p>
      <w:pPr>
        <w:pStyle w:val="ManualConsidrant"/>
        <w:rPr>
          <w:noProof/>
          <w:szCs w:val="24"/>
        </w:rPr>
      </w:pPr>
      <w:r>
        <w:t>(2)</w:t>
      </w:r>
      <w:r>
        <w:tab/>
      </w:r>
      <w:r>
        <w:rPr>
          <w:noProof/>
        </w:rPr>
        <w:t>В съответствие с член 7, параграф 1 от Регламент (ЕС, Евратом) № 1311/2013 на Съвета</w:t>
      </w:r>
      <w:r>
        <w:rPr>
          <w:rStyle w:val="FootnoteReference"/>
          <w:noProof/>
        </w:rPr>
        <w:footnoteReference w:id="9"/>
      </w:r>
      <w:r>
        <w:rPr>
          <w:noProof/>
        </w:rPr>
        <w:t xml:space="preserve"> и член 92, параграф 3 от Регламент (ЕС) № 1303/2013 през 2016 г. Комисията направи преглед на общия размер на отпуснатите средства за всички държави членки по цел „Инвестиции за растеж и работни места“ на политиката на сближаване за периода 2017—2020 г.</w:t>
      </w:r>
    </w:p>
    <w:p>
      <w:pPr>
        <w:pStyle w:val="ManualConsidrant"/>
        <w:rPr>
          <w:noProof/>
          <w:szCs w:val="24"/>
        </w:rPr>
      </w:pPr>
      <w:r>
        <w:t>(3)</w:t>
      </w:r>
      <w:r>
        <w:tab/>
      </w:r>
      <w:r>
        <w:rPr>
          <w:noProof/>
        </w:rPr>
        <w:t>В съответствие с член 7, параграф 3 от Регламент (ЕС, Евратом) № 1311/2013 и член 92, параграф 3 от Регламент (ЕС) № 1303/2013 Комисията представи на Съвета и на Европейския парламент резултатите от прегледа</w:t>
      </w:r>
      <w:r>
        <w:rPr>
          <w:rStyle w:val="FootnoteReference"/>
          <w:noProof/>
        </w:rPr>
        <w:footnoteReference w:id="10"/>
      </w:r>
      <w:r>
        <w:rPr>
          <w:noProof/>
        </w:rPr>
        <w:t xml:space="preserve">. В съобщението се посочва, че съгласно най-новите статистически данни е налице кумулативно отклонение от повече от +/– 5 % между общия и преразгледания размер на разпределените средства в Белгия, Чешката република, Дания, Естония, Ирландия, Гърция, Испания, Хърватия, Италия, Кипър, Нидерландия, Словения, Словакия, Финландия, Швеция и Обединеното кралство. Освен това в него се посочва, че въз основа на брутния си национален доход (БНД) на глава от населението по данни за периода 2012—2014 г. Кипър ще стане напълно допустим за подкрепа от Кохезионния фонд, считано от 1 януари 2017 г. </w:t>
      </w:r>
    </w:p>
    <w:p>
      <w:pPr>
        <w:pStyle w:val="ManualConsidrant"/>
        <w:rPr>
          <w:noProof/>
          <w:szCs w:val="24"/>
        </w:rPr>
      </w:pPr>
      <w:r>
        <w:t>(4)</w:t>
      </w:r>
      <w:r>
        <w:tab/>
      </w:r>
      <w:r>
        <w:rPr>
          <w:noProof/>
        </w:rPr>
        <w:t>В съответствие с член 7, параграфи 4 и 5 от Регламент (ЕС, Евратом) № 1311/2013 и член 92, параграф 3 от Регламент (ЕС) № 1303/2013 следва съответно да бъдат адаптирани разпределените средства за тези държави членки, при условие че общият нетен ефект от тези корекции не надхвърля 4 милиарда евро.</w:t>
      </w:r>
    </w:p>
    <w:p>
      <w:pPr>
        <w:pStyle w:val="ManualConsidrant"/>
        <w:rPr>
          <w:noProof/>
          <w:szCs w:val="24"/>
        </w:rPr>
      </w:pPr>
      <w:r>
        <w:t>(5)</w:t>
      </w:r>
      <w:r>
        <w:tab/>
      </w:r>
      <w:r>
        <w:rPr>
          <w:noProof/>
        </w:rPr>
        <w:t xml:space="preserve">Тъй като преразглеждането има отражение върху годишната разбивка на разпределените по държави членки </w:t>
      </w:r>
      <w:r>
        <w:rPr>
          <w:rStyle w:val="bold"/>
          <w:b w:val="0"/>
          <w:noProof/>
        </w:rPr>
        <w:t>глобални средства по цел „Инвестиции за растеж и работни места“ и по цел „Европейско териториално сътрудничество“, както и по линия на инициативата за младежка заетост (наричана по-нататък „ИМЗ“)</w:t>
      </w:r>
      <w:r>
        <w:rPr>
          <w:noProof/>
        </w:rPr>
        <w:t>, то е осъществено с Решение за изпълнение (ЕС) 2016/1941 на Комисията</w:t>
      </w:r>
      <w:r>
        <w:rPr>
          <w:rStyle w:val="FootnoteReference"/>
          <w:noProof/>
        </w:rPr>
        <w:footnoteReference w:id="11"/>
      </w:r>
      <w:r>
        <w:rPr>
          <w:noProof/>
        </w:rPr>
        <w:t>.</w:t>
      </w:r>
    </w:p>
    <w:p>
      <w:pPr>
        <w:pStyle w:val="ManualConsidrant"/>
        <w:rPr>
          <w:noProof/>
          <w:szCs w:val="24"/>
        </w:rPr>
      </w:pPr>
      <w:r>
        <w:t>(6)</w:t>
      </w:r>
      <w:r>
        <w:tab/>
      </w:r>
      <w:r>
        <w:rPr>
          <w:noProof/>
        </w:rPr>
        <w:t>Общият нетен ефект от тези корекции ще представлява увеличение на средствата за икономическо, социално и териториално сближаване с 4 милиарда евро. Това увеличение следва да бъде отразено в член 91, параграф 1 от Регламент (ЕС) № 1303/2013, който по тази причина следва да бъде съответно адаптиран.</w:t>
      </w:r>
      <w:r>
        <w:rPr>
          <w:noProof/>
          <w:highlight w:val="yellow"/>
        </w:rPr>
        <w:t xml:space="preserve"> </w:t>
      </w:r>
    </w:p>
    <w:p>
      <w:pPr>
        <w:pStyle w:val="ManualConsidrant"/>
        <w:rPr>
          <w:noProof/>
          <w:szCs w:val="24"/>
        </w:rPr>
      </w:pPr>
      <w:r>
        <w:t>(7)</w:t>
      </w:r>
      <w:r>
        <w:tab/>
      </w:r>
      <w:r>
        <w:rPr>
          <w:noProof/>
        </w:rPr>
        <w:t>Средствата по цел „Инвестиции за растеж и работни места“ и тяхното разпределение между по-слабо развитите региони, регионите в преход и по-силно развитите региони, държавите членки, подкрепяни от Кохезионния фонд, и най-отдалечените региони, в съответствие с посоченото в член 92, параграф 1 от Регламент (ЕС) № 1303/2013, следва да бъдат съответно адаптирани.</w:t>
      </w:r>
      <w:r>
        <w:rPr>
          <w:noProof/>
          <w:highlight w:val="yellow"/>
        </w:rPr>
        <w:t xml:space="preserve"> </w:t>
      </w:r>
    </w:p>
    <w:p>
      <w:pPr>
        <w:pStyle w:val="ManualConsidrant"/>
        <w:rPr>
          <w:noProof/>
          <w:szCs w:val="24"/>
        </w:rPr>
      </w:pPr>
      <w:r>
        <w:t>(8)</w:t>
      </w:r>
      <w:r>
        <w:tab/>
      </w:r>
      <w:r>
        <w:rPr>
          <w:noProof/>
        </w:rPr>
        <w:t>В съответствие с член 14, параграф 1 от Регламент (ЕС, Евратом) № 1311/2013 оставените налични маржове под таваните за бюджетните кредити за поети задължения по многогодишната финансова рамка (наричана по-нататък „МФР“) трябва да съставляват общия марж на МФР за ангажименти, които да бъдат предоставени над таваните, установени в МФР, за годините 2016—2020 за цели на политиката по отношение на растежа и заетостта, по-специално младежката заетост. С Регламент на Съвета (ЕС, Евратом) 2017/1123</w:t>
      </w:r>
      <w:r>
        <w:rPr>
          <w:rStyle w:val="FootnoteReference"/>
          <w:noProof/>
        </w:rPr>
        <w:footnoteReference w:id="12"/>
      </w:r>
      <w:r>
        <w:rPr>
          <w:noProof/>
        </w:rPr>
        <w:t xml:space="preserve"> ограничението на оставените налични маржове под таваните на МФР за бюджетните кредити за поети задължения за годините 2014—2017 беше заличено, като по този начин се предостави възможност за удължаване до 2020 г. на срока на инициативата за младежка заетост и специално разпределените средства по ИМЗ да бъдат увеличени със сумата от 1,2 милиарда евро по текущи цени за периода 2017—2020 г. Поради това специално разпределените средства по инициативата за младежка заетост, предвидени в член 91, параграф 1 и член 92, параграф 5 от Регламент (ЕС) № 1303/2013, следва да бъдат съответно адаптирани.</w:t>
      </w:r>
    </w:p>
    <w:p>
      <w:pPr>
        <w:pStyle w:val="ManualConsidrant"/>
        <w:rPr>
          <w:noProof/>
          <w:szCs w:val="24"/>
        </w:rPr>
      </w:pPr>
      <w:r>
        <w:t>(9)</w:t>
      </w:r>
      <w:r>
        <w:tab/>
      </w:r>
      <w:r>
        <w:rPr>
          <w:noProof/>
        </w:rPr>
        <w:t xml:space="preserve">В съответствие с член 94, параграф 2 от Регламент (ЕС) № 1303/2013 Комисията прие предложение, представено от Дания, за прехвърляне на част от бюджетните ѝ кредити по цел „Европейско териториално сътрудничество“ към цел „Инвестиции за растеж и работни места“. Това прехвърляне следва да бъде отразено чрез изменение на глобалните налични средства по цел „Европейско териториално сътрудничество“ в член 92, параграф 9 от същия регламент. </w:t>
      </w:r>
    </w:p>
    <w:p>
      <w:pPr>
        <w:pStyle w:val="ManualConsidrant"/>
        <w:rPr>
          <w:noProof/>
          <w:szCs w:val="24"/>
        </w:rPr>
      </w:pPr>
      <w:r>
        <w:t>(10)</w:t>
      </w:r>
      <w:r>
        <w:tab/>
      </w:r>
      <w:r>
        <w:rPr>
          <w:noProof/>
        </w:rPr>
        <w:t>В съответствие с процедурата, предвидена в член 19, параграф 1 от Регламент (ЕС, Евратом) № 1311/2013, с Регламент (ЕС, Евратом) 2015/623 на Съвета</w:t>
      </w:r>
      <w:r>
        <w:rPr>
          <w:rStyle w:val="FootnoteReference"/>
          <w:noProof/>
        </w:rPr>
        <w:footnoteReference w:id="13"/>
      </w:r>
      <w:r>
        <w:rPr>
          <w:noProof/>
        </w:rPr>
        <w:t xml:space="preserve"> сумата от 11 216 187 326 EUR по текущи цени от средствата, разпределени за структурните фондове и Кохезионния фонд, беше прехвърлена за следващите години. Сума в размер на 9 446 050 652 EUR по текущи цени от средствата, разпределени за Европейския земеделски фонд за развитие на селските райони и Европейския фонд за морско дело и рибарство, за която не е било възможно да се поеме задължение през 2014 г., нито да бъде пренесена за 2015 г., беше прехвърлена за следващите години. Това прехвърляне следва да бъде отразено в приложение VI към Регламент (ЕС) № 1303/2013, с което се определя общото годишно разпределение на бюджетните кредити за поети задължения за периода 2014—2020 г.</w:t>
      </w:r>
    </w:p>
    <w:p>
      <w:pPr>
        <w:pStyle w:val="ManualConsidrant"/>
        <w:rPr>
          <w:noProof/>
        </w:rPr>
      </w:pPr>
      <w:r>
        <w:t>(11)</w:t>
      </w:r>
      <w:r>
        <w:tab/>
      </w:r>
      <w:r>
        <w:rPr>
          <w:noProof/>
        </w:rPr>
        <w:t xml:space="preserve">Предвид необходимостта от спешно удължаване на срока на прилагане на програмите в подкрепа на ИМЗ, настоящият регламент следва да влезе в сила в деня след деня на публикуването му в </w:t>
      </w:r>
      <w:r>
        <w:rPr>
          <w:i/>
          <w:noProof/>
        </w:rPr>
        <w:t>Официален вестник на Европейския съюз</w:t>
      </w:r>
      <w:r>
        <w:rPr>
          <w:noProof/>
        </w:rPr>
        <w:t>.</w:t>
      </w:r>
    </w:p>
    <w:p>
      <w:pPr>
        <w:pStyle w:val="ManualConsidrant"/>
        <w:rPr>
          <w:noProof/>
        </w:rPr>
      </w:pPr>
      <w:r>
        <w:t>(12)</w:t>
      </w:r>
      <w:r>
        <w:tab/>
      </w:r>
      <w:r>
        <w:rPr>
          <w:noProof/>
        </w:rPr>
        <w:t xml:space="preserve">Поради това Регламент (ЕС) № 1303/2013 следва да бъде изменен, </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 1303/2013 се изменя, както следва:</w:t>
      </w:r>
    </w:p>
    <w:p>
      <w:pPr>
        <w:pStyle w:val="ManualNumPar1"/>
        <w:rPr>
          <w:noProof/>
        </w:rPr>
      </w:pPr>
      <w:r>
        <w:t>1.</w:t>
      </w:r>
      <w:r>
        <w:tab/>
      </w:r>
      <w:r>
        <w:rPr>
          <w:noProof/>
        </w:rPr>
        <w:t>Член 91, параграф 1 се заменя със следното:</w:t>
      </w:r>
    </w:p>
    <w:p>
      <w:pPr>
        <w:pStyle w:val="Text1"/>
        <w:rPr>
          <w:noProof/>
        </w:rPr>
      </w:pPr>
      <w:r>
        <w:rPr>
          <w:noProof/>
        </w:rPr>
        <w:t>„1. Наличните средства за поемане на бюджетни задължения за икономическо, социално и териториално сближаване за периода 2014—2020 г. са в размер на 329 978 401 458 EUR по цени от 2011 г. в съответствие с годишното разпределение, посочено в приложение VI, от които 325 938 694 233 EUR представляват глобалните средства, разпределени за ЕФРР, ЕСФ и Кохезионния фонд, а 4 039 707 225 EUR представляват специално разпределени средства за инициативата за младежка заетост. За целите на програмирането и последващото включване в бюджета на Съюза размерът на средствата за икономическо, социално и териториално сближаване се индексира с 2 % годишно.“.</w:t>
      </w:r>
    </w:p>
    <w:p>
      <w:pPr>
        <w:pStyle w:val="ManualNumPar1"/>
        <w:rPr>
          <w:noProof/>
        </w:rPr>
      </w:pPr>
      <w:r>
        <w:t>2.</w:t>
      </w:r>
      <w:r>
        <w:tab/>
      </w:r>
      <w:r>
        <w:rPr>
          <w:noProof/>
        </w:rPr>
        <w:t>Член 92 се изменя, както следва:</w:t>
      </w:r>
    </w:p>
    <w:p>
      <w:pPr>
        <w:pStyle w:val="Point1"/>
        <w:rPr>
          <w:noProof/>
        </w:rPr>
      </w:pPr>
      <w:r>
        <w:rPr>
          <w:noProof/>
        </w:rPr>
        <w:t>а)</w:t>
      </w:r>
      <w:r>
        <w:rPr>
          <w:noProof/>
        </w:rPr>
        <w:tab/>
        <w:t>параграф 1 се заменя със следното:</w:t>
      </w:r>
    </w:p>
    <w:p>
      <w:pPr>
        <w:pStyle w:val="Text2"/>
        <w:rPr>
          <w:noProof/>
        </w:rPr>
      </w:pPr>
      <w:r>
        <w:rPr>
          <w:noProof/>
        </w:rPr>
        <w:t>„1. Средствата за цел „Инвестиции за растеж и работни места“ възлизат на 96,09 % от глобалните средства (т.е. общо 317 103 114 309 EUR) и се разпределят, както следва:</w:t>
      </w:r>
    </w:p>
    <w:p>
      <w:pPr>
        <w:pStyle w:val="Text2"/>
        <w:rPr>
          <w:noProof/>
        </w:rPr>
      </w:pPr>
      <w:r>
        <w:rPr>
          <w:noProof/>
        </w:rPr>
        <w:t>а) 48,64 % (т.е. общо 160 498 028 177 EUR) за по-слабо развитите региони;</w:t>
      </w:r>
    </w:p>
    <w:p>
      <w:pPr>
        <w:pStyle w:val="Text2"/>
        <w:rPr>
          <w:noProof/>
        </w:rPr>
      </w:pPr>
      <w:r>
        <w:rPr>
          <w:noProof/>
        </w:rPr>
        <w:t>б) 10,19 % (т.е. общо 33 621 675 154 EUR) за регионите в преход;</w:t>
      </w:r>
    </w:p>
    <w:p>
      <w:pPr>
        <w:pStyle w:val="Text2"/>
        <w:rPr>
          <w:noProof/>
        </w:rPr>
      </w:pPr>
      <w:r>
        <w:rPr>
          <w:noProof/>
        </w:rPr>
        <w:t>в) 15,43 % (т.е. общо 50 914 723 304 EUR) за по-силно развитите региони;</w:t>
      </w:r>
    </w:p>
    <w:p>
      <w:pPr>
        <w:pStyle w:val="Text2"/>
        <w:rPr>
          <w:noProof/>
        </w:rPr>
      </w:pPr>
      <w:r>
        <w:rPr>
          <w:noProof/>
        </w:rPr>
        <w:t>г) 20,01 % (т.е. общо 66 029 882 135 EUR) за държавите членки, подкрепяни от Кохезионния фонд;</w:t>
      </w:r>
    </w:p>
    <w:p>
      <w:pPr>
        <w:pStyle w:val="Text2"/>
        <w:rPr>
          <w:noProof/>
        </w:rPr>
      </w:pPr>
      <w:r>
        <w:rPr>
          <w:noProof/>
        </w:rPr>
        <w:t>д) 0,42 % (т.е. общо 1 378 882 914 EUR) като допълнително финансиране за най-отдалечените региони, посочени в член 349 от ДФЕС, и регионите от ниво 2 по NUTS, отговарящи на критериите, определени в член 2 от Протокол № 6 към Акта за присъединяване от 1994 г.“;</w:t>
      </w:r>
    </w:p>
    <w:p>
      <w:pPr>
        <w:pStyle w:val="Point1"/>
        <w:rPr>
          <w:noProof/>
        </w:rPr>
      </w:pPr>
      <w:r>
        <w:rPr>
          <w:noProof/>
        </w:rPr>
        <w:t>б)</w:t>
      </w:r>
      <w:r>
        <w:rPr>
          <w:noProof/>
        </w:rPr>
        <w:tab/>
        <w:t>параграф 5 се заменя със следното:</w:t>
      </w:r>
    </w:p>
    <w:p>
      <w:pPr>
        <w:pStyle w:val="Text2"/>
        <w:rPr>
          <w:noProof/>
        </w:rPr>
      </w:pPr>
      <w:r>
        <w:rPr>
          <w:noProof/>
        </w:rPr>
        <w:t>„5. Средствата за инициативата за младежка заетост са в размер на 4 039 707 225 EUR от специално разпределените средства за инициативата за младежка заетост и най-малко 4 039 707 225 EUR от целевите инвестиции от ЕСФ.“;</w:t>
      </w:r>
    </w:p>
    <w:p>
      <w:pPr>
        <w:pStyle w:val="Point1"/>
        <w:rPr>
          <w:noProof/>
        </w:rPr>
      </w:pPr>
      <w:r>
        <w:rPr>
          <w:noProof/>
        </w:rPr>
        <w:t>в)</w:t>
      </w:r>
      <w:r>
        <w:rPr>
          <w:noProof/>
        </w:rPr>
        <w:tab/>
        <w:t>параграф 9 се заменя със следното:</w:t>
      </w:r>
    </w:p>
    <w:p>
      <w:pPr>
        <w:pStyle w:val="Text2"/>
        <w:rPr>
          <w:noProof/>
        </w:rPr>
      </w:pPr>
      <w:r>
        <w:rPr>
          <w:noProof/>
        </w:rPr>
        <w:t>„9. Средствата по цел „Европейско териториално сътрудничество“ възлизат на 2,69 % от глобалните средства, налични за поемане на бюджетни задължения от фондовете в периода 2014—2020 г. (т.е. общо 8 865 148 841 EUR).“.</w:t>
      </w:r>
    </w:p>
    <w:p>
      <w:pPr>
        <w:pStyle w:val="ManualNumPar1"/>
        <w:rPr>
          <w:noProof/>
        </w:rPr>
      </w:pPr>
      <w:r>
        <w:rPr>
          <w:noProof/>
        </w:rPr>
        <w:t>3.</w:t>
      </w:r>
      <w:r>
        <w:rPr>
          <w:noProof/>
        </w:rPr>
        <w:tab/>
        <w:t>Приложение VI се заменя с текста на приложението към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sectPr>
          <w:pgSz w:w="11907" w:h="16839"/>
          <w:pgMar w:top="1134" w:right="1417" w:bottom="1134" w:left="1417" w:header="709" w:footer="709" w:gutter="0"/>
          <w:cols w:space="708"/>
          <w:docGrid w:linePitch="360"/>
        </w:sectPr>
      </w:pPr>
      <w:r>
        <w:rPr>
          <w:noProof/>
        </w:rPr>
        <w:t>Председател</w:t>
      </w:r>
      <w:r>
        <w:rPr>
          <w:noProof/>
        </w:rPr>
        <w:tab/>
        <w:t>Председател</w:t>
      </w:r>
    </w:p>
    <w:p>
      <w:pPr>
        <w:pStyle w:val="Fichefinanciretitre"/>
        <w:rPr>
          <w:noProof/>
        </w:rPr>
      </w:pPr>
      <w:r>
        <w:rPr>
          <w:noProof/>
        </w:rPr>
        <w:t xml:space="preserve">ЗАКОНОДАТЕЛНА ФИНАНСОВА ОБОСНОВКА </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НА ЕВРОПЕЙСКИЯ ПАРЛАМЕНТ И НА СЪВЕТА</w:t>
      </w:r>
    </w:p>
    <w:p>
      <w:pPr>
        <w:pStyle w:val="Text1"/>
        <w:pBdr>
          <w:top w:val="single" w:sz="4" w:space="1" w:color="auto"/>
          <w:left w:val="single" w:sz="4" w:space="4" w:color="auto"/>
          <w:bottom w:val="single" w:sz="4" w:space="1" w:color="auto"/>
          <w:right w:val="single" w:sz="4" w:space="4" w:color="auto"/>
        </w:pBdr>
        <w:rPr>
          <w:noProof/>
        </w:rPr>
      </w:pPr>
      <w:r>
        <w:rPr>
          <w:noProof/>
        </w:rPr>
        <w:t>за изменение на Регламент (ЕС) № 1303/2013 във връзка с промените в средствата за икономическо, социално и териториално сближаване, както и в средствата по цел „Инвестиции за растеж и работни места“ и по цел „Европейско териториално сътрудничество“</w:t>
      </w:r>
    </w:p>
    <w:p>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14"/>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4 Заетост, социални въпроси и приобщаване</w:t>
      </w:r>
    </w:p>
    <w:p>
      <w:pPr>
        <w:pStyle w:val="Text1"/>
        <w:pBdr>
          <w:top w:val="single" w:sz="4" w:space="1" w:color="auto"/>
          <w:left w:val="single" w:sz="4" w:space="4" w:color="auto"/>
          <w:bottom w:val="single" w:sz="4" w:space="1" w:color="auto"/>
          <w:right w:val="single" w:sz="4" w:space="4" w:color="auto"/>
        </w:pBdr>
        <w:rPr>
          <w:noProof/>
        </w:rPr>
      </w:pPr>
      <w:r>
        <w:rPr>
          <w:noProof/>
        </w:rPr>
        <w:t>04 02 60 — Европейски социален фонд — По-слабо развити региони — Цел „Инвестиции за растеж и работни места“</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61 — Европейски социален фонд — Региони в преход — Цел „Инвестиции за растеж и работни места“</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04 02 62 — Европейски социален фонд — По-силно развити региони — Цел „Инвестиции за растеж и работни места“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64 — Инициатива за младежка заетост (ИМЗ)</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Регионална и селищна политика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60 — Европейски фонд за регионално развитие (ЕФРР) — По-слабо развити региони — Цел „Инвестиции за растеж и работни места“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61 — Европейски фонд за регионално развитие (ЕФРР) — Региони в преход — Цел „Инвестиции за растеж и работни места“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62 — Европейски фонд за регионално развитие (ЕФРР) — По-силно развити региони — Цел „Инвестиции за растеж и работни места“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03 63 — Европейски фонд за регионално развитие (ЕФРР) — Допълнителни средства за най-отдалечените и слабо населените региони — Цел „Инвестиции за растеж и работни места“</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03 64 01 — Европейски фонд за регионално развитие (ЕФРР) — Европейско териториално сътрудничество</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04 60 — Кохезионен фонд — Цел „Инвестиции за растеж и работни места“</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ново действие след пилотен проект/подготвително действие</w:t>
      </w:r>
      <w:r>
        <w:rPr>
          <w:rStyle w:val="FootnoteReference"/>
          <w:b/>
          <w:noProof/>
        </w:rPr>
        <w:footnoteReference w:id="15"/>
      </w:r>
      <w:r>
        <w:rPr>
          <w:noProof/>
          <w:sz w:val="22"/>
        </w:rPr>
        <w:t xml:space="preserve"> </w:t>
      </w:r>
    </w:p>
    <w:p>
      <w:pPr>
        <w:pStyle w:val="Text1"/>
        <w:rPr>
          <w:noProof/>
          <w:sz w:val="22"/>
        </w:rPr>
      </w:pPr>
      <w:r>
        <w:rPr>
          <w:noProof/>
          <w:sz w:val="22"/>
        </w:rPr>
        <w:sym w:font="Wingdings" w:char="F078"/>
      </w:r>
      <w:r>
        <w:rPr>
          <w:i/>
          <w:noProof/>
          <w:sz w:val="22"/>
        </w:rPr>
        <w:t xml:space="preserve"> </w:t>
      </w:r>
      <w:r>
        <w:rPr>
          <w:noProof/>
        </w:rPr>
        <w:t xml:space="preserve">Предложението/инициативата е във връзка с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действие, пренасочено към ново действие</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1.4.4.</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1.5.4.</w:t>
      </w:r>
      <w:r>
        <w:rPr>
          <w:noProof/>
        </w:rPr>
        <w:tab/>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78"/>
      </w:r>
      <w:r>
        <w:rPr>
          <w:noProof/>
        </w:rPr>
        <w:tab/>
        <w:t>Предложение/инициатива в сила от 1.1.2017 г. до 31.12.2023 г.</w:t>
      </w:r>
    </w:p>
    <w:p>
      <w:pPr>
        <w:pStyle w:val="ListDash2"/>
        <w:rPr>
          <w:noProof/>
        </w:rPr>
      </w:pPr>
      <w:r>
        <w:rPr>
          <w:noProof/>
        </w:rPr>
        <w:sym w:font="Wingdings" w:char="F078"/>
      </w:r>
      <w:r>
        <w:rPr>
          <w:noProof/>
        </w:rPr>
        <w:tab/>
        <w:t>Финансово отражение от 2017 до 2020 г.</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със стартов период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Планирани методи на управление</w:t>
      </w:r>
      <w:r>
        <w:rPr>
          <w:rStyle w:val="FootnoteReference"/>
          <w:noProof/>
        </w:rPr>
        <w:footnoteReference w:id="16"/>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7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делегиране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организации;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действия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2.2.2.</w:t>
      </w:r>
      <w:r>
        <w:rPr>
          <w:noProof/>
        </w:rPr>
        <w:tab/>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0"/>
              </w:rPr>
              <w:t>Номер</w:t>
            </w:r>
            <w:r>
              <w:rPr>
                <w:noProof/>
              </w:rPr>
              <w:br/>
            </w:r>
            <w:r>
              <w:rPr>
                <w:noProof/>
                <w:sz w:val="20"/>
              </w:rPr>
              <w:t>[Функция…................................................….]</w:t>
            </w:r>
          </w:p>
        </w:tc>
        <w:tc>
          <w:tcPr>
            <w:tcW w:w="1080" w:type="dxa"/>
            <w:vAlign w:val="center"/>
          </w:tcPr>
          <w:p>
            <w:pPr>
              <w:jc w:val="center"/>
              <w:rPr>
                <w:noProof/>
              </w:rPr>
            </w:pPr>
            <w:r>
              <w:rPr>
                <w:noProof/>
                <w:sz w:val="18"/>
              </w:rPr>
              <w:t>Многогод./едногод.</w:t>
            </w:r>
            <w:r>
              <w:rPr>
                <w:rStyle w:val="FootnoteReference"/>
                <w:noProof/>
                <w:sz w:val="18"/>
              </w:rPr>
              <w:footnoteReference w:id="17"/>
            </w:r>
          </w:p>
        </w:tc>
        <w:tc>
          <w:tcPr>
            <w:tcW w:w="956" w:type="dxa"/>
            <w:vAlign w:val="center"/>
          </w:tcPr>
          <w:p>
            <w:pPr>
              <w:jc w:val="center"/>
              <w:rPr>
                <w:noProof/>
              </w:rPr>
            </w:pPr>
            <w:r>
              <w:rPr>
                <w:noProof/>
                <w:sz w:val="18"/>
              </w:rPr>
              <w:t>от държави от ЕАСТ</w:t>
            </w:r>
            <w:r>
              <w:rPr>
                <w:rStyle w:val="FootnoteReference"/>
                <w:noProof/>
                <w:sz w:val="18"/>
              </w:rPr>
              <w:footnoteReference w:id="18"/>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19"/>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shd w:val="clear" w:color="auto" w:fill="auto"/>
            <w:vAlign w:val="center"/>
          </w:tcPr>
          <w:p>
            <w:pPr>
              <w:jc w:val="center"/>
              <w:rPr>
                <w:noProof/>
              </w:rPr>
            </w:pPr>
            <w:r>
              <w:rPr>
                <w:noProof/>
              </w:rPr>
              <w:t>1 Интелигентен и приобщаващ растеж</w:t>
            </w:r>
          </w:p>
        </w:tc>
        <w:tc>
          <w:tcPr>
            <w:tcW w:w="3960" w:type="dxa"/>
            <w:vAlign w:val="center"/>
          </w:tcPr>
          <w:p>
            <w:pPr>
              <w:spacing w:after="60"/>
              <w:rPr>
                <w:noProof/>
              </w:rPr>
            </w:pPr>
            <w:r>
              <w:rPr>
                <w:noProof/>
              </w:rPr>
              <w:t>04 02 60 — Европейски социален фонд — По-слабо развити региони — Цел „Инвестиции за растеж и работни места“</w:t>
            </w:r>
          </w:p>
          <w:p>
            <w:pPr>
              <w:spacing w:after="60"/>
              <w:rPr>
                <w:noProof/>
              </w:rPr>
            </w:pPr>
          </w:p>
          <w:p>
            <w:pPr>
              <w:spacing w:after="60"/>
              <w:rPr>
                <w:noProof/>
              </w:rPr>
            </w:pPr>
            <w:r>
              <w:rPr>
                <w:noProof/>
              </w:rPr>
              <w:t>04 02 61 — Европейски социален фонд — Региони в преход — Цел „Инвестиции за растеж и работни места“</w:t>
            </w:r>
          </w:p>
          <w:p>
            <w:pPr>
              <w:spacing w:after="60"/>
              <w:rPr>
                <w:noProof/>
              </w:rPr>
            </w:pPr>
          </w:p>
          <w:p>
            <w:pPr>
              <w:spacing w:after="60"/>
              <w:rPr>
                <w:noProof/>
              </w:rPr>
            </w:pPr>
            <w:r>
              <w:rPr>
                <w:noProof/>
              </w:rPr>
              <w:t>04 02 62 — Европейски социален фонд — По-силно развити региони — Цел „Инвестиции за растеж и работни места“</w:t>
            </w:r>
          </w:p>
          <w:p>
            <w:pPr>
              <w:spacing w:after="60"/>
              <w:rPr>
                <w:noProof/>
              </w:rPr>
            </w:pPr>
          </w:p>
          <w:p>
            <w:pPr>
              <w:spacing w:after="60"/>
              <w:rPr>
                <w:noProof/>
              </w:rPr>
            </w:pPr>
            <w:r>
              <w:rPr>
                <w:noProof/>
              </w:rPr>
              <w:t>04 02 64 — Инициатива за младежка заетост (ИМЗ)</w:t>
            </w:r>
          </w:p>
          <w:p>
            <w:pPr>
              <w:spacing w:after="60"/>
              <w:rPr>
                <w:noProof/>
              </w:rPr>
            </w:pPr>
          </w:p>
          <w:p>
            <w:pPr>
              <w:spacing w:after="60"/>
              <w:rPr>
                <w:noProof/>
              </w:rPr>
            </w:pPr>
            <w:r>
              <w:rPr>
                <w:noProof/>
              </w:rPr>
              <w:t xml:space="preserve">13 03 60 — Европейски фонд за регионално развитие (ЕФРР) — По-слабо развити региони — Цел „Инвестиции за растеж и работни места“ </w:t>
            </w:r>
          </w:p>
          <w:p>
            <w:pPr>
              <w:spacing w:after="60"/>
              <w:rPr>
                <w:noProof/>
              </w:rPr>
            </w:pPr>
          </w:p>
          <w:p>
            <w:pPr>
              <w:spacing w:after="60"/>
              <w:rPr>
                <w:noProof/>
              </w:rPr>
            </w:pPr>
            <w:r>
              <w:rPr>
                <w:noProof/>
              </w:rPr>
              <w:t xml:space="preserve">13 03 61 — Европейски фонд за регионално развитие (ЕФРР) — Региони в преход — Цел „Инвестиции за растеж и работни места“ </w:t>
            </w:r>
          </w:p>
          <w:p>
            <w:pPr>
              <w:spacing w:after="60"/>
              <w:rPr>
                <w:noProof/>
              </w:rPr>
            </w:pPr>
          </w:p>
          <w:p>
            <w:pPr>
              <w:spacing w:after="60"/>
              <w:rPr>
                <w:noProof/>
              </w:rPr>
            </w:pPr>
            <w:r>
              <w:rPr>
                <w:noProof/>
              </w:rPr>
              <w:t xml:space="preserve">13 03 62 — Европейски фонд за регионално развитие (ЕФРР) — По-силно развити региони — Цел „Инвестиции за растеж и работни места“ </w:t>
            </w:r>
          </w:p>
          <w:p>
            <w:pPr>
              <w:spacing w:after="60"/>
              <w:rPr>
                <w:noProof/>
              </w:rPr>
            </w:pPr>
          </w:p>
          <w:p>
            <w:pPr>
              <w:spacing w:after="60"/>
              <w:rPr>
                <w:bCs/>
                <w:iCs/>
                <w:noProof/>
              </w:rPr>
            </w:pPr>
            <w:r>
              <w:rPr>
                <w:noProof/>
              </w:rPr>
              <w:t>13 03 63 — Европейски фонд за регионално развитие (ЕФРР) — Допълнителни средства за най-отдалечените и слабо населените региони — Цел „Инвестиции за растеж и работни места“</w:t>
            </w:r>
          </w:p>
          <w:p>
            <w:pPr>
              <w:spacing w:after="60"/>
              <w:rPr>
                <w:bCs/>
                <w:iCs/>
                <w:noProof/>
              </w:rPr>
            </w:pPr>
          </w:p>
          <w:p>
            <w:pPr>
              <w:spacing w:after="60"/>
              <w:rPr>
                <w:bCs/>
                <w:iCs/>
                <w:noProof/>
              </w:rPr>
            </w:pPr>
            <w:r>
              <w:rPr>
                <w:noProof/>
              </w:rPr>
              <w:t>13 03 64 01 — Европейски фонд за регионално развитие (ЕФРР) — Европейско териториално сътрудничество</w:t>
            </w:r>
          </w:p>
          <w:p>
            <w:pPr>
              <w:spacing w:after="60"/>
              <w:rPr>
                <w:noProof/>
              </w:rPr>
            </w:pPr>
          </w:p>
          <w:p>
            <w:pPr>
              <w:spacing w:after="60"/>
              <w:rPr>
                <w:noProof/>
              </w:rPr>
            </w:pPr>
            <w:r>
              <w:rPr>
                <w:noProof/>
              </w:rPr>
              <w:t>13 04 60 — Кохезионен фонд — Цел „Инвестиции за растеж и работни места“</w:t>
            </w:r>
          </w:p>
        </w:tc>
        <w:tc>
          <w:tcPr>
            <w:tcW w:w="1080" w:type="dxa"/>
            <w:vAlign w:val="center"/>
          </w:tcPr>
          <w:p>
            <w:pPr>
              <w:jc w:val="center"/>
              <w:rPr>
                <w:noProof/>
              </w:rPr>
            </w:pPr>
            <w:r>
              <w:rPr>
                <w:noProof/>
              </w:rPr>
              <w:t>Многогод.</w:t>
            </w:r>
          </w:p>
        </w:tc>
        <w:tc>
          <w:tcPr>
            <w:tcW w:w="956" w:type="dxa"/>
            <w:vAlign w:val="center"/>
          </w:tcPr>
          <w:p>
            <w:pPr>
              <w:jc w:val="center"/>
              <w:rPr>
                <w:noProof/>
              </w:rPr>
            </w:pPr>
            <w:r>
              <w:rPr>
                <w:noProof/>
              </w:rPr>
              <w:t>НЕ</w:t>
            </w:r>
          </w:p>
        </w:tc>
        <w:tc>
          <w:tcPr>
            <w:tcW w:w="1080" w:type="dxa"/>
            <w:vAlign w:val="center"/>
          </w:tcPr>
          <w:p>
            <w:pPr>
              <w:jc w:val="center"/>
              <w:rPr>
                <w:noProof/>
              </w:rPr>
            </w:pPr>
            <w:r>
              <w:rPr>
                <w:noProof/>
              </w:rPr>
              <w:t>НЕ</w:t>
            </w:r>
          </w:p>
        </w:tc>
        <w:tc>
          <w:tcPr>
            <w:tcW w:w="956" w:type="dxa"/>
            <w:vAlign w:val="center"/>
          </w:tcPr>
          <w:p>
            <w:pPr>
              <w:jc w:val="center"/>
              <w:rPr>
                <w:noProof/>
              </w:rPr>
            </w:pPr>
            <w:r>
              <w:rPr>
                <w:noProof/>
              </w:rPr>
              <w:t>НЕ</w:t>
            </w:r>
          </w:p>
        </w:tc>
        <w:tc>
          <w:tcPr>
            <w:tcW w:w="1448" w:type="dxa"/>
            <w:vAlign w:val="center"/>
          </w:tcPr>
          <w:p>
            <w:pPr>
              <w:jc w:val="center"/>
              <w:rPr>
                <w:noProof/>
              </w:rPr>
            </w:pPr>
            <w:r>
              <w:rPr>
                <w:noProof/>
              </w:rPr>
              <w:t>НЕ</w:t>
            </w:r>
          </w:p>
        </w:tc>
      </w:tr>
    </w:tbl>
    <w:p>
      <w:pPr>
        <w:rPr>
          <w:noProof/>
        </w:rPr>
      </w:pPr>
    </w:p>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noProof/>
        </w:rPr>
        <w:t xml:space="preserve"> </w:t>
      </w:r>
      <w:r>
        <w:rPr>
          <w:i/>
          <w:noProof/>
        </w:rPr>
        <w:t>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0"/>
              </w:rPr>
              <w:t>Номер</w:t>
            </w:r>
            <w:r>
              <w:rPr>
                <w:noProof/>
              </w:rPr>
              <w:br/>
            </w:r>
            <w:r>
              <w:rPr>
                <w:noProof/>
                <w:sz w:val="20"/>
              </w:rPr>
              <w:t>[Функция…...............................….]</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rPr>
            </w:pPr>
          </w:p>
        </w:tc>
        <w:tc>
          <w:tcPr>
            <w:tcW w:w="956" w:type="dxa"/>
            <w:vAlign w:val="center"/>
          </w:tcPr>
          <w:p>
            <w:pPr>
              <w:jc w:val="center"/>
              <w:rPr>
                <w:noProof/>
              </w:rPr>
            </w:pPr>
            <w:r>
              <w:rPr>
                <w:noProof/>
              </w:rPr>
              <w:t>ДА/НЕ</w:t>
            </w:r>
          </w:p>
        </w:tc>
        <w:tc>
          <w:tcPr>
            <w:tcW w:w="1080" w:type="dxa"/>
            <w:vAlign w:val="center"/>
          </w:tcPr>
          <w:p>
            <w:pPr>
              <w:jc w:val="center"/>
              <w:rPr>
                <w:noProof/>
                <w:sz w:val="18"/>
              </w:rPr>
            </w:pPr>
            <w:r>
              <w:rPr>
                <w:noProof/>
              </w:rPr>
              <w:t>ДА/НЕ</w:t>
            </w:r>
          </w:p>
        </w:tc>
        <w:tc>
          <w:tcPr>
            <w:tcW w:w="956" w:type="dxa"/>
            <w:vAlign w:val="center"/>
          </w:tcPr>
          <w:p>
            <w:pPr>
              <w:jc w:val="center"/>
              <w:rPr>
                <w:noProof/>
                <w:sz w:val="18"/>
              </w:rPr>
            </w:pPr>
            <w:r>
              <w:rPr>
                <w:noProof/>
              </w:rPr>
              <w:t>ДА/НЕ</w:t>
            </w:r>
          </w:p>
        </w:tc>
        <w:tc>
          <w:tcPr>
            <w:tcW w:w="1448" w:type="dxa"/>
            <w:vAlign w:val="center"/>
          </w:tcPr>
          <w:p>
            <w:pPr>
              <w:jc w:val="center"/>
              <w:rPr>
                <w:noProof/>
              </w:rPr>
            </w:pPr>
            <w:r>
              <w:rPr>
                <w:noProof/>
              </w:rPr>
              <w:t>ДА/НЕ</w:t>
            </w:r>
          </w:p>
        </w:tc>
      </w:tr>
    </w:tbl>
    <w:p>
      <w:pPr>
        <w:pStyle w:val="Institutionquisigne"/>
        <w:rPr>
          <w:noProof/>
        </w:rPr>
        <w:sectPr>
          <w:pgSz w:w="11907" w:h="16839"/>
          <w:pgMar w:top="1134" w:right="1417" w:bottom="1134" w:left="1417" w:header="709" w:footer="709" w:gutter="0"/>
          <w:cols w:space="708"/>
          <w:docGrid w:linePitch="360"/>
        </w:sectPr>
      </w:pPr>
    </w:p>
    <w:p>
      <w:pPr>
        <w:pStyle w:val="ManualHeading2"/>
        <w:rPr>
          <w:bCs/>
          <w:noProof/>
          <w:szCs w:val="24"/>
        </w:rPr>
      </w:pPr>
      <w:r>
        <w:rPr>
          <w:noProof/>
        </w:rPr>
        <w:t>3.2.</w:t>
      </w:r>
      <w:r>
        <w:rPr>
          <w:noProof/>
        </w:rPr>
        <w:tab/>
        <w:t xml:space="preserve">Очаквано отражение върху разходите </w:t>
      </w:r>
    </w:p>
    <w:p>
      <w:pPr>
        <w:rPr>
          <w:noProof/>
        </w:rPr>
      </w:pPr>
      <w:r>
        <w:rPr>
          <w:noProof/>
        </w:rPr>
        <w:t xml:space="preserve">Както за бюджетните кредити за поети задължения, така и за бюджетните кредити за плащания, предложеното изменение ще доведе до промени в дела за икономическо, социално и териториално сближаване от многогодишната финансова рамка (МФР) за периода 2014—2020 г.  </w:t>
      </w:r>
    </w:p>
    <w:p>
      <w:pPr>
        <w:rPr>
          <w:noProof/>
        </w:rPr>
      </w:pPr>
      <w:r>
        <w:rPr>
          <w:noProof/>
        </w:rPr>
        <w:t>Първо, що се отнася до бюджетните кредити за поети задължения, средствата за икономическо, социално и териториално сближаване, налични за поемане на бюджетни задължения за периода 2017—2020 г. ще се увеличат с 5 841 600 033 EUR по текущи цени. 14 200 000 000 EUR от общата сума представляват специално разпределени средства за инициативата за младежка заетост.</w:t>
      </w:r>
    </w:p>
    <w:p>
      <w:pPr>
        <w:pStyle w:val="Text1"/>
        <w:ind w:left="0"/>
        <w:rPr>
          <w:noProof/>
        </w:rPr>
      </w:pPr>
      <w:r>
        <w:rPr>
          <w:noProof/>
        </w:rPr>
        <w:t>Второ, що се отнася до бюджетните кредити за плащания, допълнителните нужди са изчислени въз основа на следните допускания:</w:t>
      </w:r>
    </w:p>
    <w:p>
      <w:pPr>
        <w:pStyle w:val="Bullet1"/>
        <w:numPr>
          <w:ilvl w:val="0"/>
          <w:numId w:val="16"/>
        </w:numPr>
        <w:rPr>
          <w:noProof/>
        </w:rPr>
      </w:pPr>
      <w:r>
        <w:rPr>
          <w:noProof/>
        </w:rPr>
        <w:t>Тъй като приемането на изменените оперативни програми ще приключи едва през втората половина на 2017 г., годишните нужди от предварително финансиране са включени в периода 2018—2020 г.</w:t>
      </w:r>
    </w:p>
    <w:p>
      <w:pPr>
        <w:pStyle w:val="Bullet1"/>
        <w:rPr>
          <w:noProof/>
        </w:rPr>
      </w:pPr>
      <w:r>
        <w:rPr>
          <w:noProof/>
        </w:rPr>
        <w:t xml:space="preserve">Междинните плащания, свързани с допълнителните средства, предоставени чрез техническите корекции по член 7, се очаква да следват модела, наблюдаван в началото на настоящия програмен период. </w:t>
      </w:r>
    </w:p>
    <w:p>
      <w:pPr>
        <w:pStyle w:val="Bullet1"/>
        <w:rPr>
          <w:noProof/>
        </w:rPr>
      </w:pPr>
      <w:r>
        <w:rPr>
          <w:noProof/>
        </w:rPr>
        <w:t>Междинните плащания, свързани с удължаването на срока за специално разпределените средства по ИМЗ, се очаква да следват по-бърз темп, тъй като всички административни пречки вече са отстранени и изпълнението по места напредва по-бързо, отколкото при другите ЕСИФ.</w:t>
      </w:r>
    </w:p>
    <w:p>
      <w:pPr>
        <w:pStyle w:val="ManualHeading3"/>
        <w:rPr>
          <w:noProof/>
          <w:u w:val="single"/>
        </w:rPr>
      </w:pPr>
      <w:r>
        <w:rPr>
          <w:noProof/>
        </w:rPr>
        <w:t>3.2.1.</w:t>
      </w:r>
      <w:r>
        <w:rPr>
          <w:noProof/>
        </w:rPr>
        <w:tab/>
        <w:t xml:space="preserve">Обобщение на очакваното отражение върху разходите </w:t>
      </w:r>
    </w:p>
    <w:p>
      <w:pPr>
        <w:jc w:val="right"/>
        <w:rPr>
          <w:noProof/>
          <w:sz w:val="20"/>
        </w:rPr>
      </w:pPr>
      <w:r>
        <w:rPr>
          <w:noProof/>
          <w:sz w:val="20"/>
        </w:rPr>
        <w:t>В млн. евро по текущи цени (до третия знак след десетичната запетая)</w:t>
      </w:r>
    </w:p>
    <w:tbl>
      <w:tblPr>
        <w:tblW w:w="0" w:type="auto"/>
        <w:jc w:val="center"/>
        <w:tblInd w:w="-3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817"/>
      </w:tblGrid>
      <w:tr>
        <w:trPr>
          <w:jc w:val="center"/>
        </w:trPr>
        <w:tc>
          <w:tcPr>
            <w:tcW w:w="5351" w:type="dxa"/>
            <w:shd w:val="thinDiagStripe" w:color="C0C0C0" w:fill="auto"/>
            <w:vAlign w:val="center"/>
          </w:tcPr>
          <w:p>
            <w:pPr>
              <w:spacing w:before="60" w:after="60"/>
              <w:jc w:val="center"/>
              <w:rPr>
                <w:b/>
                <w:noProof/>
              </w:rPr>
            </w:pPr>
            <w:r>
              <w:rPr>
                <w:b/>
                <w:noProof/>
              </w:rPr>
              <w:t>Функция от многогодишната финансова</w:t>
            </w:r>
            <w:r>
              <w:rPr>
                <w:noProof/>
              </w:rPr>
              <w:br/>
            </w:r>
            <w:r>
              <w:rPr>
                <w:b/>
                <w:noProof/>
              </w:rPr>
              <w:t xml:space="preserve">рамка </w:t>
            </w:r>
          </w:p>
        </w:tc>
        <w:tc>
          <w:tcPr>
            <w:tcW w:w="1080" w:type="dxa"/>
            <w:vAlign w:val="center"/>
          </w:tcPr>
          <w:p>
            <w:pPr>
              <w:spacing w:before="60" w:after="60"/>
              <w:jc w:val="center"/>
              <w:rPr>
                <w:noProof/>
              </w:rPr>
            </w:pPr>
            <w:r>
              <w:rPr>
                <w:noProof/>
                <w:sz w:val="22"/>
              </w:rPr>
              <w:t>Номер</w:t>
            </w:r>
          </w:p>
          <w:p>
            <w:pPr>
              <w:spacing w:before="60" w:after="60"/>
              <w:jc w:val="center"/>
              <w:rPr>
                <w:noProof/>
              </w:rPr>
            </w:pPr>
            <w:r>
              <w:rPr>
                <w:noProof/>
                <w:sz w:val="22"/>
              </w:rPr>
              <w:t>1</w:t>
            </w:r>
          </w:p>
        </w:tc>
        <w:tc>
          <w:tcPr>
            <w:tcW w:w="7817" w:type="dxa"/>
            <w:vAlign w:val="center"/>
          </w:tcPr>
          <w:p>
            <w:pPr>
              <w:spacing w:before="60" w:after="60"/>
              <w:rPr>
                <w:noProof/>
              </w:rPr>
            </w:pPr>
            <w:r>
              <w:rPr>
                <w:noProof/>
              </w:rPr>
              <w:t>Интелигентен и приобщаващ растеж</w:t>
            </w:r>
          </w:p>
        </w:tc>
      </w:tr>
    </w:tbl>
    <w:p>
      <w:pPr>
        <w:rPr>
          <w:noProof/>
          <w:sz w:val="16"/>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425"/>
        <w:gridCol w:w="709"/>
        <w:gridCol w:w="708"/>
        <w:gridCol w:w="709"/>
        <w:gridCol w:w="1276"/>
        <w:gridCol w:w="1276"/>
        <w:gridCol w:w="1275"/>
        <w:gridCol w:w="1276"/>
        <w:gridCol w:w="1518"/>
      </w:tblGrid>
      <w:tr>
        <w:tc>
          <w:tcPr>
            <w:tcW w:w="2203" w:type="dxa"/>
            <w:vAlign w:val="center"/>
          </w:tcPr>
          <w:p>
            <w:pPr>
              <w:jc w:val="center"/>
              <w:rPr>
                <w:noProof/>
              </w:rPr>
            </w:pPr>
            <w:r>
              <w:rPr>
                <w:noProof/>
                <w:sz w:val="22"/>
              </w:rPr>
              <w:t xml:space="preserve">ГД: </w:t>
            </w:r>
            <w:r>
              <w:rPr>
                <w:noProof/>
              </w:rPr>
              <w:t xml:space="preserve">„Заетост, социални въпроси и приобщаване“, „Регионална политика“ </w:t>
            </w:r>
          </w:p>
        </w:tc>
        <w:tc>
          <w:tcPr>
            <w:tcW w:w="3119" w:type="dxa"/>
          </w:tcPr>
          <w:p>
            <w:pPr>
              <w:rPr>
                <w:noProof/>
                <w:sz w:val="20"/>
              </w:rPr>
            </w:pPr>
          </w:p>
        </w:tc>
        <w:tc>
          <w:tcPr>
            <w:tcW w:w="425" w:type="dxa"/>
          </w:tcPr>
          <w:p>
            <w:pPr>
              <w:jc w:val="center"/>
              <w:rPr>
                <w:noProof/>
                <w:sz w:val="20"/>
              </w:rPr>
            </w:pPr>
          </w:p>
        </w:tc>
        <w:tc>
          <w:tcPr>
            <w:tcW w:w="709" w:type="dxa"/>
          </w:tcPr>
          <w:p>
            <w:pPr>
              <w:rPr>
                <w:noProof/>
              </w:rPr>
            </w:pPr>
            <w:r>
              <w:rPr>
                <w:noProof/>
              </w:rPr>
              <w:t>2014 г.</w:t>
            </w:r>
          </w:p>
        </w:tc>
        <w:tc>
          <w:tcPr>
            <w:tcW w:w="708" w:type="dxa"/>
          </w:tcPr>
          <w:p>
            <w:pPr>
              <w:rPr>
                <w:noProof/>
              </w:rPr>
            </w:pPr>
            <w:r>
              <w:rPr>
                <w:noProof/>
              </w:rPr>
              <w:t>2015 г.</w:t>
            </w:r>
          </w:p>
        </w:tc>
        <w:tc>
          <w:tcPr>
            <w:tcW w:w="709" w:type="dxa"/>
          </w:tcPr>
          <w:p>
            <w:pPr>
              <w:rPr>
                <w:noProof/>
              </w:rPr>
            </w:pPr>
            <w:r>
              <w:rPr>
                <w:noProof/>
              </w:rPr>
              <w:t>2016 г.</w:t>
            </w:r>
          </w:p>
        </w:tc>
        <w:tc>
          <w:tcPr>
            <w:tcW w:w="1276" w:type="dxa"/>
          </w:tcPr>
          <w:p>
            <w:pPr>
              <w:rPr>
                <w:noProof/>
              </w:rPr>
            </w:pPr>
            <w:r>
              <w:rPr>
                <w:noProof/>
              </w:rPr>
              <w:t>2017 г.</w:t>
            </w:r>
          </w:p>
        </w:tc>
        <w:tc>
          <w:tcPr>
            <w:tcW w:w="1276" w:type="dxa"/>
          </w:tcPr>
          <w:p>
            <w:pPr>
              <w:rPr>
                <w:noProof/>
              </w:rPr>
            </w:pPr>
            <w:r>
              <w:rPr>
                <w:noProof/>
              </w:rPr>
              <w:t>2018 г.</w:t>
            </w:r>
            <w:r>
              <w:rPr>
                <w:rStyle w:val="FootnoteReference"/>
                <w:noProof/>
              </w:rPr>
              <w:footnoteReference w:id="20"/>
            </w:r>
          </w:p>
        </w:tc>
        <w:tc>
          <w:tcPr>
            <w:tcW w:w="1275" w:type="dxa"/>
          </w:tcPr>
          <w:p>
            <w:pPr>
              <w:rPr>
                <w:noProof/>
              </w:rPr>
            </w:pPr>
            <w:r>
              <w:rPr>
                <w:noProof/>
              </w:rPr>
              <w:t>2019 г.</w:t>
            </w:r>
          </w:p>
        </w:tc>
        <w:tc>
          <w:tcPr>
            <w:tcW w:w="1276" w:type="dxa"/>
          </w:tcPr>
          <w:p>
            <w:pPr>
              <w:rPr>
                <w:noProof/>
              </w:rPr>
            </w:pPr>
            <w:r>
              <w:rPr>
                <w:noProof/>
              </w:rPr>
              <w:t>2020 г.</w:t>
            </w:r>
          </w:p>
        </w:tc>
        <w:tc>
          <w:tcPr>
            <w:tcW w:w="1518" w:type="dxa"/>
            <w:vAlign w:val="center"/>
          </w:tcPr>
          <w:p>
            <w:pPr>
              <w:jc w:val="center"/>
              <w:rPr>
                <w:b/>
                <w:noProof/>
                <w:sz w:val="20"/>
              </w:rPr>
            </w:pPr>
            <w:r>
              <w:rPr>
                <w:b/>
                <w:noProof/>
                <w:sz w:val="20"/>
              </w:rPr>
              <w:t>ОБЩО</w:t>
            </w:r>
          </w:p>
        </w:tc>
      </w:tr>
      <w:tr>
        <w:trPr>
          <w:trHeight w:val="213"/>
        </w:trPr>
        <w:tc>
          <w:tcPr>
            <w:tcW w:w="5747" w:type="dxa"/>
            <w:gridSpan w:val="3"/>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709" w:type="dxa"/>
            <w:vAlign w:val="center"/>
          </w:tcPr>
          <w:p>
            <w:pPr>
              <w:rPr>
                <w:noProof/>
                <w:sz w:val="20"/>
              </w:rPr>
            </w:pPr>
          </w:p>
        </w:tc>
        <w:tc>
          <w:tcPr>
            <w:tcW w:w="708" w:type="dxa"/>
            <w:vAlign w:val="center"/>
          </w:tcPr>
          <w:p>
            <w:pPr>
              <w:rPr>
                <w:noProof/>
                <w:sz w:val="20"/>
              </w:rPr>
            </w:pPr>
          </w:p>
        </w:tc>
        <w:tc>
          <w:tcPr>
            <w:tcW w:w="709" w:type="dxa"/>
            <w:vAlign w:val="center"/>
          </w:tcPr>
          <w:p>
            <w:pPr>
              <w:rPr>
                <w:noProof/>
                <w:sz w:val="20"/>
              </w:rPr>
            </w:pPr>
          </w:p>
        </w:tc>
        <w:tc>
          <w:tcPr>
            <w:tcW w:w="1276" w:type="dxa"/>
            <w:vAlign w:val="center"/>
          </w:tcPr>
          <w:p>
            <w:pPr>
              <w:rPr>
                <w:noProof/>
                <w:sz w:val="20"/>
              </w:rPr>
            </w:pPr>
          </w:p>
        </w:tc>
        <w:tc>
          <w:tcPr>
            <w:tcW w:w="1276" w:type="dxa"/>
            <w:vAlign w:val="center"/>
          </w:tcPr>
          <w:p>
            <w:pPr>
              <w:rPr>
                <w:noProof/>
                <w:sz w:val="20"/>
              </w:rPr>
            </w:pPr>
          </w:p>
        </w:tc>
        <w:tc>
          <w:tcPr>
            <w:tcW w:w="1275" w:type="dxa"/>
            <w:vAlign w:val="center"/>
          </w:tcPr>
          <w:p>
            <w:pPr>
              <w:rPr>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277"/>
        </w:trPr>
        <w:tc>
          <w:tcPr>
            <w:tcW w:w="2203" w:type="dxa"/>
            <w:vAlign w:val="center"/>
          </w:tcPr>
          <w:p>
            <w:pPr>
              <w:spacing w:before="60"/>
              <w:rPr>
                <w:noProof/>
                <w:sz w:val="21"/>
              </w:rPr>
            </w:pPr>
            <w:r>
              <w:rPr>
                <w:noProof/>
                <w:sz w:val="21"/>
              </w:rPr>
              <w:t>1b: Икономическо, социално и териториално сближаване</w:t>
            </w:r>
          </w:p>
          <w:p>
            <w:pPr>
              <w:spacing w:before="60"/>
              <w:rPr>
                <w:noProof/>
              </w:rPr>
            </w:pPr>
            <w:r>
              <w:rPr>
                <w:noProof/>
                <w:sz w:val="21"/>
              </w:rPr>
              <w:t>Европейски фонд за регионално развитие, Европейски социален фонд, Кохезионен фонд</w:t>
            </w:r>
          </w:p>
        </w:tc>
        <w:tc>
          <w:tcPr>
            <w:tcW w:w="3119" w:type="dxa"/>
            <w:vAlign w:val="center"/>
          </w:tcPr>
          <w:p>
            <w:pPr>
              <w:spacing w:before="20" w:after="20"/>
              <w:rPr>
                <w:noProof/>
                <w:sz w:val="18"/>
              </w:rPr>
            </w:pPr>
            <w:r>
              <w:rPr>
                <w:noProof/>
                <w:sz w:val="18"/>
              </w:rPr>
              <w:t xml:space="preserve">Поети задължения </w:t>
            </w:r>
          </w:p>
          <w:p>
            <w:pPr>
              <w:spacing w:before="20" w:after="20"/>
              <w:rPr>
                <w:noProof/>
                <w:sz w:val="18"/>
              </w:rPr>
            </w:pPr>
          </w:p>
          <w:p>
            <w:pPr>
              <w:spacing w:before="20" w:after="20"/>
              <w:rPr>
                <w:noProof/>
                <w:sz w:val="18"/>
              </w:rPr>
            </w:pPr>
          </w:p>
          <w:p>
            <w:pPr>
              <w:spacing w:after="60"/>
              <w:rPr>
                <w:noProof/>
              </w:rPr>
            </w:pPr>
            <w:r>
              <w:rPr>
                <w:noProof/>
              </w:rPr>
              <w:t>04 02 60 — Европейски социален фонд — По-слабо развити региони — Цел „Инвестиции за растеж и работни места“</w:t>
            </w:r>
          </w:p>
          <w:p>
            <w:pPr>
              <w:spacing w:before="20" w:after="20"/>
              <w:rPr>
                <w:noProof/>
                <w:sz w:val="18"/>
              </w:rPr>
            </w:pPr>
          </w:p>
          <w:p>
            <w:pPr>
              <w:spacing w:after="60"/>
              <w:rPr>
                <w:noProof/>
              </w:rPr>
            </w:pPr>
            <w:r>
              <w:rPr>
                <w:noProof/>
              </w:rPr>
              <w:t>04 02 61 — Европейски социален фонд — Региони в преход — Цел „Инвестиции за растеж и работни места“</w:t>
            </w:r>
          </w:p>
          <w:p>
            <w:pPr>
              <w:spacing w:before="20" w:after="20"/>
              <w:rPr>
                <w:noProof/>
                <w:sz w:val="18"/>
              </w:rPr>
            </w:pPr>
          </w:p>
          <w:p>
            <w:pPr>
              <w:spacing w:after="60"/>
              <w:rPr>
                <w:noProof/>
              </w:rPr>
            </w:pPr>
            <w:r>
              <w:rPr>
                <w:noProof/>
              </w:rPr>
              <w:t xml:space="preserve">04 02 62 — Европейски социален фонд — По-силно развити региони — Цел „Инвестиции за растеж и работни места“ </w:t>
            </w:r>
          </w:p>
          <w:p>
            <w:pPr>
              <w:spacing w:after="60"/>
              <w:rPr>
                <w:noProof/>
              </w:rPr>
            </w:pPr>
            <w:r>
              <w:rPr>
                <w:noProof/>
              </w:rPr>
              <w:t>04 02 64 — Инициатива за младежка заетост (ИМЗ)</w:t>
            </w:r>
          </w:p>
          <w:p>
            <w:pPr>
              <w:spacing w:before="20" w:after="20"/>
              <w:rPr>
                <w:noProof/>
                <w:sz w:val="18"/>
              </w:rPr>
            </w:pPr>
          </w:p>
          <w:p>
            <w:pPr>
              <w:spacing w:after="60"/>
              <w:rPr>
                <w:noProof/>
              </w:rPr>
            </w:pPr>
            <w:r>
              <w:rPr>
                <w:noProof/>
              </w:rPr>
              <w:t xml:space="preserve">13 03 60 — Европейски фонд за регионално развитие (ЕФРР) — По-слабо развити региони — Цел „Инвестиции за растеж и работни места“ </w:t>
            </w:r>
          </w:p>
          <w:p>
            <w:pPr>
              <w:spacing w:before="20" w:after="20"/>
              <w:rPr>
                <w:noProof/>
                <w:sz w:val="18"/>
              </w:rPr>
            </w:pPr>
          </w:p>
          <w:p>
            <w:pPr>
              <w:spacing w:after="60"/>
              <w:rPr>
                <w:noProof/>
              </w:rPr>
            </w:pPr>
            <w:r>
              <w:rPr>
                <w:noProof/>
              </w:rPr>
              <w:t xml:space="preserve">13 03 61 — Европейски фонд за регионално развитие (ЕФРР) — Региони в преход — Цел „Инвестиции за растеж и работни места“ </w:t>
            </w:r>
          </w:p>
          <w:p>
            <w:pPr>
              <w:spacing w:after="60"/>
              <w:rPr>
                <w:noProof/>
              </w:rPr>
            </w:pPr>
            <w:r>
              <w:rPr>
                <w:noProof/>
              </w:rPr>
              <w:t xml:space="preserve">13 03 62 — Европейски фонд за регионално развитие (ЕФРР) — По-силно развити региони — Цел „Инвестиции за растеж и работни места“ </w:t>
            </w:r>
          </w:p>
          <w:p>
            <w:pPr>
              <w:spacing w:before="20" w:after="20"/>
              <w:rPr>
                <w:noProof/>
                <w:sz w:val="18"/>
              </w:rPr>
            </w:pPr>
          </w:p>
          <w:p>
            <w:pPr>
              <w:spacing w:after="60"/>
              <w:rPr>
                <w:noProof/>
                <w:sz w:val="18"/>
              </w:rPr>
            </w:pPr>
            <w:r>
              <w:rPr>
                <w:noProof/>
              </w:rPr>
              <w:t>13 04 60 — Кохезионен фонд — Цел „Инвестиции за растеж и работни места“</w:t>
            </w:r>
          </w:p>
          <w:p>
            <w:pPr>
              <w:spacing w:before="20" w:after="20"/>
              <w:rPr>
                <w:noProof/>
                <w:sz w:val="18"/>
              </w:rPr>
            </w:pPr>
          </w:p>
          <w:p>
            <w:pPr>
              <w:spacing w:before="20" w:after="20"/>
              <w:rPr>
                <w:noProof/>
                <w:sz w:val="18"/>
              </w:rPr>
            </w:pPr>
          </w:p>
          <w:p>
            <w:pPr>
              <w:spacing w:before="20" w:after="20"/>
              <w:rPr>
                <w:noProof/>
                <w:sz w:val="18"/>
              </w:rPr>
            </w:pPr>
          </w:p>
        </w:tc>
        <w:tc>
          <w:tcPr>
            <w:tcW w:w="425" w:type="dxa"/>
            <w:vAlign w:val="center"/>
          </w:tcPr>
          <w:p>
            <w:pPr>
              <w:spacing w:before="20" w:after="20"/>
              <w:jc w:val="center"/>
              <w:rPr>
                <w:noProof/>
                <w:sz w:val="14"/>
              </w:rPr>
            </w:pPr>
            <w:r>
              <w:rPr>
                <w:noProof/>
                <w:sz w:val="14"/>
              </w:rPr>
              <w:t>(1)</w:t>
            </w:r>
          </w:p>
        </w:tc>
        <w:tc>
          <w:tcPr>
            <w:tcW w:w="709" w:type="dxa"/>
            <w:vAlign w:val="center"/>
          </w:tcPr>
          <w:p>
            <w:pPr>
              <w:spacing w:before="20" w:after="20"/>
              <w:jc w:val="right"/>
              <w:rPr>
                <w:noProof/>
                <w:sz w:val="20"/>
              </w:rPr>
            </w:pPr>
          </w:p>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 xml:space="preserve">237 320 881 </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251 466 089</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87 329 881</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500 000 000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237 320 880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251 466 089</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87 329 881</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–26 071 285</w:t>
            </w:r>
          </w:p>
        </w:tc>
        <w:tc>
          <w:tcPr>
            <w:tcW w:w="1276" w:type="dxa"/>
            <w:vAlign w:val="center"/>
          </w:tcPr>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242 067 299</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256 495 412</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89 076 479</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233 333 333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242 067 299</w:t>
            </w:r>
          </w:p>
          <w:p>
            <w:pPr>
              <w:spacing w:before="20" w:after="20"/>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256 495 411</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89 076 479</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–26 592 711</w:t>
            </w:r>
          </w:p>
        </w:tc>
        <w:tc>
          <w:tcPr>
            <w:tcW w:w="1275" w:type="dxa"/>
            <w:vAlign w:val="center"/>
          </w:tcPr>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 xml:space="preserve">246 908 645 </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261 625 320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90 858 008</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233 333 333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246 908 645</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261 625 320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90 858 009</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–27 124 565</w:t>
            </w:r>
          </w:p>
        </w:tc>
        <w:tc>
          <w:tcPr>
            <w:tcW w:w="1276" w:type="dxa"/>
            <w:vAlign w:val="center"/>
          </w:tcPr>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251 846 817</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266 857 826</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92 675 169</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233 333 333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251 846 645</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266 857 826</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92 675 168</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–27 667 056</w:t>
            </w:r>
          </w:p>
        </w:tc>
        <w:tc>
          <w:tcPr>
            <w:tcW w:w="1518" w:type="dxa"/>
            <w:vAlign w:val="center"/>
          </w:tcPr>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978 143 642</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1 036 444 647</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359 939 537</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1 200 000 000</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978 143 642</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1 036 444 646</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359 939 537</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–107 455 617</w:t>
            </w:r>
          </w:p>
        </w:tc>
      </w:tr>
    </w:tbl>
    <w:p>
      <w:pPr>
        <w:rPr>
          <w:noProof/>
        </w:rPr>
      </w:pPr>
      <w:r>
        <w:rPr>
          <w:noProof/>
        </w:rPr>
        <w:br w:type="page"/>
      </w:r>
    </w:p>
    <w:p>
      <w:pPr>
        <w:rPr>
          <w:noProof/>
        </w:rPr>
      </w:pPr>
    </w:p>
    <w:p>
      <w:pPr>
        <w:rPr>
          <w:noProof/>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78"/>
        <w:gridCol w:w="347"/>
        <w:gridCol w:w="709"/>
        <w:gridCol w:w="708"/>
        <w:gridCol w:w="709"/>
        <w:gridCol w:w="1276"/>
        <w:gridCol w:w="1276"/>
        <w:gridCol w:w="1275"/>
        <w:gridCol w:w="1276"/>
        <w:gridCol w:w="1518"/>
      </w:tblGrid>
      <w:tr>
        <w:trPr>
          <w:trHeight w:val="85"/>
        </w:trPr>
        <w:tc>
          <w:tcPr>
            <w:tcW w:w="2203" w:type="dxa"/>
          </w:tcPr>
          <w:p>
            <w:pPr>
              <w:jc w:val="center"/>
              <w:rPr>
                <w:noProof/>
                <w:sz w:val="20"/>
              </w:rPr>
            </w:pPr>
            <w:r>
              <w:rPr>
                <w:noProof/>
              </w:rPr>
              <w:br w:type="page"/>
            </w:r>
          </w:p>
        </w:tc>
        <w:tc>
          <w:tcPr>
            <w:tcW w:w="3119" w:type="dxa"/>
            <w:vAlign w:val="center"/>
          </w:tcPr>
          <w:p>
            <w:pPr>
              <w:spacing w:before="20" w:after="20"/>
              <w:rPr>
                <w:noProof/>
                <w:sz w:val="18"/>
              </w:rPr>
            </w:pPr>
            <w:r>
              <w:rPr>
                <w:noProof/>
                <w:sz w:val="18"/>
              </w:rPr>
              <w:t xml:space="preserve">Плащания </w:t>
            </w:r>
          </w:p>
          <w:p>
            <w:pPr>
              <w:spacing w:after="60"/>
              <w:rPr>
                <w:noProof/>
              </w:rPr>
            </w:pPr>
            <w:r>
              <w:rPr>
                <w:noProof/>
              </w:rPr>
              <w:t>04 02 60 — Европейски социален фонд — По-слабо развити региони — Цел „Инвестиции за растеж и работни места“</w:t>
            </w:r>
          </w:p>
          <w:p>
            <w:pPr>
              <w:spacing w:after="60"/>
              <w:rPr>
                <w:noProof/>
              </w:rPr>
            </w:pPr>
          </w:p>
          <w:p>
            <w:pPr>
              <w:spacing w:after="60"/>
              <w:rPr>
                <w:noProof/>
              </w:rPr>
            </w:pPr>
            <w:r>
              <w:rPr>
                <w:noProof/>
              </w:rPr>
              <w:t>04 02 61 — Европейски социален фонд — Региони в преход — Цел „Инвестиции за растеж и работни места“</w:t>
            </w:r>
          </w:p>
          <w:p>
            <w:pPr>
              <w:spacing w:after="60"/>
              <w:rPr>
                <w:noProof/>
              </w:rPr>
            </w:pPr>
          </w:p>
          <w:p>
            <w:pPr>
              <w:spacing w:after="60"/>
              <w:rPr>
                <w:noProof/>
              </w:rPr>
            </w:pPr>
            <w:r>
              <w:rPr>
                <w:noProof/>
              </w:rPr>
              <w:t xml:space="preserve">04 02 62 — Европейски социален фонд — По-силно развити региони — Цел „Инвестиции за растеж и работни места“ </w:t>
            </w:r>
          </w:p>
          <w:p>
            <w:pPr>
              <w:spacing w:after="60"/>
              <w:rPr>
                <w:noProof/>
              </w:rPr>
            </w:pPr>
          </w:p>
          <w:p>
            <w:pPr>
              <w:spacing w:after="60"/>
              <w:rPr>
                <w:noProof/>
              </w:rPr>
            </w:pPr>
            <w:r>
              <w:rPr>
                <w:noProof/>
              </w:rPr>
              <w:t>04 02 64 — Инициатива за младежка заетост (ИМЗ)</w:t>
            </w:r>
          </w:p>
          <w:p>
            <w:pPr>
              <w:spacing w:after="60"/>
              <w:rPr>
                <w:noProof/>
              </w:rPr>
            </w:pPr>
          </w:p>
          <w:p>
            <w:pPr>
              <w:spacing w:after="60"/>
              <w:rPr>
                <w:noProof/>
              </w:rPr>
            </w:pPr>
            <w:r>
              <w:rPr>
                <w:noProof/>
              </w:rPr>
              <w:t xml:space="preserve"> 13 03 60 — Европейски фонд за регионално развитие (ЕФРР) — По-слабо развити региони — Цел „Инвестиции за растеж и работни места“ </w:t>
            </w:r>
          </w:p>
          <w:p>
            <w:pPr>
              <w:spacing w:after="60"/>
              <w:rPr>
                <w:noProof/>
              </w:rPr>
            </w:pPr>
          </w:p>
          <w:p>
            <w:pPr>
              <w:spacing w:after="60"/>
              <w:rPr>
                <w:noProof/>
              </w:rPr>
            </w:pPr>
            <w:r>
              <w:rPr>
                <w:noProof/>
              </w:rPr>
              <w:t xml:space="preserve">13 03 61 — Европейски фонд за регионално развитие (ЕФРР) — Региони в преход — Цел „Инвестиции за растеж и работни места“ </w:t>
            </w:r>
          </w:p>
          <w:p>
            <w:pPr>
              <w:spacing w:after="60"/>
              <w:rPr>
                <w:noProof/>
              </w:rPr>
            </w:pPr>
          </w:p>
          <w:p>
            <w:pPr>
              <w:spacing w:after="60"/>
              <w:rPr>
                <w:noProof/>
              </w:rPr>
            </w:pPr>
            <w:r>
              <w:rPr>
                <w:noProof/>
              </w:rPr>
              <w:t xml:space="preserve">13 03 62 — Европейски фонд за регионално развитие (ЕФРР) — По-силно развити региони — Цел „Инвестиции за растеж и работни места“ </w:t>
            </w:r>
          </w:p>
          <w:p>
            <w:pPr>
              <w:spacing w:after="60"/>
              <w:rPr>
                <w:noProof/>
              </w:rPr>
            </w:pPr>
          </w:p>
          <w:p>
            <w:pPr>
              <w:spacing w:after="60"/>
              <w:rPr>
                <w:bCs/>
                <w:iCs/>
                <w:noProof/>
              </w:rPr>
            </w:pPr>
            <w:r>
              <w:rPr>
                <w:noProof/>
              </w:rPr>
              <w:t>13 03 63 — Европейски фонд за регионално развитие (ЕФРР) — Допълнителни средства за най-отдалечените и слабо населените региони — Цел „Инвестиции за растеж и работни места“</w:t>
            </w:r>
          </w:p>
          <w:p>
            <w:pPr>
              <w:spacing w:after="60"/>
              <w:rPr>
                <w:bCs/>
                <w:iCs/>
                <w:noProof/>
              </w:rPr>
            </w:pPr>
          </w:p>
          <w:p>
            <w:pPr>
              <w:spacing w:after="60"/>
              <w:rPr>
                <w:bCs/>
                <w:iCs/>
                <w:noProof/>
              </w:rPr>
            </w:pPr>
            <w:r>
              <w:rPr>
                <w:noProof/>
              </w:rPr>
              <w:t>13 03 64 01 — Европейски фонд за регионално развитие (ЕФРР) — Европейско териториално сътрудничество</w:t>
            </w:r>
          </w:p>
          <w:p>
            <w:pPr>
              <w:spacing w:after="60"/>
              <w:rPr>
                <w:bCs/>
                <w:iCs/>
                <w:noProof/>
              </w:rPr>
            </w:pPr>
          </w:p>
          <w:p>
            <w:pPr>
              <w:spacing w:after="60"/>
              <w:rPr>
                <w:noProof/>
                <w:sz w:val="18"/>
              </w:rPr>
            </w:pPr>
            <w:r>
              <w:rPr>
                <w:noProof/>
              </w:rPr>
              <w:t>13 04 60 — Кохезионен фонд — Цел „Инвестиции за растеж и работни места“</w:t>
            </w:r>
          </w:p>
        </w:tc>
        <w:tc>
          <w:tcPr>
            <w:tcW w:w="425" w:type="dxa"/>
            <w:gridSpan w:val="2"/>
            <w:vAlign w:val="center"/>
          </w:tcPr>
          <w:p>
            <w:pPr>
              <w:spacing w:before="20" w:after="20"/>
              <w:jc w:val="center"/>
              <w:rPr>
                <w:noProof/>
                <w:sz w:val="14"/>
              </w:rPr>
            </w:pPr>
            <w:r>
              <w:rPr>
                <w:noProof/>
                <w:sz w:val="14"/>
              </w:rPr>
              <w:t>(2)</w:t>
            </w:r>
          </w:p>
        </w:tc>
        <w:tc>
          <w:tcPr>
            <w:tcW w:w="709" w:type="dxa"/>
            <w:vAlign w:val="center"/>
          </w:tcPr>
          <w:p>
            <w:pPr>
              <w:spacing w:before="20" w:after="20"/>
              <w:rPr>
                <w:noProof/>
                <w:sz w:val="20"/>
              </w:rPr>
            </w:pPr>
          </w:p>
        </w:tc>
        <w:tc>
          <w:tcPr>
            <w:tcW w:w="708" w:type="dxa"/>
            <w:vAlign w:val="center"/>
          </w:tcPr>
          <w:p>
            <w:pPr>
              <w:spacing w:before="20" w:after="20"/>
              <w:rPr>
                <w:noProof/>
                <w:sz w:val="20"/>
              </w:rPr>
            </w:pPr>
          </w:p>
        </w:tc>
        <w:tc>
          <w:tcPr>
            <w:tcW w:w="709" w:type="dxa"/>
            <w:vAlign w:val="center"/>
          </w:tcPr>
          <w:p>
            <w:pPr>
              <w:spacing w:before="20" w:after="20"/>
              <w:rPr>
                <w:noProof/>
                <w:sz w:val="20"/>
              </w:rPr>
            </w:pPr>
          </w:p>
        </w:tc>
        <w:tc>
          <w:tcPr>
            <w:tcW w:w="1276" w:type="dxa"/>
            <w:vAlign w:val="center"/>
          </w:tcPr>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85 000 000</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tc>
        <w:tc>
          <w:tcPr>
            <w:tcW w:w="1276" w:type="dxa"/>
            <w:vAlign w:val="center"/>
          </w:tcPr>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25 285 013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26 792 094</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9 304 437</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220 000 000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25 285 013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26 792 094</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9 304 437</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–2 777 728</w:t>
            </w:r>
          </w:p>
          <w:p>
            <w:pPr>
              <w:spacing w:before="20" w:after="20"/>
              <w:rPr>
                <w:noProof/>
                <w:sz w:val="20"/>
              </w:rPr>
            </w:pPr>
          </w:p>
          <w:p>
            <w:pPr>
              <w:spacing w:before="20" w:after="20"/>
              <w:rPr>
                <w:noProof/>
                <w:sz w:val="20"/>
              </w:rPr>
            </w:pPr>
          </w:p>
        </w:tc>
        <w:tc>
          <w:tcPr>
            <w:tcW w:w="1275" w:type="dxa"/>
            <w:vAlign w:val="center"/>
          </w:tcPr>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50 887 923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53 921 033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18 725 854</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231 000 000</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50 887 923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53 921 033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18 725 854</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–5 590 378</w:t>
            </w:r>
          </w:p>
        </w:tc>
        <w:tc>
          <w:tcPr>
            <w:tcW w:w="1276" w:type="dxa"/>
            <w:vAlign w:val="center"/>
          </w:tcPr>
          <w:p>
            <w:pPr>
              <w:spacing w:before="20" w:after="20"/>
              <w:jc w:val="right"/>
              <w:rPr>
                <w:b/>
                <w:noProof/>
                <w:sz w:val="20"/>
              </w:rPr>
            </w:pPr>
          </w:p>
          <w:p>
            <w:pPr>
              <w:spacing w:before="20" w:after="20"/>
              <w:jc w:val="right"/>
              <w:rPr>
                <w:b/>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108 495 693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114 962 440</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noProof/>
                <w:sz w:val="20"/>
              </w:rPr>
            </w:pPr>
            <w:r>
              <w:rPr>
                <w:noProof/>
                <w:sz w:val="20"/>
              </w:rPr>
              <w:t>39 924 494</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rPr>
                <w:noProof/>
                <w:sz w:val="20"/>
              </w:rPr>
            </w:pPr>
            <w:r>
              <w:rPr>
                <w:noProof/>
                <w:sz w:val="20"/>
              </w:rPr>
              <w:t>349 000 000</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rPr>
                <w:noProof/>
                <w:sz w:val="20"/>
              </w:rPr>
            </w:pPr>
            <w:r>
              <w:rPr>
                <w:noProof/>
                <w:sz w:val="20"/>
              </w:rPr>
              <w:t>108 495 693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114 962 440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39 924 493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–11 918 977</w:t>
            </w:r>
          </w:p>
        </w:tc>
        <w:tc>
          <w:tcPr>
            <w:tcW w:w="1518" w:type="dxa"/>
            <w:vAlign w:val="center"/>
          </w:tcPr>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rPr>
                <w:b/>
                <w:noProof/>
                <w:sz w:val="20"/>
              </w:rPr>
            </w:pPr>
            <w:r>
              <w:rPr>
                <w:b/>
                <w:noProof/>
                <w:sz w:val="20"/>
              </w:rPr>
              <w:t>184 668 629</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center"/>
              <w:rPr>
                <w:b/>
                <w:noProof/>
                <w:sz w:val="20"/>
              </w:rPr>
            </w:pPr>
            <w:r>
              <w:rPr>
                <w:b/>
                <w:noProof/>
                <w:sz w:val="20"/>
              </w:rPr>
              <w:t>195 675 567</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center"/>
              <w:rPr>
                <w:b/>
                <w:noProof/>
                <w:sz w:val="20"/>
              </w:rPr>
            </w:pPr>
            <w:r>
              <w:rPr>
                <w:b/>
                <w:noProof/>
                <w:sz w:val="20"/>
              </w:rPr>
              <w:t>67 954 785</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rPr>
                <w:b/>
                <w:noProof/>
                <w:sz w:val="20"/>
              </w:rPr>
            </w:pPr>
            <w:r>
              <w:rPr>
                <w:b/>
                <w:noProof/>
                <w:sz w:val="20"/>
              </w:rPr>
              <w:t>885 000 000</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184 668 629</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195 675 567</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67 954 785</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–20 287 083</w:t>
            </w:r>
          </w:p>
        </w:tc>
      </w:tr>
      <w:tr>
        <w:trPr>
          <w:trHeight w:val="231"/>
        </w:trPr>
        <w:tc>
          <w:tcPr>
            <w:tcW w:w="5747"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21"/>
            </w:r>
            <w:r>
              <w:rPr>
                <w:noProof/>
                <w:sz w:val="21"/>
              </w:rPr>
              <w:t xml:space="preserve"> </w:t>
            </w:r>
          </w:p>
          <w:p>
            <w:pPr>
              <w:spacing w:before="0" w:after="0"/>
              <w:rPr>
                <w:noProof/>
              </w:rPr>
            </w:pPr>
          </w:p>
        </w:tc>
        <w:tc>
          <w:tcPr>
            <w:tcW w:w="709" w:type="dxa"/>
            <w:vAlign w:val="center"/>
          </w:tcPr>
          <w:p>
            <w:pPr>
              <w:rPr>
                <w:b/>
                <w:noProof/>
                <w:sz w:val="20"/>
              </w:rPr>
            </w:pPr>
          </w:p>
        </w:tc>
        <w:tc>
          <w:tcPr>
            <w:tcW w:w="708" w:type="dxa"/>
            <w:vAlign w:val="center"/>
          </w:tcPr>
          <w:p>
            <w:pPr>
              <w:rPr>
                <w:b/>
                <w:noProof/>
                <w:sz w:val="20"/>
              </w:rPr>
            </w:pPr>
          </w:p>
        </w:tc>
        <w:tc>
          <w:tcPr>
            <w:tcW w:w="709" w:type="dxa"/>
            <w:vAlign w:val="center"/>
          </w:tcPr>
          <w:p>
            <w:pPr>
              <w:rPr>
                <w:b/>
                <w:noProof/>
                <w:sz w:val="20"/>
              </w:rPr>
            </w:pPr>
          </w:p>
        </w:tc>
        <w:tc>
          <w:tcPr>
            <w:tcW w:w="1276" w:type="dxa"/>
            <w:vAlign w:val="center"/>
          </w:tcPr>
          <w:p>
            <w:pPr>
              <w:rPr>
                <w:b/>
                <w:noProof/>
                <w:sz w:val="20"/>
              </w:rPr>
            </w:pPr>
          </w:p>
        </w:tc>
        <w:tc>
          <w:tcPr>
            <w:tcW w:w="1276" w:type="dxa"/>
            <w:vAlign w:val="center"/>
          </w:tcPr>
          <w:p>
            <w:pPr>
              <w:rPr>
                <w:b/>
                <w:noProof/>
                <w:sz w:val="20"/>
              </w:rPr>
            </w:pPr>
          </w:p>
        </w:tc>
        <w:tc>
          <w:tcPr>
            <w:tcW w:w="1275" w:type="dxa"/>
            <w:vAlign w:val="center"/>
          </w:tcPr>
          <w:p>
            <w:pPr>
              <w:rPr>
                <w:b/>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319"/>
        </w:trPr>
        <w:tc>
          <w:tcPr>
            <w:tcW w:w="2203" w:type="dxa"/>
            <w:vAlign w:val="center"/>
          </w:tcPr>
          <w:p>
            <w:pPr>
              <w:spacing w:before="60" w:after="60"/>
              <w:rPr>
                <w:noProof/>
              </w:rPr>
            </w:pPr>
            <w:r>
              <w:rPr>
                <w:noProof/>
                <w:sz w:val="20"/>
              </w:rPr>
              <w:t>Не е приложимо.</w:t>
            </w:r>
          </w:p>
        </w:tc>
        <w:tc>
          <w:tcPr>
            <w:tcW w:w="3197" w:type="dxa"/>
            <w:gridSpan w:val="2"/>
            <w:vAlign w:val="center"/>
          </w:tcPr>
          <w:p>
            <w:pPr>
              <w:spacing w:before="40" w:after="40"/>
              <w:jc w:val="right"/>
              <w:rPr>
                <w:noProof/>
                <w:sz w:val="18"/>
              </w:rPr>
            </w:pPr>
          </w:p>
        </w:tc>
        <w:tc>
          <w:tcPr>
            <w:tcW w:w="347" w:type="dxa"/>
            <w:vAlign w:val="center"/>
          </w:tcPr>
          <w:p>
            <w:pPr>
              <w:spacing w:before="40" w:after="40"/>
              <w:jc w:val="center"/>
              <w:rPr>
                <w:noProof/>
                <w:sz w:val="14"/>
              </w:rPr>
            </w:pPr>
            <w:r>
              <w:rPr>
                <w:noProof/>
                <w:sz w:val="14"/>
              </w:rPr>
              <w:t>(3)</w:t>
            </w:r>
          </w:p>
        </w:tc>
        <w:tc>
          <w:tcPr>
            <w:tcW w:w="709" w:type="dxa"/>
            <w:vAlign w:val="center"/>
          </w:tcPr>
          <w:p>
            <w:pPr>
              <w:spacing w:before="40" w:after="40"/>
              <w:jc w:val="right"/>
              <w:rPr>
                <w:b/>
                <w:noProof/>
                <w:sz w:val="20"/>
              </w:rPr>
            </w:pPr>
          </w:p>
        </w:tc>
        <w:tc>
          <w:tcPr>
            <w:tcW w:w="708" w:type="dxa"/>
            <w:vAlign w:val="center"/>
          </w:tcPr>
          <w:p>
            <w:pPr>
              <w:spacing w:before="40" w:after="40"/>
              <w:jc w:val="right"/>
              <w:rPr>
                <w:b/>
                <w:noProof/>
                <w:sz w:val="20"/>
              </w:rPr>
            </w:pPr>
          </w:p>
        </w:tc>
        <w:tc>
          <w:tcPr>
            <w:tcW w:w="709"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5"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518" w:type="dxa"/>
            <w:vAlign w:val="center"/>
          </w:tcPr>
          <w:p>
            <w:pPr>
              <w:spacing w:before="40" w:after="40"/>
              <w:jc w:val="right"/>
              <w:rPr>
                <w:b/>
                <w:noProof/>
                <w:sz w:val="20"/>
              </w:rPr>
            </w:pPr>
          </w:p>
        </w:tc>
      </w:tr>
      <w:tr>
        <w:tc>
          <w:tcPr>
            <w:tcW w:w="2203" w:type="dxa"/>
            <w:vMerge w:val="restart"/>
            <w:vAlign w:val="center"/>
          </w:tcPr>
          <w:p>
            <w:pPr>
              <w:jc w:val="center"/>
              <w:rPr>
                <w:b/>
                <w:noProof/>
              </w:rPr>
            </w:pPr>
            <w:r>
              <w:rPr>
                <w:b/>
                <w:noProof/>
                <w:sz w:val="22"/>
              </w:rPr>
              <w:t>ОБЩО бюджетни кредити</w:t>
            </w:r>
            <w:r>
              <w:rPr>
                <w:noProof/>
              </w:rPr>
              <w:br/>
            </w:r>
            <w:r>
              <w:rPr>
                <w:b/>
                <w:noProof/>
                <w:sz w:val="22"/>
              </w:rPr>
              <w:t>за ГД</w:t>
            </w:r>
            <w:r>
              <w:rPr>
                <w:noProof/>
              </w:rPr>
              <w:t xml:space="preserve"> „Заетост, социални въпроси и приобщаване“, „Регионална политика“ </w:t>
            </w:r>
          </w:p>
        </w:tc>
        <w:tc>
          <w:tcPr>
            <w:tcW w:w="3197" w:type="dxa"/>
            <w:gridSpan w:val="2"/>
            <w:vAlign w:val="center"/>
          </w:tcPr>
          <w:p>
            <w:pPr>
              <w:rPr>
                <w:noProof/>
                <w:sz w:val="18"/>
              </w:rPr>
            </w:pPr>
            <w:r>
              <w:rPr>
                <w:noProof/>
                <w:sz w:val="18"/>
              </w:rPr>
              <w:t>Поети задължения</w:t>
            </w:r>
          </w:p>
        </w:tc>
        <w:tc>
          <w:tcPr>
            <w:tcW w:w="347" w:type="dxa"/>
            <w:vAlign w:val="center"/>
          </w:tcPr>
          <w:p>
            <w:pPr>
              <w:jc w:val="center"/>
              <w:rPr>
                <w:noProof/>
                <w:sz w:val="14"/>
              </w:rPr>
            </w:pPr>
            <w:r>
              <w:rPr>
                <w:noProof/>
                <w:sz w:val="14"/>
              </w:rPr>
              <w:t>=1+1а +3</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r>
              <w:rPr>
                <w:noProof/>
                <w:sz w:val="20"/>
              </w:rPr>
              <w:t>1 626 162 416</w:t>
            </w:r>
          </w:p>
        </w:tc>
        <w:tc>
          <w:tcPr>
            <w:tcW w:w="1276" w:type="dxa"/>
            <w:vAlign w:val="center"/>
          </w:tcPr>
          <w:p>
            <w:pPr>
              <w:spacing w:before="20" w:after="20"/>
              <w:jc w:val="right"/>
              <w:rPr>
                <w:noProof/>
                <w:sz w:val="20"/>
              </w:rPr>
            </w:pPr>
            <w:r>
              <w:rPr>
                <w:noProof/>
                <w:sz w:val="20"/>
              </w:rPr>
              <w:t>1 382 019 001</w:t>
            </w:r>
          </w:p>
        </w:tc>
        <w:tc>
          <w:tcPr>
            <w:tcW w:w="1275" w:type="dxa"/>
            <w:vAlign w:val="center"/>
          </w:tcPr>
          <w:p>
            <w:pPr>
              <w:spacing w:before="20" w:after="20"/>
              <w:jc w:val="right"/>
              <w:rPr>
                <w:noProof/>
                <w:sz w:val="20"/>
              </w:rPr>
            </w:pPr>
            <w:r>
              <w:rPr>
                <w:noProof/>
                <w:sz w:val="20"/>
              </w:rPr>
              <w:t>1 404 992 715</w:t>
            </w:r>
          </w:p>
        </w:tc>
        <w:tc>
          <w:tcPr>
            <w:tcW w:w="1276" w:type="dxa"/>
            <w:vAlign w:val="center"/>
          </w:tcPr>
          <w:p>
            <w:pPr>
              <w:spacing w:before="20" w:after="20"/>
              <w:jc w:val="right"/>
              <w:rPr>
                <w:b/>
                <w:noProof/>
                <w:sz w:val="20"/>
              </w:rPr>
            </w:pPr>
            <w:r>
              <w:rPr>
                <w:noProof/>
                <w:sz w:val="20"/>
              </w:rPr>
              <w:t>1 428 425 901</w:t>
            </w:r>
          </w:p>
        </w:tc>
        <w:tc>
          <w:tcPr>
            <w:tcW w:w="1518" w:type="dxa"/>
            <w:vAlign w:val="center"/>
          </w:tcPr>
          <w:p>
            <w:pPr>
              <w:spacing w:before="20" w:after="20"/>
              <w:jc w:val="right"/>
              <w:rPr>
                <w:b/>
                <w:noProof/>
                <w:sz w:val="20"/>
              </w:rPr>
            </w:pPr>
            <w:r>
              <w:rPr>
                <w:b/>
                <w:noProof/>
                <w:sz w:val="20"/>
              </w:rPr>
              <w:t>5 841 600 033</w:t>
            </w:r>
          </w:p>
        </w:tc>
      </w:tr>
      <w:tr>
        <w:tc>
          <w:tcPr>
            <w:tcW w:w="2203" w:type="dxa"/>
            <w:vMerge/>
          </w:tcPr>
          <w:p>
            <w:pPr>
              <w:rPr>
                <w:noProof/>
                <w:sz w:val="20"/>
              </w:rPr>
            </w:pPr>
          </w:p>
        </w:tc>
        <w:tc>
          <w:tcPr>
            <w:tcW w:w="3197" w:type="dxa"/>
            <w:gridSpan w:val="2"/>
            <w:vAlign w:val="center"/>
          </w:tcPr>
          <w:p>
            <w:pPr>
              <w:rPr>
                <w:noProof/>
                <w:sz w:val="18"/>
              </w:rPr>
            </w:pPr>
            <w:r>
              <w:rPr>
                <w:noProof/>
                <w:sz w:val="18"/>
              </w:rPr>
              <w:t>Плащания</w:t>
            </w:r>
          </w:p>
        </w:tc>
        <w:tc>
          <w:tcPr>
            <w:tcW w:w="347" w:type="dxa"/>
            <w:vAlign w:val="center"/>
          </w:tcPr>
          <w:p>
            <w:pPr>
              <w:jc w:val="center"/>
              <w:rPr>
                <w:noProof/>
                <w:sz w:val="14"/>
              </w:rPr>
            </w:pPr>
            <w:r>
              <w:rPr>
                <w:noProof/>
                <w:sz w:val="14"/>
              </w:rPr>
              <w:t>=2+2а</w:t>
            </w:r>
          </w:p>
          <w:p>
            <w:pPr>
              <w:jc w:val="center"/>
              <w:rPr>
                <w:noProof/>
                <w:sz w:val="14"/>
              </w:rPr>
            </w:pPr>
            <w:r>
              <w:rPr>
                <w:noProof/>
                <w:sz w:val="14"/>
              </w:rPr>
              <w:t>+3</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r>
              <w:rPr>
                <w:noProof/>
                <w:sz w:val="20"/>
              </w:rPr>
              <w:t>85 000 000</w:t>
            </w:r>
          </w:p>
        </w:tc>
        <w:tc>
          <w:tcPr>
            <w:tcW w:w="1276" w:type="dxa"/>
            <w:vAlign w:val="center"/>
          </w:tcPr>
          <w:p>
            <w:pPr>
              <w:spacing w:before="20" w:after="20"/>
              <w:jc w:val="right"/>
              <w:rPr>
                <w:noProof/>
                <w:sz w:val="20"/>
              </w:rPr>
            </w:pPr>
            <w:r>
              <w:rPr>
                <w:noProof/>
                <w:sz w:val="20"/>
              </w:rPr>
              <w:t>339 985 361</w:t>
            </w:r>
          </w:p>
        </w:tc>
        <w:tc>
          <w:tcPr>
            <w:tcW w:w="1275" w:type="dxa"/>
            <w:vAlign w:val="center"/>
          </w:tcPr>
          <w:p>
            <w:pPr>
              <w:spacing w:before="20" w:after="20"/>
              <w:jc w:val="right"/>
              <w:rPr>
                <w:noProof/>
                <w:sz w:val="20"/>
              </w:rPr>
            </w:pPr>
            <w:r>
              <w:rPr>
                <w:noProof/>
                <w:sz w:val="20"/>
              </w:rPr>
              <w:t>472 479 242</w:t>
            </w:r>
          </w:p>
        </w:tc>
        <w:tc>
          <w:tcPr>
            <w:tcW w:w="1276" w:type="dxa"/>
            <w:vAlign w:val="center"/>
          </w:tcPr>
          <w:p>
            <w:pPr>
              <w:spacing w:before="20" w:after="20"/>
              <w:jc w:val="right"/>
              <w:rPr>
                <w:noProof/>
                <w:sz w:val="20"/>
              </w:rPr>
            </w:pPr>
            <w:r>
              <w:rPr>
                <w:noProof/>
                <w:sz w:val="20"/>
              </w:rPr>
              <w:t>863 846 276</w:t>
            </w:r>
          </w:p>
        </w:tc>
        <w:tc>
          <w:tcPr>
            <w:tcW w:w="1518" w:type="dxa"/>
            <w:vAlign w:val="center"/>
          </w:tcPr>
          <w:p>
            <w:pPr>
              <w:spacing w:before="20" w:after="20"/>
              <w:jc w:val="center"/>
              <w:rPr>
                <w:b/>
                <w:noProof/>
                <w:sz w:val="20"/>
              </w:rPr>
            </w:pPr>
            <w:r>
              <w:rPr>
                <w:b/>
                <w:noProof/>
                <w:sz w:val="20"/>
              </w:rPr>
              <w:t>1 761 310 878</w:t>
            </w:r>
          </w:p>
        </w:tc>
      </w:tr>
    </w:tbl>
    <w:p>
      <w:pPr>
        <w:rPr>
          <w:noProof/>
          <w:sz w:val="16"/>
        </w:rPr>
      </w:pPr>
    </w:p>
    <w:p>
      <w:pPr>
        <w:rPr>
          <w:noProof/>
          <w:sz w:val="16"/>
        </w:rPr>
      </w:pPr>
    </w:p>
    <w:p>
      <w:pPr>
        <w:rPr>
          <w:noProof/>
        </w:rPr>
      </w:pPr>
    </w:p>
    <w:tbl>
      <w:tblPr>
        <w:tblW w:w="14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026"/>
        <w:gridCol w:w="1320"/>
        <w:gridCol w:w="891"/>
        <w:gridCol w:w="1066"/>
        <w:gridCol w:w="1200"/>
        <w:gridCol w:w="480"/>
        <w:gridCol w:w="1173"/>
        <w:gridCol w:w="1214"/>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vAlign w:val="center"/>
          </w:tcPr>
          <w:p>
            <w:pPr>
              <w:spacing w:before="20" w:after="20"/>
              <w:jc w:val="right"/>
              <w:rPr>
                <w:noProof/>
                <w:sz w:val="20"/>
              </w:rPr>
            </w:pPr>
            <w:r>
              <w:rPr>
                <w:noProof/>
                <w:sz w:val="20"/>
              </w:rPr>
              <w:t>0</w:t>
            </w:r>
          </w:p>
        </w:tc>
        <w:tc>
          <w:tcPr>
            <w:tcW w:w="1200" w:type="dxa"/>
            <w:vAlign w:val="center"/>
          </w:tcPr>
          <w:p>
            <w:pPr>
              <w:spacing w:before="20" w:after="20"/>
              <w:jc w:val="right"/>
              <w:rPr>
                <w:noProof/>
                <w:sz w:val="20"/>
              </w:rPr>
            </w:pPr>
            <w:r>
              <w:rPr>
                <w:noProof/>
                <w:sz w:val="20"/>
              </w:rPr>
              <w:t>0</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p>
        </w:tc>
        <w:tc>
          <w:tcPr>
            <w:tcW w:w="891" w:type="dxa"/>
            <w:vAlign w:val="center"/>
          </w:tcPr>
          <w:p>
            <w:pPr>
              <w:spacing w:before="20" w:after="20"/>
              <w:jc w:val="right"/>
              <w:rPr>
                <w:noProof/>
                <w:sz w:val="20"/>
              </w:rPr>
            </w:pPr>
          </w:p>
        </w:tc>
        <w:tc>
          <w:tcPr>
            <w:tcW w:w="1066" w:type="dxa"/>
            <w:vAlign w:val="center"/>
          </w:tcPr>
          <w:p>
            <w:pPr>
              <w:spacing w:before="20" w:after="20"/>
              <w:jc w:val="right"/>
              <w:rPr>
                <w:noProof/>
                <w:sz w:val="20"/>
              </w:rPr>
            </w:pPr>
          </w:p>
        </w:tc>
        <w:tc>
          <w:tcPr>
            <w:tcW w:w="1200" w:type="dxa"/>
            <w:vAlign w:val="center"/>
          </w:tcPr>
          <w:p>
            <w:pPr>
              <w:spacing w:before="20" w:after="20"/>
              <w:jc w:val="right"/>
              <w:rPr>
                <w:noProof/>
                <w:sz w:val="20"/>
              </w:rPr>
            </w:pPr>
          </w:p>
        </w:tc>
        <w:tc>
          <w:tcPr>
            <w:tcW w:w="480" w:type="dxa"/>
            <w:vAlign w:val="center"/>
          </w:tcPr>
          <w:p>
            <w:pPr>
              <w:spacing w:before="20" w:after="20"/>
              <w:jc w:val="right"/>
              <w:rPr>
                <w:noProof/>
                <w:sz w:val="20"/>
              </w:rPr>
            </w:pPr>
          </w:p>
        </w:tc>
        <w:tc>
          <w:tcPr>
            <w:tcW w:w="1173" w:type="dxa"/>
            <w:vAlign w:val="center"/>
          </w:tcPr>
          <w:p>
            <w:pPr>
              <w:spacing w:before="20" w:after="20"/>
              <w:jc w:val="right"/>
              <w:rPr>
                <w:noProof/>
                <w:sz w:val="20"/>
              </w:rPr>
            </w:pPr>
          </w:p>
        </w:tc>
        <w:tc>
          <w:tcPr>
            <w:tcW w:w="1214"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1026" w:type="dxa"/>
            <w:vAlign w:val="center"/>
          </w:tcPr>
          <w:p>
            <w:pPr>
              <w:spacing w:before="20" w:after="20"/>
              <w:jc w:val="right"/>
              <w:rPr>
                <w:b/>
                <w:noProof/>
                <w:sz w:val="20"/>
              </w:rPr>
            </w:pPr>
            <w:r>
              <w:rPr>
                <w:b/>
                <w:noProof/>
                <w:sz w:val="20"/>
              </w:rPr>
              <w:t>0</w:t>
            </w:r>
          </w:p>
        </w:tc>
        <w:tc>
          <w:tcPr>
            <w:tcW w:w="1320" w:type="dxa"/>
            <w:vAlign w:val="center"/>
          </w:tcPr>
          <w:p>
            <w:pPr>
              <w:spacing w:before="20" w:after="20"/>
              <w:jc w:val="right"/>
              <w:rPr>
                <w:b/>
                <w:noProof/>
                <w:sz w:val="20"/>
              </w:rPr>
            </w:pPr>
            <w:r>
              <w:rPr>
                <w:b/>
                <w:noProof/>
                <w:sz w:val="20"/>
              </w:rPr>
              <w:t>0</w:t>
            </w:r>
          </w:p>
        </w:tc>
        <w:tc>
          <w:tcPr>
            <w:tcW w:w="891" w:type="dxa"/>
            <w:vAlign w:val="center"/>
          </w:tcPr>
          <w:p>
            <w:pPr>
              <w:spacing w:before="20" w:after="20"/>
              <w:jc w:val="right"/>
              <w:rPr>
                <w:b/>
                <w:noProof/>
                <w:sz w:val="20"/>
              </w:rPr>
            </w:pPr>
            <w:r>
              <w:rPr>
                <w:b/>
                <w:noProof/>
                <w:sz w:val="20"/>
              </w:rPr>
              <w:t>0</w:t>
            </w:r>
          </w:p>
        </w:tc>
        <w:tc>
          <w:tcPr>
            <w:tcW w:w="1066" w:type="dxa"/>
            <w:vAlign w:val="center"/>
          </w:tcPr>
          <w:p>
            <w:pPr>
              <w:spacing w:before="20" w:after="20"/>
              <w:jc w:val="right"/>
              <w:rPr>
                <w:b/>
                <w:noProof/>
                <w:sz w:val="20"/>
              </w:rPr>
            </w:pPr>
            <w:r>
              <w:rPr>
                <w:b/>
                <w:noProof/>
                <w:sz w:val="20"/>
              </w:rPr>
              <w:t>0</w:t>
            </w:r>
          </w:p>
        </w:tc>
        <w:tc>
          <w:tcPr>
            <w:tcW w:w="1200" w:type="dxa"/>
            <w:vAlign w:val="center"/>
          </w:tcPr>
          <w:p>
            <w:pPr>
              <w:spacing w:before="20" w:after="20"/>
              <w:jc w:val="right"/>
              <w:rPr>
                <w:b/>
                <w:noProof/>
                <w:sz w:val="20"/>
              </w:rPr>
            </w:pPr>
            <w:r>
              <w:rPr>
                <w:b/>
                <w:noProof/>
                <w:sz w:val="20"/>
              </w:rPr>
              <w:t>0</w:t>
            </w:r>
          </w:p>
        </w:tc>
        <w:tc>
          <w:tcPr>
            <w:tcW w:w="480" w:type="dxa"/>
            <w:vAlign w:val="center"/>
          </w:tcPr>
          <w:p>
            <w:pPr>
              <w:spacing w:before="20" w:after="20"/>
              <w:jc w:val="right"/>
              <w:rPr>
                <w:b/>
                <w:noProof/>
                <w:sz w:val="20"/>
              </w:rPr>
            </w:pPr>
            <w:r>
              <w:rPr>
                <w:b/>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val="restart"/>
            <w:shd w:val="thinDiagStripe" w:color="C0C0C0" w:fill="auto"/>
            <w:vAlign w:val="center"/>
          </w:tcPr>
          <w:p>
            <w:pPr>
              <w:jc w:val="center"/>
              <w:rPr>
                <w:b/>
                <w:noProof/>
              </w:rPr>
            </w:pPr>
            <w:r>
              <w:rPr>
                <w:b/>
                <w:noProof/>
                <w:sz w:val="22"/>
              </w:rPr>
              <w:t>ОБЩО бюджетни кредити</w:t>
            </w:r>
            <w:r>
              <w:rPr>
                <w:noProof/>
              </w:rPr>
              <w:br/>
            </w:r>
            <w:r>
              <w:rPr>
                <w:b/>
                <w:noProof/>
                <w:sz w:val="22"/>
              </w:rPr>
              <w:t>за ФУНКЦИЯ 1</w:t>
            </w:r>
            <w:r>
              <w:rPr>
                <w:noProof/>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vAlign w:val="center"/>
          </w:tcPr>
          <w:p>
            <w:pPr>
              <w:spacing w:before="20" w:after="20"/>
              <w:jc w:val="right"/>
              <w:rPr>
                <w:noProof/>
                <w:sz w:val="20"/>
              </w:rPr>
            </w:pPr>
            <w:r>
              <w:rPr>
                <w:noProof/>
                <w:sz w:val="20"/>
              </w:rPr>
              <w:t>0</w:t>
            </w:r>
          </w:p>
        </w:tc>
        <w:tc>
          <w:tcPr>
            <w:tcW w:w="1200" w:type="dxa"/>
            <w:vAlign w:val="center"/>
          </w:tcPr>
          <w:p>
            <w:pPr>
              <w:spacing w:before="20" w:after="20"/>
              <w:jc w:val="right"/>
              <w:rPr>
                <w:noProof/>
                <w:sz w:val="20"/>
              </w:rPr>
            </w:pPr>
            <w:r>
              <w:rPr>
                <w:noProof/>
                <w:sz w:val="20"/>
              </w:rPr>
              <w:t>0</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p>
        </w:tc>
        <w:tc>
          <w:tcPr>
            <w:tcW w:w="891" w:type="dxa"/>
            <w:vAlign w:val="center"/>
          </w:tcPr>
          <w:p>
            <w:pPr>
              <w:spacing w:before="20" w:after="20"/>
              <w:jc w:val="right"/>
              <w:rPr>
                <w:noProof/>
                <w:sz w:val="20"/>
              </w:rPr>
            </w:pPr>
          </w:p>
        </w:tc>
        <w:tc>
          <w:tcPr>
            <w:tcW w:w="1066" w:type="dxa"/>
            <w:vAlign w:val="center"/>
          </w:tcPr>
          <w:p>
            <w:pPr>
              <w:spacing w:before="20" w:after="20"/>
              <w:jc w:val="right"/>
              <w:rPr>
                <w:noProof/>
                <w:sz w:val="20"/>
              </w:rPr>
            </w:pPr>
          </w:p>
        </w:tc>
        <w:tc>
          <w:tcPr>
            <w:tcW w:w="1200" w:type="dxa"/>
            <w:vAlign w:val="center"/>
          </w:tcPr>
          <w:p>
            <w:pPr>
              <w:spacing w:before="20" w:after="20"/>
              <w:jc w:val="right"/>
              <w:rPr>
                <w:noProof/>
                <w:sz w:val="20"/>
              </w:rPr>
            </w:pPr>
          </w:p>
        </w:tc>
        <w:tc>
          <w:tcPr>
            <w:tcW w:w="480" w:type="dxa"/>
            <w:vAlign w:val="center"/>
          </w:tcPr>
          <w:p>
            <w:pPr>
              <w:spacing w:before="20" w:after="20"/>
              <w:jc w:val="right"/>
              <w:rPr>
                <w:noProof/>
                <w:sz w:val="20"/>
              </w:rPr>
            </w:pPr>
          </w:p>
        </w:tc>
        <w:tc>
          <w:tcPr>
            <w:tcW w:w="1173" w:type="dxa"/>
            <w:vAlign w:val="center"/>
          </w:tcPr>
          <w:p>
            <w:pPr>
              <w:spacing w:before="20" w:after="20"/>
              <w:jc w:val="right"/>
              <w:rPr>
                <w:noProof/>
                <w:sz w:val="20"/>
              </w:rPr>
            </w:pPr>
          </w:p>
        </w:tc>
        <w:tc>
          <w:tcPr>
            <w:tcW w:w="1214" w:type="dxa"/>
            <w:vAlign w:val="center"/>
          </w:tcPr>
          <w:p>
            <w:pPr>
              <w:spacing w:before="20" w:after="20"/>
              <w:jc w:val="right"/>
              <w:rPr>
                <w:b/>
                <w:noProof/>
                <w:sz w:val="20"/>
              </w:rPr>
            </w:pPr>
            <w:r>
              <w:rPr>
                <w:b/>
                <w:noProof/>
                <w:sz w:val="20"/>
              </w:rPr>
              <w:t>0</w:t>
            </w:r>
          </w:p>
        </w:tc>
      </w:tr>
      <w:tr>
        <w:tc>
          <w:tcPr>
            <w:tcW w:w="3960" w:type="dxa"/>
            <w:shd w:val="thinDiagStripe" w:color="C0C0C0" w:fill="auto"/>
          </w:tcPr>
          <w:p>
            <w:pPr>
              <w:rPr>
                <w:noProof/>
                <w:sz w:val="20"/>
              </w:rPr>
            </w:pPr>
          </w:p>
        </w:tc>
        <w:tc>
          <w:tcPr>
            <w:tcW w:w="1440" w:type="dxa"/>
            <w:vAlign w:val="center"/>
          </w:tcPr>
          <w:p>
            <w:pPr>
              <w:rPr>
                <w:noProof/>
                <w:sz w:val="18"/>
              </w:rPr>
            </w:pPr>
          </w:p>
        </w:tc>
        <w:tc>
          <w:tcPr>
            <w:tcW w:w="654" w:type="dxa"/>
            <w:vAlign w:val="center"/>
          </w:tcPr>
          <w:p>
            <w:pPr>
              <w:jc w:val="center"/>
              <w:rPr>
                <w:noProof/>
                <w:sz w:val="14"/>
              </w:rPr>
            </w:pPr>
          </w:p>
        </w:tc>
        <w:tc>
          <w:tcPr>
            <w:tcW w:w="1026"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891" w:type="dxa"/>
            <w:vAlign w:val="center"/>
          </w:tcPr>
          <w:p>
            <w:pPr>
              <w:spacing w:before="20" w:after="20"/>
              <w:jc w:val="right"/>
              <w:rPr>
                <w:noProof/>
                <w:sz w:val="20"/>
              </w:rPr>
            </w:pPr>
          </w:p>
        </w:tc>
        <w:tc>
          <w:tcPr>
            <w:tcW w:w="1066" w:type="dxa"/>
            <w:vAlign w:val="center"/>
          </w:tcPr>
          <w:p>
            <w:pPr>
              <w:spacing w:before="20" w:after="20"/>
              <w:jc w:val="right"/>
              <w:rPr>
                <w:noProof/>
                <w:sz w:val="20"/>
              </w:rPr>
            </w:pPr>
          </w:p>
        </w:tc>
        <w:tc>
          <w:tcPr>
            <w:tcW w:w="1200" w:type="dxa"/>
            <w:vAlign w:val="center"/>
          </w:tcPr>
          <w:p>
            <w:pPr>
              <w:spacing w:before="20" w:after="20"/>
              <w:jc w:val="right"/>
              <w:rPr>
                <w:b/>
                <w:noProof/>
                <w:sz w:val="20"/>
              </w:rPr>
            </w:pPr>
          </w:p>
        </w:tc>
        <w:tc>
          <w:tcPr>
            <w:tcW w:w="480" w:type="dxa"/>
            <w:vAlign w:val="center"/>
          </w:tcPr>
          <w:p>
            <w:pPr>
              <w:spacing w:before="20" w:after="20"/>
              <w:jc w:val="right"/>
              <w:rPr>
                <w:noProof/>
                <w:sz w:val="20"/>
              </w:rPr>
            </w:pPr>
          </w:p>
        </w:tc>
        <w:tc>
          <w:tcPr>
            <w:tcW w:w="1173" w:type="dxa"/>
            <w:vAlign w:val="center"/>
          </w:tcPr>
          <w:p>
            <w:pPr>
              <w:spacing w:before="20" w:after="20"/>
              <w:jc w:val="right"/>
              <w:rPr>
                <w:b/>
                <w:noProof/>
                <w:sz w:val="20"/>
              </w:rPr>
            </w:pPr>
          </w:p>
        </w:tc>
        <w:tc>
          <w:tcPr>
            <w:tcW w:w="1214" w:type="dxa"/>
            <w:vAlign w:val="center"/>
          </w:tcPr>
          <w:p>
            <w:pPr>
              <w:spacing w:before="20" w:after="20"/>
              <w:jc w:val="right"/>
              <w:rPr>
                <w:b/>
                <w:noProof/>
                <w:sz w:val="20"/>
              </w:rPr>
            </w:pPr>
          </w:p>
        </w:tc>
      </w:tr>
    </w:tbl>
    <w:p>
      <w:pPr>
        <w:rPr>
          <w:b/>
          <w:noProof/>
          <w:sz w:val="22"/>
          <w:u w:val="single"/>
        </w:rPr>
      </w:pPr>
      <w:r>
        <w:rPr>
          <w:noProof/>
        </w:rPr>
        <w:br/>
      </w:r>
      <w:r>
        <w:rPr>
          <w:noProof/>
        </w:rPr>
        <w:br/>
      </w:r>
    </w:p>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386"/>
        <w:gridCol w:w="960"/>
        <w:gridCol w:w="840"/>
        <w:gridCol w:w="840"/>
        <w:gridCol w:w="720"/>
        <w:gridCol w:w="720"/>
        <w:gridCol w:w="960"/>
        <w:gridCol w:w="142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ОБЩО бюджетни кредити за оперативни разходи</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1386"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b/>
                <w:noProof/>
                <w:sz w:val="20"/>
              </w:rPr>
            </w:pPr>
          </w:p>
        </w:tc>
        <w:tc>
          <w:tcPr>
            <w:tcW w:w="142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1386"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142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ОБЩО бюджетни кредити</w:t>
            </w:r>
            <w:r>
              <w:rPr>
                <w:noProof/>
              </w:rPr>
              <w:br/>
            </w:r>
            <w:r>
              <w:rPr>
                <w:b/>
                <w:noProof/>
                <w:sz w:val="22"/>
              </w:rPr>
              <w:t>за ФУНКЦИИ 1—4</w:t>
            </w:r>
            <w:r>
              <w:rPr>
                <w:noProof/>
              </w:rPr>
              <w:br/>
            </w:r>
            <w:r>
              <w:rPr>
                <w:noProof/>
                <w:sz w:val="22"/>
              </w:rPr>
              <w:t>от многогодишната финансова рамка</w:t>
            </w:r>
            <w:r>
              <w:rPr>
                <w:noProof/>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=5+ 6</w:t>
            </w:r>
          </w:p>
        </w:tc>
        <w:tc>
          <w:tcPr>
            <w:tcW w:w="1386" w:type="dxa"/>
            <w:tcBorders>
              <w:bottom w:val="single" w:sz="4" w:space="0" w:color="auto"/>
            </w:tcBorders>
            <w:vAlign w:val="center"/>
          </w:tcPr>
          <w:p>
            <w:pPr>
              <w:spacing w:before="20" w:after="20"/>
              <w:jc w:val="right"/>
              <w:rPr>
                <w:noProof/>
                <w:sz w:val="20"/>
              </w:rPr>
            </w:pPr>
            <w:r>
              <w:rPr>
                <w:noProof/>
                <w:sz w:val="20"/>
              </w:rPr>
              <w:t>0</w:t>
            </w:r>
          </w:p>
        </w:tc>
        <w:tc>
          <w:tcPr>
            <w:tcW w:w="96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960" w:type="dxa"/>
            <w:tcBorders>
              <w:bottom w:val="single" w:sz="4" w:space="0" w:color="auto"/>
            </w:tcBorders>
            <w:vAlign w:val="center"/>
          </w:tcPr>
          <w:p>
            <w:pPr>
              <w:spacing w:before="20" w:after="20"/>
              <w:jc w:val="right"/>
              <w:rPr>
                <w:b/>
                <w:noProof/>
                <w:sz w:val="20"/>
              </w:rPr>
            </w:pPr>
          </w:p>
        </w:tc>
        <w:tc>
          <w:tcPr>
            <w:tcW w:w="1427" w:type="dxa"/>
            <w:tcBorders>
              <w:bottom w:val="single" w:sz="4" w:space="0" w:color="auto"/>
              <w:right w:val="single" w:sz="4" w:space="0" w:color="auto"/>
            </w:tcBorders>
            <w:vAlign w:val="center"/>
          </w:tcPr>
          <w:p>
            <w:pPr>
              <w:spacing w:before="20" w:after="20"/>
              <w:jc w:val="right"/>
              <w:rPr>
                <w:b/>
                <w:noProof/>
                <w:sz w:val="20"/>
              </w:rPr>
            </w:pPr>
            <w:r>
              <w:rPr>
                <w:b/>
                <w:noProof/>
                <w:sz w:val="20"/>
              </w:rPr>
              <w:t>0</w:t>
            </w:r>
          </w:p>
        </w:tc>
      </w:tr>
    </w:tbl>
    <w:p>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Функция от многогодишната финансова</w:t>
            </w:r>
            <w:r>
              <w:rPr>
                <w:noProof/>
              </w:rPr>
              <w:br/>
            </w:r>
            <w:r>
              <w:rPr>
                <w:b/>
                <w:noProof/>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В 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br/>
            </w:r>
            <w:r>
              <w:rPr>
                <w:b/>
                <w:noProof/>
                <w:sz w:val="20"/>
              </w:rPr>
              <w:t>N</w:t>
            </w:r>
          </w:p>
        </w:tc>
        <w:tc>
          <w:tcPr>
            <w:tcW w:w="868" w:type="dxa"/>
            <w:vAlign w:val="center"/>
          </w:tcPr>
          <w:p>
            <w:pPr>
              <w:jc w:val="center"/>
              <w:rPr>
                <w:noProof/>
                <w:sz w:val="20"/>
              </w:rPr>
            </w:pPr>
            <w:r>
              <w:rPr>
                <w:noProof/>
                <w:sz w:val="20"/>
              </w:rPr>
              <w:t>Година</w:t>
            </w:r>
            <w:r>
              <w:rPr>
                <w:noProof/>
              </w:rPr>
              <w:br/>
            </w:r>
            <w:r>
              <w:rPr>
                <w:b/>
                <w:noProof/>
                <w:sz w:val="20"/>
              </w:rPr>
              <w:t>N+1</w:t>
            </w:r>
          </w:p>
        </w:tc>
        <w:tc>
          <w:tcPr>
            <w:tcW w:w="868" w:type="dxa"/>
            <w:vAlign w:val="center"/>
          </w:tcPr>
          <w:p>
            <w:pPr>
              <w:jc w:val="center"/>
              <w:rPr>
                <w:noProof/>
                <w:sz w:val="20"/>
              </w:rPr>
            </w:pPr>
            <w:r>
              <w:rPr>
                <w:noProof/>
                <w:sz w:val="20"/>
              </w:rPr>
              <w:t>Година</w:t>
            </w:r>
            <w:r>
              <w:rPr>
                <w:noProof/>
              </w:rPr>
              <w:br/>
            </w:r>
            <w:r>
              <w:rPr>
                <w:b/>
                <w:noProof/>
                <w:sz w:val="20"/>
              </w:rPr>
              <w:t>N+2</w:t>
            </w:r>
          </w:p>
        </w:tc>
        <w:tc>
          <w:tcPr>
            <w:tcW w:w="868" w:type="dxa"/>
            <w:vAlign w:val="center"/>
          </w:tcPr>
          <w:p>
            <w:pPr>
              <w:jc w:val="center"/>
              <w:rPr>
                <w:noProof/>
                <w:sz w:val="20"/>
              </w:rPr>
            </w:pPr>
            <w:r>
              <w:rPr>
                <w:noProof/>
                <w:sz w:val="20"/>
              </w:rPr>
              <w:t>Година</w:t>
            </w:r>
            <w:r>
              <w:rPr>
                <w:noProof/>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 xml:space="preserve">ГД: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ОБЩО ГД</w:t>
            </w:r>
            <w:r>
              <w:rPr>
                <w:noProof/>
              </w:rPr>
              <w:t xml:space="preserve"> &lt;….&gt;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rPr>
              <w:br/>
            </w:r>
            <w:r>
              <w:rPr>
                <w:b/>
                <w:noProof/>
                <w:sz w:val="22"/>
              </w:rPr>
              <w:t>за ФУНКЦИЯ 5</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В 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br/>
            </w:r>
            <w:r>
              <w:rPr>
                <w:b/>
                <w:noProof/>
                <w:sz w:val="20"/>
              </w:rPr>
              <w:t>N</w:t>
            </w:r>
            <w:r>
              <w:rPr>
                <w:rStyle w:val="FootnoteReference"/>
                <w:b/>
                <w:noProof/>
                <w:sz w:val="20"/>
              </w:rPr>
              <w:footnoteReference w:id="22"/>
            </w:r>
          </w:p>
        </w:tc>
        <w:tc>
          <w:tcPr>
            <w:tcW w:w="868" w:type="dxa"/>
            <w:vAlign w:val="center"/>
          </w:tcPr>
          <w:p>
            <w:pPr>
              <w:jc w:val="center"/>
              <w:rPr>
                <w:noProof/>
                <w:sz w:val="20"/>
              </w:rPr>
            </w:pPr>
            <w:r>
              <w:rPr>
                <w:noProof/>
                <w:sz w:val="20"/>
              </w:rPr>
              <w:t>Година</w:t>
            </w:r>
            <w:r>
              <w:rPr>
                <w:noProof/>
              </w:rPr>
              <w:br/>
            </w:r>
            <w:r>
              <w:rPr>
                <w:b/>
                <w:noProof/>
                <w:sz w:val="20"/>
              </w:rPr>
              <w:t>N+1</w:t>
            </w:r>
          </w:p>
        </w:tc>
        <w:tc>
          <w:tcPr>
            <w:tcW w:w="868" w:type="dxa"/>
            <w:vAlign w:val="center"/>
          </w:tcPr>
          <w:p>
            <w:pPr>
              <w:jc w:val="center"/>
              <w:rPr>
                <w:noProof/>
                <w:sz w:val="20"/>
              </w:rPr>
            </w:pPr>
            <w:r>
              <w:rPr>
                <w:noProof/>
                <w:sz w:val="20"/>
              </w:rPr>
              <w:t>Година</w:t>
            </w:r>
            <w:r>
              <w:rPr>
                <w:noProof/>
              </w:rPr>
              <w:br/>
            </w:r>
            <w:r>
              <w:rPr>
                <w:b/>
                <w:noProof/>
                <w:sz w:val="20"/>
              </w:rPr>
              <w:t>N+2</w:t>
            </w:r>
          </w:p>
        </w:tc>
        <w:tc>
          <w:tcPr>
            <w:tcW w:w="868" w:type="dxa"/>
            <w:vAlign w:val="center"/>
          </w:tcPr>
          <w:p>
            <w:pPr>
              <w:jc w:val="center"/>
              <w:rPr>
                <w:noProof/>
                <w:sz w:val="20"/>
              </w:rPr>
            </w:pPr>
            <w:r>
              <w:rPr>
                <w:noProof/>
                <w:sz w:val="20"/>
              </w:rPr>
              <w:t>Година</w:t>
            </w:r>
            <w:r>
              <w:rPr>
                <w:noProof/>
              </w:rPr>
              <w:br/>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ОБЩО бюджетни кредити</w:t>
            </w:r>
            <w:r>
              <w:rPr>
                <w:noProof/>
              </w:rPr>
              <w:br/>
            </w:r>
            <w:r>
              <w:rPr>
                <w:b/>
                <w:noProof/>
                <w:sz w:val="22"/>
              </w:rPr>
              <w:t>за ФУНКЦИИ 1—5</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оперативни разходи, както е пояснено по-долу:</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rPr>
              <w:br/>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23"/>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 на резултатите</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24"/>
            </w:r>
            <w:r>
              <w:rPr>
                <w:noProof/>
                <w:sz w:val="18"/>
              </w:rPr>
              <w:t xml:space="preserve">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Очаквано отражение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pStyle w:val="ListDash1"/>
        <w:rPr>
          <w:noProof/>
        </w:rPr>
      </w:pPr>
      <w:r>
        <w:rPr>
          <w:noProof/>
        </w:rPr>
        <w:sym w:font="Wingdings" w:char="F07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както е пояснено по-долу:</w:t>
      </w:r>
    </w:p>
    <w:p>
      <w:pPr>
        <w:rPr>
          <w:noProof/>
          <w:sz w:val="20"/>
        </w:rPr>
      </w:pPr>
      <w:r>
        <w:rPr>
          <w:noProof/>
          <w:sz w:val="20"/>
        </w:rPr>
        <w:t>В 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rPr>
              <w:br/>
            </w:r>
            <w:r>
              <w:rPr>
                <w:b/>
                <w:noProof/>
                <w:sz w:val="16"/>
              </w:rPr>
              <w:t>N</w:t>
            </w:r>
            <w:r>
              <w:rPr>
                <w:rStyle w:val="FootnoteReference"/>
                <w:b/>
                <w:noProof/>
                <w:sz w:val="16"/>
              </w:rPr>
              <w:footnoteReference w:id="25"/>
            </w:r>
          </w:p>
        </w:tc>
        <w:tc>
          <w:tcPr>
            <w:tcW w:w="1080" w:type="dxa"/>
            <w:vAlign w:val="center"/>
          </w:tcPr>
          <w:p>
            <w:pPr>
              <w:spacing w:before="60" w:after="60" w:line="200" w:lineRule="exact"/>
              <w:jc w:val="center"/>
              <w:rPr>
                <w:noProof/>
                <w:sz w:val="16"/>
                <w:szCs w:val="16"/>
              </w:rPr>
            </w:pPr>
            <w:r>
              <w:rPr>
                <w:noProof/>
                <w:sz w:val="16"/>
              </w:rPr>
              <w:t>Година</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6"/>
            </w:r>
            <w:r>
              <w:rPr>
                <w:noProof/>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rPr>
              <w:br/>
            </w:r>
            <w:r>
              <w:rPr>
                <w:b/>
                <w:noProof/>
                <w:sz w:val="16"/>
              </w:rPr>
              <w:t>извън ФУНКЦИЯ 5</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действието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rPr>
        <w:tab/>
      </w:r>
    </w:p>
    <w:p>
      <w:pPr>
        <w:pStyle w:val="ManualHeading4"/>
        <w:rPr>
          <w:bCs/>
          <w:noProof/>
          <w:szCs w:val="24"/>
        </w:rPr>
      </w:pPr>
      <w:r>
        <w:rPr>
          <w:noProof/>
        </w:rPr>
        <w:t>3.2.3.2.</w:t>
      </w:r>
      <w:r>
        <w:rPr>
          <w:noProof/>
        </w:rPr>
        <w:tab/>
        <w:t>Очаквани нужди от човешки ресурси</w:t>
      </w:r>
    </w:p>
    <w:p>
      <w:pPr>
        <w:pStyle w:val="ListDash1"/>
        <w:rPr>
          <w:noProof/>
        </w:rPr>
      </w:pPr>
      <w:r>
        <w:rPr>
          <w:noProof/>
        </w:rPr>
        <w:sym w:font="Wingdings" w:char="F07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Разчетните данни се посочват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Година</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Година</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345" w:type="pct"/>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Длъжности в щатното разписание (длъжностни лица и временно наети лица)</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ЕПРВ)</w:t>
            </w:r>
            <w:r>
              <w:rPr>
                <w:rStyle w:val="FootnoteReference"/>
                <w:b/>
                <w:noProof/>
                <w:sz w:val="16"/>
              </w:rPr>
              <w:footnoteReference w:id="27"/>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rPr>
              <w:t xml:space="preserve"> </w:t>
            </w:r>
            <w:r>
              <w:rPr>
                <w:noProof/>
                <w:sz w:val="16"/>
              </w:rPr>
              <w:t xml:space="preserve">01 04 </w:t>
            </w:r>
            <w:r>
              <w:rPr>
                <w:b/>
                <w:noProof/>
                <w:sz w:val="16"/>
              </w:rPr>
              <w:t>yy</w:t>
            </w:r>
            <w:r>
              <w:rPr>
                <w:b/>
                <w:i/>
                <w:noProof/>
                <w:sz w:val="16"/>
              </w:rPr>
              <w:t xml:space="preserve"> </w:t>
            </w:r>
            <w:r>
              <w:rPr>
                <w:rStyle w:val="FootnoteReference"/>
                <w:b/>
                <w:i/>
                <w:noProof/>
                <w:sz w:val="16"/>
              </w:rPr>
              <w:footnoteReference w:id="28"/>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w:t>
            </w:r>
            <w:r>
              <w:rPr>
                <w:noProof/>
                <w:sz w:val="16"/>
              </w:rPr>
              <w:t>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rPr>
        <w:t xml:space="preserve"> </w:t>
      </w:r>
      <w:r>
        <w:rPr>
          <w:noProof/>
          <w:sz w:val="18"/>
        </w:rPr>
        <w:t>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rPr>
          <w:noProof/>
        </w:rPr>
      </w:pPr>
      <w:r>
        <w:rPr>
          <w:noProof/>
        </w:rPr>
        <w:sym w:font="Wingdings" w:char="F07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r>
        <w:rPr>
          <w:noProof/>
        </w:rPr>
        <w:t>3.2.5.</w:t>
      </w:r>
      <w:r>
        <w:rPr>
          <w:noProof/>
        </w:rPr>
        <w:tab/>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rPr>
              <w:br/>
            </w:r>
            <w:r>
              <w:rPr>
                <w:b/>
                <w:noProof/>
                <w:sz w:val="20"/>
              </w:rPr>
              <w:t>N</w:t>
            </w:r>
          </w:p>
        </w:tc>
        <w:tc>
          <w:tcPr>
            <w:tcW w:w="964" w:type="dxa"/>
            <w:vAlign w:val="center"/>
          </w:tcPr>
          <w:p>
            <w:pPr>
              <w:jc w:val="center"/>
              <w:rPr>
                <w:noProof/>
                <w:sz w:val="20"/>
              </w:rPr>
            </w:pPr>
            <w:r>
              <w:rPr>
                <w:noProof/>
                <w:sz w:val="20"/>
              </w:rPr>
              <w:t>Година</w:t>
            </w:r>
            <w:r>
              <w:rPr>
                <w:noProof/>
              </w:rPr>
              <w:br/>
            </w:r>
            <w:r>
              <w:rPr>
                <w:b/>
                <w:noProof/>
                <w:sz w:val="20"/>
              </w:rPr>
              <w:t>N+1</w:t>
            </w:r>
          </w:p>
        </w:tc>
        <w:tc>
          <w:tcPr>
            <w:tcW w:w="964" w:type="dxa"/>
            <w:vAlign w:val="center"/>
          </w:tcPr>
          <w:p>
            <w:pPr>
              <w:jc w:val="center"/>
              <w:rPr>
                <w:noProof/>
                <w:sz w:val="20"/>
              </w:rPr>
            </w:pPr>
            <w:r>
              <w:rPr>
                <w:noProof/>
                <w:sz w:val="20"/>
              </w:rPr>
              <w:t>Година</w:t>
            </w:r>
            <w:r>
              <w:rPr>
                <w:noProof/>
              </w:rPr>
              <w:br/>
            </w:r>
            <w:r>
              <w:rPr>
                <w:b/>
                <w:noProof/>
                <w:sz w:val="20"/>
              </w:rPr>
              <w:t>N+2</w:t>
            </w:r>
          </w:p>
        </w:tc>
        <w:tc>
          <w:tcPr>
            <w:tcW w:w="964" w:type="dxa"/>
            <w:vAlign w:val="center"/>
          </w:tcPr>
          <w:p>
            <w:pPr>
              <w:jc w:val="center"/>
              <w:rPr>
                <w:noProof/>
                <w:sz w:val="20"/>
              </w:rPr>
            </w:pPr>
            <w:r>
              <w:rPr>
                <w:noProof/>
                <w:sz w:val="20"/>
              </w:rPr>
              <w:t>Година</w:t>
            </w:r>
            <w:r>
              <w:rPr>
                <w:noProof/>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t>3.3.</w:t>
      </w:r>
      <w:r>
        <w:rPr>
          <w:noProof/>
        </w:rPr>
        <w:tab/>
        <w:t xml:space="preserve">Очаквано отражение върху приходите </w:t>
      </w:r>
    </w:p>
    <w:p>
      <w:pPr>
        <w:pStyle w:val="ListDash1"/>
        <w:rPr>
          <w:noProof/>
        </w:rPr>
      </w:pPr>
      <w:r>
        <w:rPr>
          <w:noProof/>
        </w:rPr>
        <w:sym w:font="Wingdings" w:char="F07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s>
        <w:rPr>
          <w:noProof/>
        </w:rPr>
      </w:pPr>
      <w:r>
        <w:rPr>
          <w:noProof/>
        </w:rPr>
        <w:sym w:font="Wingdings" w:char="F0A8"/>
      </w:r>
      <w:r>
        <w:rPr>
          <w:noProof/>
        </w:rPr>
        <w:tab/>
        <w:t xml:space="preserve">върху собствените ресурси </w:t>
      </w:r>
    </w:p>
    <w:p>
      <w:pPr>
        <w:pStyle w:val="ListNumberLevel3"/>
        <w:tabs>
          <w:tab w:val="clear" w:pos="2126"/>
        </w:tabs>
        <w:rPr>
          <w:noProof/>
        </w:rPr>
      </w:pPr>
      <w:r>
        <w:rPr>
          <w:noProof/>
        </w:rPr>
        <w:sym w:font="Wingdings" w:char="F0A8"/>
      </w:r>
      <w:r>
        <w:rPr>
          <w:noProof/>
        </w:rPr>
        <w:tab/>
        <w:t xml:space="preserve">върху другите приходи </w:t>
      </w:r>
    </w:p>
    <w:p>
      <w:pPr>
        <w:jc w:val="right"/>
        <w:rPr>
          <w:i/>
          <w:noProof/>
          <w:sz w:val="20"/>
        </w:rPr>
      </w:pPr>
      <w:r>
        <w:rPr>
          <w:noProof/>
        </w:rPr>
        <w:t>В 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9"/>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rPr>
              <w:br/>
            </w:r>
            <w:r>
              <w:rPr>
                <w:b/>
                <w:noProof/>
                <w:sz w:val="18"/>
              </w:rPr>
              <w:t>N</w:t>
            </w:r>
          </w:p>
        </w:tc>
        <w:tc>
          <w:tcPr>
            <w:tcW w:w="900" w:type="dxa"/>
            <w:vAlign w:val="center"/>
          </w:tcPr>
          <w:p>
            <w:pPr>
              <w:jc w:val="center"/>
              <w:rPr>
                <w:noProof/>
                <w:sz w:val="18"/>
              </w:rPr>
            </w:pPr>
            <w:r>
              <w:rPr>
                <w:noProof/>
                <w:sz w:val="18"/>
              </w:rPr>
              <w:t>Година</w:t>
            </w:r>
            <w:r>
              <w:rPr>
                <w:noProof/>
              </w:rPr>
              <w:br/>
            </w:r>
            <w:r>
              <w:rPr>
                <w:b/>
                <w:noProof/>
                <w:sz w:val="18"/>
              </w:rPr>
              <w:t>N+1</w:t>
            </w:r>
          </w:p>
        </w:tc>
        <w:tc>
          <w:tcPr>
            <w:tcW w:w="900" w:type="dxa"/>
            <w:vAlign w:val="center"/>
          </w:tcPr>
          <w:p>
            <w:pPr>
              <w:jc w:val="center"/>
              <w:rPr>
                <w:noProof/>
                <w:sz w:val="18"/>
              </w:rPr>
            </w:pPr>
            <w:r>
              <w:rPr>
                <w:noProof/>
                <w:sz w:val="18"/>
              </w:rPr>
              <w:t>Година</w:t>
            </w:r>
            <w:r>
              <w:rPr>
                <w:noProof/>
              </w:rPr>
              <w:br/>
            </w:r>
            <w:r>
              <w:rPr>
                <w:b/>
                <w:noProof/>
                <w:sz w:val="18"/>
              </w:rPr>
              <w:t>N+2</w:t>
            </w:r>
          </w:p>
        </w:tc>
        <w:tc>
          <w:tcPr>
            <w:tcW w:w="1080" w:type="dxa"/>
            <w:vAlign w:val="center"/>
          </w:tcPr>
          <w:p>
            <w:pPr>
              <w:jc w:val="center"/>
              <w:rPr>
                <w:noProof/>
                <w:sz w:val="18"/>
              </w:rPr>
            </w:pPr>
            <w:r>
              <w:rPr>
                <w:noProof/>
                <w:sz w:val="18"/>
              </w:rPr>
              <w:t>Година</w:t>
            </w:r>
            <w:r>
              <w:rPr>
                <w:noProof/>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другите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r>
        <w:rPr>
          <w:noProof/>
          <w:sz w:val="20"/>
        </w:rPr>
        <w:t>Да се посочи методът за изчисляване на отражението върху приходите.</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(ЕС) 2016/2135 на Европейския парламент и на Съвета от 23 ноември 2016 г. за изменение на Регламент (ЕС) № 1303/2013 по отношение на някои разпоредби относно финансовото управление за определени държави членки, които изпитват сериозни затруднения във връзка с финансовата си стабилност или са застрашени от такива затруднения (ОВ L 338, 13.12.2016 г., стр. 34).</w:t>
      </w:r>
    </w:p>
  </w:footnote>
  <w:footnote w:id="3">
    <w:p>
      <w:pPr>
        <w:pStyle w:val="FootnoteText"/>
      </w:pPr>
      <w:r>
        <w:rPr>
          <w:rStyle w:val="FootnoteReference"/>
        </w:rPr>
        <w:footnoteRef/>
      </w:r>
      <w:r>
        <w:tab/>
        <w:t>Решение за изпълнение (ЕС) 2016/1941 на Комисията от 3 ноември 2016 г. за изменение на Решение за изпълнение 2014/190/ЕС за определяне на годишното разпределение на глобалните средства по държава членка за Европейския фонд за регионално развитие, Европейския социален фонд и Кохезионния фонд по цели „Инвестиции за растеж и работни места“ и „Европейско териториално сътрудничество“, и на годишното разпределение на специално разпределените средства за инициативата за младежка заетост по държава членка, както и списъка на допустимите региони и размера на средствата, които да се прехвърлят от разпределените на всяка държава членка средства по Кохезионния фонд и структурните фондове към Механизма за свързване на Европа и за подпомагане на най-нуждаещите се лица за периода 2014—2020 година (нотифицирано под номер С(2016) 6909) (ОВ L 299, 5.11.2016 г., стр. 61).</w:t>
      </w:r>
    </w:p>
  </w:footnote>
  <w:footnote w:id="4">
    <w:p>
      <w:pPr>
        <w:pStyle w:val="FootnoteText"/>
      </w:pPr>
      <w:r>
        <w:rPr>
          <w:rStyle w:val="FootnoteReference"/>
        </w:rPr>
        <w:footnoteRef/>
      </w:r>
      <w:r>
        <w:tab/>
        <w:t>Решение за изпълнение (ЕС) 2016/1916 на Комисията от 27 октомври 2016 г. за изменение на Решение за изпълнение 2014/99/ЕС за определяне на списъка на регионите, които отговарят на критериите за финансиране по Европейския фонд за регионално развитие и Европейския социален фонд, и на държавите членки, които отговарят на критериите за финансиране по Кохезионния фонд за периода 2014—2020 г. (нотифицирано под номер С(2016) 6820) (ОВ L 296, 1.11.2016 г., стр. 15).</w:t>
      </w:r>
    </w:p>
  </w:footnote>
  <w:footnote w:id="5">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6">
    <w:p>
      <w:pPr>
        <w:pStyle w:val="FootnoteText"/>
      </w:pPr>
      <w:r>
        <w:rPr>
          <w:rStyle w:val="FootnoteReference"/>
        </w:rPr>
        <w:footnoteRef/>
      </w:r>
      <w:r>
        <w:tab/>
        <w:t>ОВ C […], […] г., стр. […].</w:t>
      </w:r>
    </w:p>
  </w:footnote>
  <w:footnote w:id="7">
    <w:p>
      <w:pPr>
        <w:pStyle w:val="FootnoteText"/>
      </w:pPr>
      <w:r>
        <w:rPr>
          <w:rStyle w:val="FootnoteReference"/>
        </w:rPr>
        <w:footnoteRef/>
      </w:r>
      <w:r>
        <w:tab/>
        <w:t>ОВ C […], […] г., стр. […].</w:t>
      </w:r>
    </w:p>
  </w:footnote>
  <w:footnote w:id="8">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footnote>
  <w:footnote w:id="9">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10">
    <w:p>
      <w:pPr>
        <w:pStyle w:val="FootnoteText"/>
      </w:pPr>
      <w:r>
        <w:rPr>
          <w:rStyle w:val="FootnoteReference"/>
        </w:rPr>
        <w:footnoteRef/>
      </w:r>
      <w:r>
        <w:tab/>
        <w:t>Съобщение на Комисията до Съвета и Европейския парламент — Техническа корекция на финансовата рамка за 2017 г. в съответствие с промените в БНД и корекция на финансовите пакети за политиката на сближаване (COM(2016) 311 от 30 юни 2016 г.).</w:t>
      </w:r>
    </w:p>
  </w:footnote>
  <w:footnote w:id="11">
    <w:p>
      <w:pPr>
        <w:pStyle w:val="FootnoteText"/>
      </w:pPr>
      <w:r>
        <w:rPr>
          <w:rStyle w:val="FootnoteReference"/>
        </w:rPr>
        <w:footnoteRef/>
      </w:r>
      <w:r>
        <w:tab/>
        <w:t>Решение за изпълнение (ЕС) 2016/1941 на Комисията от 3 ноември 2016 г. за изменение на Решение за изпълнение 2014/190/ЕС за определяне на годишното разпределение на глобалните средства по държава членка за Европейския фонд за регионално развитие, Европейския социален фонд и Кохезионния фонд по цели „Инвестиции за растеж и работни места“ и „Европейско териториално сътрудничество“, и на годишното разпределение на специално разпределените средства за инициативата за младежка заетост по държава членка, както и списъка на допустимите региони и размера на средствата, които да се прехвърлят от разпределените на всяка държава членка средства по Кохезионния фонд и структурните фондове към Механизма за свързване на Европа и за подпомагане на най-нуждаещите се лица за периода 2014—2020 година (нотифицирано под номер С(2016) 6909) (ОВ L 299, 5.11.2016 г., стр. 61).</w:t>
      </w:r>
    </w:p>
  </w:footnote>
  <w:footnote w:id="12">
    <w:p>
      <w:pPr>
        <w:pStyle w:val="FootnoteText"/>
      </w:pPr>
      <w:r>
        <w:rPr>
          <w:rStyle w:val="FootnoteReference"/>
        </w:rPr>
        <w:footnoteRef/>
      </w:r>
      <w:r>
        <w:tab/>
        <w:t>Регламент (ЕС, Евратом) 2017/1123 на Съвета от 20 юни 2017 г. за изменение на Регламент (ЕС, Евратом) № 1311/2013 за определяне на многогодишната финансова рамка за годините 2014—2020 (ОВ L 163, 24.6.2017 г., стр. 1).</w:t>
      </w:r>
    </w:p>
  </w:footnote>
  <w:footnote w:id="13">
    <w:p>
      <w:pPr>
        <w:pStyle w:val="FootnoteText"/>
      </w:pPr>
      <w:r>
        <w:rPr>
          <w:rStyle w:val="FootnoteReference"/>
        </w:rPr>
        <w:footnoteRef/>
      </w:r>
      <w:r>
        <w:tab/>
        <w:t>Регламент (ЕС, Евратом) 2015/623 на Съвета от 21 април 2015 г. за изменение на Регламент (ЕС, Евратом) № 1311/2013 за определяне на многогодишната финансова рамка за годините 2014—2020 (ОВ L 103, 22.4.2015 г., стр. 1).</w:t>
      </w:r>
    </w:p>
  </w:footnote>
  <w:footnote w:id="14">
    <w:p>
      <w:pPr>
        <w:pStyle w:val="FootnoteText"/>
        <w:rPr>
          <w:szCs w:val="24"/>
        </w:rPr>
      </w:pPr>
      <w:r>
        <w:rPr>
          <w:rStyle w:val="FootnoteReference"/>
        </w:rPr>
        <w:footnoteRef/>
      </w:r>
      <w:r>
        <w:tab/>
        <w:t>УД: управление по дейности; БД: бюджетиране по дейности.</w:t>
      </w:r>
    </w:p>
  </w:footnote>
  <w:footnote w:id="15">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6">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sz w:val="18"/>
          </w:rPr>
          <w:t>http://www.cc.cec/budg/man/budgmanag/budgmanag_bg.html</w:t>
        </w:r>
      </w:hyperlink>
    </w:p>
  </w:footnote>
  <w:footnote w:id="17">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8">
    <w:p>
      <w:pPr>
        <w:pStyle w:val="FootnoteText"/>
        <w:rPr>
          <w:szCs w:val="24"/>
        </w:rPr>
      </w:pPr>
      <w:r>
        <w:rPr>
          <w:rStyle w:val="FootnoteReference"/>
        </w:rPr>
        <w:footnoteRef/>
      </w:r>
      <w:r>
        <w:tab/>
        <w:t xml:space="preserve">ЕАСТ: Европейска асоциация за свободна търговия. </w:t>
      </w:r>
    </w:p>
  </w:footnote>
  <w:footnote w:id="19">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20">
    <w:p>
      <w:pPr>
        <w:pStyle w:val="FootnoteText"/>
      </w:pPr>
      <w:r>
        <w:rPr>
          <w:rStyle w:val="FootnoteReference"/>
        </w:rPr>
        <w:footnoteRef/>
      </w:r>
      <w:r>
        <w:tab/>
        <w:t>В съответствие с член 136 от Регламент (ЕС) № 1303/2013 предварителното финансиране се коригира (уравнява) с разходите по ИМЗ, декларирани до 31.12.2018 г.</w:t>
      </w:r>
    </w:p>
  </w:footnote>
  <w:footnote w:id="21">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22">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23">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4">
    <w:p>
      <w:pPr>
        <w:pStyle w:val="FootnoteText"/>
        <w:rPr>
          <w:szCs w:val="24"/>
        </w:rPr>
      </w:pPr>
      <w:r>
        <w:rPr>
          <w:rStyle w:val="FootnoteReference"/>
        </w:rPr>
        <w:footnoteRef/>
      </w:r>
      <w:r>
        <w:tab/>
        <w:t xml:space="preserve">Съгласно описанието в част 1.4.2. „Конкретни цели…“. </w:t>
      </w:r>
    </w:p>
  </w:footnote>
  <w:footnote w:id="25">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2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27">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8">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9">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B608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A4FD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828F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86F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FA20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5EE5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00D660"/>
    <w:lvl w:ilvl="0">
      <w:start w:val="1"/>
      <w:numFmt w:val="decimal"/>
      <w:pStyle w:val="ListNumber"/>
      <w:lvlText w:val="%1."/>
      <w:lvlJc w:val="left"/>
      <w:pPr>
        <w:tabs>
          <w:tab w:val="num" w:pos="360"/>
        </w:tabs>
        <w:ind w:left="360" w:hanging="360"/>
      </w:pPr>
    </w:lvl>
  </w:abstractNum>
  <w:abstractNum w:abstractNumId="7">
    <w:nsid w:val="FFFFFF89"/>
    <w:multiLevelType w:val="singleLevel"/>
    <w:tmpl w:val="6F6C06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8"/>
  </w:num>
  <w:num w:numId="11">
    <w:abstractNumId w:val="17"/>
  </w:num>
  <w:num w:numId="12">
    <w:abstractNumId w:val="13"/>
  </w:num>
  <w:num w:numId="13">
    <w:abstractNumId w:val="25"/>
    <w:lvlOverride w:ilvl="0">
      <w:startOverride w:val="1"/>
    </w:lvlOverride>
  </w:num>
  <w:num w:numId="14">
    <w:abstractNumId w:val="2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num>
  <w:num w:numId="17">
    <w:abstractNumId w:val="22"/>
  </w:num>
  <w:num w:numId="18">
    <w:abstractNumId w:val="14"/>
  </w:num>
  <w:num w:numId="19">
    <w:abstractNumId w:val="24"/>
  </w:num>
  <w:num w:numId="20">
    <w:abstractNumId w:val="12"/>
  </w:num>
  <w:num w:numId="21">
    <w:abstractNumId w:val="15"/>
  </w:num>
  <w:num w:numId="22">
    <w:abstractNumId w:val="10"/>
  </w:num>
  <w:num w:numId="23">
    <w:abstractNumId w:val="23"/>
  </w:num>
  <w:num w:numId="24">
    <w:abstractNumId w:val="9"/>
  </w:num>
  <w:num w:numId="25">
    <w:abstractNumId w:val="16"/>
  </w:num>
  <w:num w:numId="26">
    <w:abstractNumId w:val="20"/>
  </w:num>
  <w:num w:numId="27">
    <w:abstractNumId w:val="21"/>
  </w:num>
  <w:num w:numId="28">
    <w:abstractNumId w:val="11"/>
  </w:num>
  <w:num w:numId="29">
    <w:abstractNumId w:val="19"/>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5 09:43: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67DBCBB0A0F4A1AA7DAADA7B5BA0FC3"/>
    <w:docVar w:name="LW_CROSSREFERENCE" w:val="&lt;UNUSED&gt;"/>
    <w:docVar w:name="LW_DocType" w:val="COM"/>
    <w:docVar w:name="LW_EMISSION" w:val="5.10.2017"/>
    <w:docVar w:name="LW_EMISSION_ISODATE" w:val="2017-10-05"/>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47"/>
    <w:docVar w:name="LW_REF.II.NEW.CP_YEAR" w:val="2017"/>
    <w:docVar w:name="LW_REF.INST.NEW" w:val="COM"/>
    <w:docVar w:name="LW_REF.INST.NEW_ADOPTED" w:val="final"/>
    <w:docVar w:name="LW_REF.INST.NEW_TEXT" w:val="(2017) 565"/>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3/2013 \u1074?\u1098?\u1074? \u1074?\u1088?\u1098?\u1079?\u1082?\u1072? \u1089? \u1087?\u1088?\u1086?\u1084?\u1077?\u1085?\u1080?\u1090?\u1077? \u1074? \u1089?\u1088?\u1077?\u1076?\u1089?\u1090?\u1074?\u1072?\u1090?\u1072? \u1079?\u1072? \u1080?\u1082?\u1086?\u1085?\u1086?\u1084?\u1080?\u1095?\u1077?\u1089?\u1082?\u1086?, \u1089?\u1086?\u1094?\u1080?\u1072?\u1083?\u1085?\u1086? \u1080? \u1090?\u1077?\u1088?\u1080?\u1090?\u1086?\u1088?\u1080?\u1072?\u1083?\u1085?\u1086? \u1089?\u1073?\u1083?\u1080?\u1078?\u1072?\u1074?\u1072?\u1085?\u1077?, \u1082?\u1072?\u1082?\u1090?\u1086? \u1080? \u1074? \u1089?\u1088?\u1077?\u1076?\u1089?\u1090?\u1074?\u1072?\u1090?\u1072? \u1087?\u1086? \u1094?\u1077?\u1083? \u8222?\u1048?\u1085?\u1074?\u1077?\u1089?\u1090?\u1080?\u1094?\u1080?\u1080? \u1079?\u1072? \u1088?\u1072?\u1089?\u1090?\u1077?\u1078? \u1080? \u1088?\u1072?\u1073?\u1086?\u1090?\u1085?\u1080? \u1084?\u1077?\u1089?\u1090?\u1072?\u8220? \u1080? \u1087?\u1086? \u1094?\u1077?\u1083? \u8222?\u1045?\u1074?\u1088?\u1086?\u1087?\u1077?\u1081?\u1089?\u1082?\u1086? \u1090?\u1077?\u1088?\u1080?\u1090?\u1086?\u1088?\u1080?\u1072?\u1083?\u1085?\u1086? \u1089?\u1098?\u1090?\u1088?\u1091?\u1076?\u1085?\u1080?\u1095?\u1077?\u1089?\u1090?\u1074?\u1086?\u822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9"/>
      </w:numPr>
    </w:pPr>
    <w:rPr>
      <w:rFonts w:eastAsia="Times New Roman"/>
    </w:rPr>
  </w:style>
  <w:style w:type="paragraph" w:customStyle="1" w:styleId="ListDash1">
    <w:name w:val="List Dash 1"/>
    <w:basedOn w:val="Normal"/>
    <w:pPr>
      <w:numPr>
        <w:numId w:val="10"/>
      </w:numPr>
    </w:pPr>
    <w:rPr>
      <w:rFonts w:eastAsia="Times New Roman"/>
    </w:rPr>
  </w:style>
  <w:style w:type="paragraph" w:customStyle="1" w:styleId="ListDash2">
    <w:name w:val="List Dash 2"/>
    <w:basedOn w:val="Normal"/>
    <w:pPr>
      <w:numPr>
        <w:numId w:val="11"/>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doc-ti">
    <w:name w:val="doc-ti"/>
    <w:basedOn w:val="Normal"/>
    <w:pPr>
      <w:spacing w:before="240"/>
      <w:jc w:val="center"/>
    </w:pPr>
    <w:rPr>
      <w:rFonts w:eastAsia="Times New Roman"/>
      <w:b/>
      <w:bCs/>
    </w:rPr>
  </w:style>
  <w:style w:type="paragraph" w:customStyle="1" w:styleId="ListDash">
    <w:name w:val="List Dash"/>
    <w:basedOn w:val="Normal"/>
    <w:pPr>
      <w:numPr>
        <w:numId w:val="12"/>
      </w:numPr>
    </w:pPr>
    <w:rPr>
      <w:rFonts w:eastAsia="Times New Roman"/>
      <w:szCs w:val="20"/>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9"/>
      </w:numPr>
    </w:pPr>
    <w:rPr>
      <w:rFonts w:eastAsia="Times New Roman"/>
    </w:rPr>
  </w:style>
  <w:style w:type="paragraph" w:customStyle="1" w:styleId="ListDash1">
    <w:name w:val="List Dash 1"/>
    <w:basedOn w:val="Normal"/>
    <w:pPr>
      <w:numPr>
        <w:numId w:val="10"/>
      </w:numPr>
    </w:pPr>
    <w:rPr>
      <w:rFonts w:eastAsia="Times New Roman"/>
    </w:rPr>
  </w:style>
  <w:style w:type="paragraph" w:customStyle="1" w:styleId="ListDash2">
    <w:name w:val="List Dash 2"/>
    <w:basedOn w:val="Normal"/>
    <w:pPr>
      <w:numPr>
        <w:numId w:val="11"/>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doc-ti">
    <w:name w:val="doc-ti"/>
    <w:basedOn w:val="Normal"/>
    <w:pPr>
      <w:spacing w:before="240"/>
      <w:jc w:val="center"/>
    </w:pPr>
    <w:rPr>
      <w:rFonts w:eastAsia="Times New Roman"/>
      <w:b/>
      <w:bCs/>
    </w:rPr>
  </w:style>
  <w:style w:type="paragraph" w:customStyle="1" w:styleId="ListDash">
    <w:name w:val="List Dash"/>
    <w:basedOn w:val="Normal"/>
    <w:pPr>
      <w:numPr>
        <w:numId w:val="12"/>
      </w:numPr>
    </w:pPr>
    <w:rPr>
      <w:rFonts w:eastAsia="Times New Roman"/>
      <w:szCs w:val="20"/>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0506">
      <w:bodyDiv w:val="1"/>
      <w:marLeft w:val="0"/>
      <w:marRight w:val="0"/>
      <w:marTop w:val="0"/>
      <w:marBottom w:val="0"/>
      <w:divBdr>
        <w:top w:val="none" w:sz="0" w:space="0" w:color="auto"/>
        <w:left w:val="none" w:sz="0" w:space="0" w:color="auto"/>
        <w:bottom w:val="none" w:sz="0" w:space="0" w:color="auto"/>
        <w:right w:val="none" w:sz="0" w:space="0" w:color="auto"/>
      </w:divBdr>
      <w:divsChild>
        <w:div w:id="1453860283">
          <w:marLeft w:val="0"/>
          <w:marRight w:val="0"/>
          <w:marTop w:val="0"/>
          <w:marBottom w:val="0"/>
          <w:divBdr>
            <w:top w:val="none" w:sz="0" w:space="0" w:color="auto"/>
            <w:left w:val="none" w:sz="0" w:space="0" w:color="auto"/>
            <w:bottom w:val="none" w:sz="0" w:space="0" w:color="auto"/>
            <w:right w:val="none" w:sz="0" w:space="0" w:color="auto"/>
          </w:divBdr>
        </w:div>
      </w:divsChild>
    </w:div>
    <w:div w:id="227881525">
      <w:bodyDiv w:val="1"/>
      <w:marLeft w:val="0"/>
      <w:marRight w:val="0"/>
      <w:marTop w:val="0"/>
      <w:marBottom w:val="0"/>
      <w:divBdr>
        <w:top w:val="none" w:sz="0" w:space="0" w:color="auto"/>
        <w:left w:val="none" w:sz="0" w:space="0" w:color="auto"/>
        <w:bottom w:val="none" w:sz="0" w:space="0" w:color="auto"/>
        <w:right w:val="none" w:sz="0" w:space="0" w:color="auto"/>
      </w:divBdr>
      <w:divsChild>
        <w:div w:id="1778021271">
          <w:marLeft w:val="0"/>
          <w:marRight w:val="0"/>
          <w:marTop w:val="0"/>
          <w:marBottom w:val="0"/>
          <w:divBdr>
            <w:top w:val="none" w:sz="0" w:space="0" w:color="auto"/>
            <w:left w:val="none" w:sz="0" w:space="0" w:color="auto"/>
            <w:bottom w:val="none" w:sz="0" w:space="0" w:color="auto"/>
            <w:right w:val="none" w:sz="0" w:space="0" w:color="auto"/>
          </w:divBdr>
        </w:div>
      </w:divsChild>
    </w:div>
    <w:div w:id="448165128">
      <w:bodyDiv w:val="1"/>
      <w:marLeft w:val="0"/>
      <w:marRight w:val="0"/>
      <w:marTop w:val="0"/>
      <w:marBottom w:val="0"/>
      <w:divBdr>
        <w:top w:val="none" w:sz="0" w:space="0" w:color="auto"/>
        <w:left w:val="none" w:sz="0" w:space="0" w:color="auto"/>
        <w:bottom w:val="none" w:sz="0" w:space="0" w:color="auto"/>
        <w:right w:val="none" w:sz="0" w:space="0" w:color="auto"/>
      </w:divBdr>
      <w:divsChild>
        <w:div w:id="1971157902">
          <w:marLeft w:val="0"/>
          <w:marRight w:val="0"/>
          <w:marTop w:val="0"/>
          <w:marBottom w:val="0"/>
          <w:divBdr>
            <w:top w:val="none" w:sz="0" w:space="0" w:color="auto"/>
            <w:left w:val="none" w:sz="0" w:space="0" w:color="auto"/>
            <w:bottom w:val="none" w:sz="0" w:space="0" w:color="auto"/>
            <w:right w:val="none" w:sz="0" w:space="0" w:color="auto"/>
          </w:divBdr>
        </w:div>
      </w:divsChild>
    </w:div>
    <w:div w:id="676881867">
      <w:bodyDiv w:val="1"/>
      <w:marLeft w:val="0"/>
      <w:marRight w:val="0"/>
      <w:marTop w:val="0"/>
      <w:marBottom w:val="0"/>
      <w:divBdr>
        <w:top w:val="none" w:sz="0" w:space="0" w:color="auto"/>
        <w:left w:val="none" w:sz="0" w:space="0" w:color="auto"/>
        <w:bottom w:val="none" w:sz="0" w:space="0" w:color="auto"/>
        <w:right w:val="none" w:sz="0" w:space="0" w:color="auto"/>
      </w:divBdr>
      <w:divsChild>
        <w:div w:id="727843991">
          <w:marLeft w:val="0"/>
          <w:marRight w:val="0"/>
          <w:marTop w:val="0"/>
          <w:marBottom w:val="0"/>
          <w:divBdr>
            <w:top w:val="none" w:sz="0" w:space="0" w:color="auto"/>
            <w:left w:val="none" w:sz="0" w:space="0" w:color="auto"/>
            <w:bottom w:val="none" w:sz="0" w:space="0" w:color="auto"/>
            <w:right w:val="none" w:sz="0" w:space="0" w:color="auto"/>
          </w:divBdr>
        </w:div>
      </w:divsChild>
    </w:div>
    <w:div w:id="790781615">
      <w:bodyDiv w:val="1"/>
      <w:marLeft w:val="0"/>
      <w:marRight w:val="0"/>
      <w:marTop w:val="0"/>
      <w:marBottom w:val="0"/>
      <w:divBdr>
        <w:top w:val="none" w:sz="0" w:space="0" w:color="auto"/>
        <w:left w:val="none" w:sz="0" w:space="0" w:color="auto"/>
        <w:bottom w:val="none" w:sz="0" w:space="0" w:color="auto"/>
        <w:right w:val="none" w:sz="0" w:space="0" w:color="auto"/>
      </w:divBdr>
      <w:divsChild>
        <w:div w:id="941377238">
          <w:marLeft w:val="0"/>
          <w:marRight w:val="0"/>
          <w:marTop w:val="0"/>
          <w:marBottom w:val="0"/>
          <w:divBdr>
            <w:top w:val="none" w:sz="0" w:space="0" w:color="auto"/>
            <w:left w:val="none" w:sz="0" w:space="0" w:color="auto"/>
            <w:bottom w:val="none" w:sz="0" w:space="0" w:color="auto"/>
            <w:right w:val="none" w:sz="0" w:space="0" w:color="auto"/>
          </w:divBdr>
        </w:div>
      </w:divsChild>
    </w:div>
    <w:div w:id="986514969">
      <w:bodyDiv w:val="1"/>
      <w:marLeft w:val="0"/>
      <w:marRight w:val="0"/>
      <w:marTop w:val="0"/>
      <w:marBottom w:val="0"/>
      <w:divBdr>
        <w:top w:val="none" w:sz="0" w:space="0" w:color="auto"/>
        <w:left w:val="none" w:sz="0" w:space="0" w:color="auto"/>
        <w:bottom w:val="none" w:sz="0" w:space="0" w:color="auto"/>
        <w:right w:val="none" w:sz="0" w:space="0" w:color="auto"/>
      </w:divBdr>
      <w:divsChild>
        <w:div w:id="1066142732">
          <w:marLeft w:val="0"/>
          <w:marRight w:val="0"/>
          <w:marTop w:val="0"/>
          <w:marBottom w:val="0"/>
          <w:divBdr>
            <w:top w:val="none" w:sz="0" w:space="0" w:color="auto"/>
            <w:left w:val="none" w:sz="0" w:space="0" w:color="auto"/>
            <w:bottom w:val="none" w:sz="0" w:space="0" w:color="auto"/>
            <w:right w:val="none" w:sz="0" w:space="0" w:color="auto"/>
          </w:divBdr>
          <w:divsChild>
            <w:div w:id="776481600">
              <w:marLeft w:val="0"/>
              <w:marRight w:val="0"/>
              <w:marTop w:val="0"/>
              <w:marBottom w:val="0"/>
              <w:divBdr>
                <w:top w:val="none" w:sz="0" w:space="0" w:color="auto"/>
                <w:left w:val="none" w:sz="0" w:space="0" w:color="auto"/>
                <w:bottom w:val="none" w:sz="0" w:space="0" w:color="auto"/>
                <w:right w:val="none" w:sz="0" w:space="0" w:color="auto"/>
              </w:divBdr>
              <w:divsChild>
                <w:div w:id="786436942">
                  <w:marLeft w:val="0"/>
                  <w:marRight w:val="0"/>
                  <w:marTop w:val="0"/>
                  <w:marBottom w:val="0"/>
                  <w:divBdr>
                    <w:top w:val="none" w:sz="0" w:space="0" w:color="auto"/>
                    <w:left w:val="none" w:sz="0" w:space="0" w:color="auto"/>
                    <w:bottom w:val="none" w:sz="0" w:space="0" w:color="auto"/>
                    <w:right w:val="none" w:sz="0" w:space="0" w:color="auto"/>
                  </w:divBdr>
                  <w:divsChild>
                    <w:div w:id="347563230">
                      <w:marLeft w:val="1"/>
                      <w:marRight w:val="1"/>
                      <w:marTop w:val="0"/>
                      <w:marBottom w:val="0"/>
                      <w:divBdr>
                        <w:top w:val="none" w:sz="0" w:space="0" w:color="auto"/>
                        <w:left w:val="none" w:sz="0" w:space="0" w:color="auto"/>
                        <w:bottom w:val="none" w:sz="0" w:space="0" w:color="auto"/>
                        <w:right w:val="none" w:sz="0" w:space="0" w:color="auto"/>
                      </w:divBdr>
                      <w:divsChild>
                        <w:div w:id="1269923262">
                          <w:marLeft w:val="0"/>
                          <w:marRight w:val="0"/>
                          <w:marTop w:val="0"/>
                          <w:marBottom w:val="0"/>
                          <w:divBdr>
                            <w:top w:val="none" w:sz="0" w:space="0" w:color="auto"/>
                            <w:left w:val="none" w:sz="0" w:space="0" w:color="auto"/>
                            <w:bottom w:val="none" w:sz="0" w:space="0" w:color="auto"/>
                            <w:right w:val="none" w:sz="0" w:space="0" w:color="auto"/>
                          </w:divBdr>
                          <w:divsChild>
                            <w:div w:id="1612667735">
                              <w:marLeft w:val="0"/>
                              <w:marRight w:val="0"/>
                              <w:marTop w:val="0"/>
                              <w:marBottom w:val="360"/>
                              <w:divBdr>
                                <w:top w:val="none" w:sz="0" w:space="0" w:color="auto"/>
                                <w:left w:val="none" w:sz="0" w:space="0" w:color="auto"/>
                                <w:bottom w:val="none" w:sz="0" w:space="0" w:color="auto"/>
                                <w:right w:val="none" w:sz="0" w:space="0" w:color="auto"/>
                              </w:divBdr>
                              <w:divsChild>
                                <w:div w:id="140390823">
                                  <w:marLeft w:val="0"/>
                                  <w:marRight w:val="0"/>
                                  <w:marTop w:val="0"/>
                                  <w:marBottom w:val="0"/>
                                  <w:divBdr>
                                    <w:top w:val="none" w:sz="0" w:space="0" w:color="auto"/>
                                    <w:left w:val="none" w:sz="0" w:space="0" w:color="auto"/>
                                    <w:bottom w:val="none" w:sz="0" w:space="0" w:color="auto"/>
                                    <w:right w:val="none" w:sz="0" w:space="0" w:color="auto"/>
                                  </w:divBdr>
                                  <w:divsChild>
                                    <w:div w:id="1458374493">
                                      <w:marLeft w:val="0"/>
                                      <w:marRight w:val="0"/>
                                      <w:marTop w:val="0"/>
                                      <w:marBottom w:val="0"/>
                                      <w:divBdr>
                                        <w:top w:val="none" w:sz="0" w:space="0" w:color="auto"/>
                                        <w:left w:val="none" w:sz="0" w:space="0" w:color="auto"/>
                                        <w:bottom w:val="none" w:sz="0" w:space="0" w:color="auto"/>
                                        <w:right w:val="none" w:sz="0" w:space="0" w:color="auto"/>
                                      </w:divBdr>
                                      <w:divsChild>
                                        <w:div w:id="1773624652">
                                          <w:marLeft w:val="0"/>
                                          <w:marRight w:val="0"/>
                                          <w:marTop w:val="0"/>
                                          <w:marBottom w:val="0"/>
                                          <w:divBdr>
                                            <w:top w:val="none" w:sz="0" w:space="0" w:color="auto"/>
                                            <w:left w:val="none" w:sz="0" w:space="0" w:color="auto"/>
                                            <w:bottom w:val="none" w:sz="0" w:space="0" w:color="auto"/>
                                            <w:right w:val="none" w:sz="0" w:space="0" w:color="auto"/>
                                          </w:divBdr>
                                          <w:divsChild>
                                            <w:div w:id="348921227">
                                              <w:marLeft w:val="0"/>
                                              <w:marRight w:val="0"/>
                                              <w:marTop w:val="0"/>
                                              <w:marBottom w:val="0"/>
                                              <w:divBdr>
                                                <w:top w:val="none" w:sz="0" w:space="0" w:color="auto"/>
                                                <w:left w:val="none" w:sz="0" w:space="0" w:color="auto"/>
                                                <w:bottom w:val="none" w:sz="0" w:space="0" w:color="auto"/>
                                                <w:right w:val="none" w:sz="0" w:space="0" w:color="auto"/>
                                              </w:divBdr>
                                              <w:divsChild>
                                                <w:div w:id="5239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241791">
      <w:bodyDiv w:val="1"/>
      <w:marLeft w:val="0"/>
      <w:marRight w:val="0"/>
      <w:marTop w:val="0"/>
      <w:marBottom w:val="0"/>
      <w:divBdr>
        <w:top w:val="none" w:sz="0" w:space="0" w:color="auto"/>
        <w:left w:val="none" w:sz="0" w:space="0" w:color="auto"/>
        <w:bottom w:val="none" w:sz="0" w:space="0" w:color="auto"/>
        <w:right w:val="none" w:sz="0" w:space="0" w:color="auto"/>
      </w:divBdr>
      <w:divsChild>
        <w:div w:id="140972235">
          <w:marLeft w:val="0"/>
          <w:marRight w:val="0"/>
          <w:marTop w:val="0"/>
          <w:marBottom w:val="0"/>
          <w:divBdr>
            <w:top w:val="none" w:sz="0" w:space="0" w:color="auto"/>
            <w:left w:val="none" w:sz="0" w:space="0" w:color="auto"/>
            <w:bottom w:val="none" w:sz="0" w:space="0" w:color="auto"/>
            <w:right w:val="none" w:sz="0" w:space="0" w:color="auto"/>
          </w:divBdr>
          <w:divsChild>
            <w:div w:id="1057704275">
              <w:marLeft w:val="0"/>
              <w:marRight w:val="0"/>
              <w:marTop w:val="0"/>
              <w:marBottom w:val="0"/>
              <w:divBdr>
                <w:top w:val="none" w:sz="0" w:space="0" w:color="auto"/>
                <w:left w:val="none" w:sz="0" w:space="0" w:color="auto"/>
                <w:bottom w:val="none" w:sz="0" w:space="0" w:color="auto"/>
                <w:right w:val="none" w:sz="0" w:space="0" w:color="auto"/>
              </w:divBdr>
              <w:divsChild>
                <w:div w:id="359742476">
                  <w:marLeft w:val="0"/>
                  <w:marRight w:val="0"/>
                  <w:marTop w:val="0"/>
                  <w:marBottom w:val="0"/>
                  <w:divBdr>
                    <w:top w:val="none" w:sz="0" w:space="0" w:color="auto"/>
                    <w:left w:val="none" w:sz="0" w:space="0" w:color="auto"/>
                    <w:bottom w:val="none" w:sz="0" w:space="0" w:color="auto"/>
                    <w:right w:val="none" w:sz="0" w:space="0" w:color="auto"/>
                  </w:divBdr>
                  <w:divsChild>
                    <w:div w:id="981694903">
                      <w:marLeft w:val="1"/>
                      <w:marRight w:val="1"/>
                      <w:marTop w:val="0"/>
                      <w:marBottom w:val="0"/>
                      <w:divBdr>
                        <w:top w:val="none" w:sz="0" w:space="0" w:color="auto"/>
                        <w:left w:val="none" w:sz="0" w:space="0" w:color="auto"/>
                        <w:bottom w:val="none" w:sz="0" w:space="0" w:color="auto"/>
                        <w:right w:val="none" w:sz="0" w:space="0" w:color="auto"/>
                      </w:divBdr>
                      <w:divsChild>
                        <w:div w:id="288365808">
                          <w:marLeft w:val="0"/>
                          <w:marRight w:val="0"/>
                          <w:marTop w:val="0"/>
                          <w:marBottom w:val="0"/>
                          <w:divBdr>
                            <w:top w:val="none" w:sz="0" w:space="0" w:color="auto"/>
                            <w:left w:val="none" w:sz="0" w:space="0" w:color="auto"/>
                            <w:bottom w:val="none" w:sz="0" w:space="0" w:color="auto"/>
                            <w:right w:val="none" w:sz="0" w:space="0" w:color="auto"/>
                          </w:divBdr>
                          <w:divsChild>
                            <w:div w:id="1465733293">
                              <w:marLeft w:val="0"/>
                              <w:marRight w:val="0"/>
                              <w:marTop w:val="0"/>
                              <w:marBottom w:val="360"/>
                              <w:divBdr>
                                <w:top w:val="none" w:sz="0" w:space="0" w:color="auto"/>
                                <w:left w:val="none" w:sz="0" w:space="0" w:color="auto"/>
                                <w:bottom w:val="none" w:sz="0" w:space="0" w:color="auto"/>
                                <w:right w:val="none" w:sz="0" w:space="0" w:color="auto"/>
                              </w:divBdr>
                              <w:divsChild>
                                <w:div w:id="108625414">
                                  <w:marLeft w:val="0"/>
                                  <w:marRight w:val="0"/>
                                  <w:marTop w:val="0"/>
                                  <w:marBottom w:val="0"/>
                                  <w:divBdr>
                                    <w:top w:val="none" w:sz="0" w:space="0" w:color="auto"/>
                                    <w:left w:val="none" w:sz="0" w:space="0" w:color="auto"/>
                                    <w:bottom w:val="none" w:sz="0" w:space="0" w:color="auto"/>
                                    <w:right w:val="none" w:sz="0" w:space="0" w:color="auto"/>
                                  </w:divBdr>
                                  <w:divsChild>
                                    <w:div w:id="1030883539">
                                      <w:marLeft w:val="0"/>
                                      <w:marRight w:val="0"/>
                                      <w:marTop w:val="0"/>
                                      <w:marBottom w:val="0"/>
                                      <w:divBdr>
                                        <w:top w:val="none" w:sz="0" w:space="0" w:color="auto"/>
                                        <w:left w:val="none" w:sz="0" w:space="0" w:color="auto"/>
                                        <w:bottom w:val="none" w:sz="0" w:space="0" w:color="auto"/>
                                        <w:right w:val="none" w:sz="0" w:space="0" w:color="auto"/>
                                      </w:divBdr>
                                      <w:divsChild>
                                        <w:div w:id="1317951803">
                                          <w:marLeft w:val="0"/>
                                          <w:marRight w:val="0"/>
                                          <w:marTop w:val="0"/>
                                          <w:marBottom w:val="0"/>
                                          <w:divBdr>
                                            <w:top w:val="none" w:sz="0" w:space="0" w:color="auto"/>
                                            <w:left w:val="none" w:sz="0" w:space="0" w:color="auto"/>
                                            <w:bottom w:val="none" w:sz="0" w:space="0" w:color="auto"/>
                                            <w:right w:val="none" w:sz="0" w:space="0" w:color="auto"/>
                                          </w:divBdr>
                                          <w:divsChild>
                                            <w:div w:id="731662566">
                                              <w:marLeft w:val="0"/>
                                              <w:marRight w:val="0"/>
                                              <w:marTop w:val="0"/>
                                              <w:marBottom w:val="0"/>
                                              <w:divBdr>
                                                <w:top w:val="none" w:sz="0" w:space="0" w:color="auto"/>
                                                <w:left w:val="none" w:sz="0" w:space="0" w:color="auto"/>
                                                <w:bottom w:val="none" w:sz="0" w:space="0" w:color="auto"/>
                                                <w:right w:val="none" w:sz="0" w:space="0" w:color="auto"/>
                                              </w:divBdr>
                                              <w:divsChild>
                                                <w:div w:id="151607660">
                                                  <w:marLeft w:val="0"/>
                                                  <w:marRight w:val="0"/>
                                                  <w:marTop w:val="0"/>
                                                  <w:marBottom w:val="0"/>
                                                  <w:divBdr>
                                                    <w:top w:val="none" w:sz="0" w:space="0" w:color="auto"/>
                                                    <w:left w:val="none" w:sz="0" w:space="0" w:color="auto"/>
                                                    <w:bottom w:val="none" w:sz="0" w:space="0" w:color="auto"/>
                                                    <w:right w:val="none" w:sz="0" w:space="0" w:color="auto"/>
                                                  </w:divBdr>
                                                  <w:divsChild>
                                                    <w:div w:id="1775515992">
                                                      <w:marLeft w:val="0"/>
                                                      <w:marRight w:val="0"/>
                                                      <w:marTop w:val="0"/>
                                                      <w:marBottom w:val="0"/>
                                                      <w:divBdr>
                                                        <w:top w:val="none" w:sz="0" w:space="0" w:color="auto"/>
                                                        <w:left w:val="none" w:sz="0" w:space="0" w:color="auto"/>
                                                        <w:bottom w:val="none" w:sz="0" w:space="0" w:color="auto"/>
                                                        <w:right w:val="none" w:sz="0" w:space="0" w:color="auto"/>
                                                      </w:divBdr>
                                                      <w:divsChild>
                                                        <w:div w:id="2077318096">
                                                          <w:marLeft w:val="0"/>
                                                          <w:marRight w:val="0"/>
                                                          <w:marTop w:val="0"/>
                                                          <w:marBottom w:val="0"/>
                                                          <w:divBdr>
                                                            <w:top w:val="none" w:sz="0" w:space="0" w:color="auto"/>
                                                            <w:left w:val="none" w:sz="0" w:space="0" w:color="auto"/>
                                                            <w:bottom w:val="none" w:sz="0" w:space="0" w:color="auto"/>
                                                            <w:right w:val="none" w:sz="0" w:space="0" w:color="auto"/>
                                                          </w:divBdr>
                                                          <w:divsChild>
                                                            <w:div w:id="10231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564715">
      <w:bodyDiv w:val="1"/>
      <w:marLeft w:val="0"/>
      <w:marRight w:val="0"/>
      <w:marTop w:val="0"/>
      <w:marBottom w:val="0"/>
      <w:divBdr>
        <w:top w:val="none" w:sz="0" w:space="0" w:color="auto"/>
        <w:left w:val="none" w:sz="0" w:space="0" w:color="auto"/>
        <w:bottom w:val="none" w:sz="0" w:space="0" w:color="auto"/>
        <w:right w:val="none" w:sz="0" w:space="0" w:color="auto"/>
      </w:divBdr>
      <w:divsChild>
        <w:div w:id="414523516">
          <w:marLeft w:val="0"/>
          <w:marRight w:val="0"/>
          <w:marTop w:val="0"/>
          <w:marBottom w:val="0"/>
          <w:divBdr>
            <w:top w:val="none" w:sz="0" w:space="0" w:color="auto"/>
            <w:left w:val="none" w:sz="0" w:space="0" w:color="auto"/>
            <w:bottom w:val="none" w:sz="0" w:space="0" w:color="auto"/>
            <w:right w:val="none" w:sz="0" w:space="0" w:color="auto"/>
          </w:divBdr>
        </w:div>
      </w:divsChild>
    </w:div>
    <w:div w:id="1602494971">
      <w:bodyDiv w:val="1"/>
      <w:marLeft w:val="0"/>
      <w:marRight w:val="0"/>
      <w:marTop w:val="0"/>
      <w:marBottom w:val="0"/>
      <w:divBdr>
        <w:top w:val="none" w:sz="0" w:space="0" w:color="auto"/>
        <w:left w:val="none" w:sz="0" w:space="0" w:color="auto"/>
        <w:bottom w:val="none" w:sz="0" w:space="0" w:color="auto"/>
        <w:right w:val="none" w:sz="0" w:space="0" w:color="auto"/>
      </w:divBdr>
      <w:divsChild>
        <w:div w:id="1915699597">
          <w:marLeft w:val="0"/>
          <w:marRight w:val="0"/>
          <w:marTop w:val="0"/>
          <w:marBottom w:val="0"/>
          <w:divBdr>
            <w:top w:val="none" w:sz="0" w:space="0" w:color="auto"/>
            <w:left w:val="none" w:sz="0" w:space="0" w:color="auto"/>
            <w:bottom w:val="none" w:sz="0" w:space="0" w:color="auto"/>
            <w:right w:val="none" w:sz="0" w:space="0" w:color="auto"/>
          </w:divBdr>
        </w:div>
      </w:divsChild>
    </w:div>
    <w:div w:id="1625194211">
      <w:bodyDiv w:val="1"/>
      <w:marLeft w:val="0"/>
      <w:marRight w:val="0"/>
      <w:marTop w:val="0"/>
      <w:marBottom w:val="0"/>
      <w:divBdr>
        <w:top w:val="none" w:sz="0" w:space="0" w:color="auto"/>
        <w:left w:val="none" w:sz="0" w:space="0" w:color="auto"/>
        <w:bottom w:val="none" w:sz="0" w:space="0" w:color="auto"/>
        <w:right w:val="none" w:sz="0" w:space="0" w:color="auto"/>
      </w:divBdr>
      <w:divsChild>
        <w:div w:id="1139763268">
          <w:marLeft w:val="0"/>
          <w:marRight w:val="0"/>
          <w:marTop w:val="0"/>
          <w:marBottom w:val="0"/>
          <w:divBdr>
            <w:top w:val="none" w:sz="0" w:space="0" w:color="auto"/>
            <w:left w:val="none" w:sz="0" w:space="0" w:color="auto"/>
            <w:bottom w:val="none" w:sz="0" w:space="0" w:color="auto"/>
            <w:right w:val="none" w:sz="0" w:space="0" w:color="auto"/>
          </w:divBdr>
          <w:divsChild>
            <w:div w:id="21155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705">
      <w:bodyDiv w:val="1"/>
      <w:marLeft w:val="0"/>
      <w:marRight w:val="0"/>
      <w:marTop w:val="0"/>
      <w:marBottom w:val="0"/>
      <w:divBdr>
        <w:top w:val="none" w:sz="0" w:space="0" w:color="auto"/>
        <w:left w:val="none" w:sz="0" w:space="0" w:color="auto"/>
        <w:bottom w:val="none" w:sz="0" w:space="0" w:color="auto"/>
        <w:right w:val="none" w:sz="0" w:space="0" w:color="auto"/>
      </w:divBdr>
      <w:divsChild>
        <w:div w:id="30962155">
          <w:marLeft w:val="0"/>
          <w:marRight w:val="0"/>
          <w:marTop w:val="0"/>
          <w:marBottom w:val="0"/>
          <w:divBdr>
            <w:top w:val="none" w:sz="0" w:space="0" w:color="auto"/>
            <w:left w:val="none" w:sz="0" w:space="0" w:color="auto"/>
            <w:bottom w:val="none" w:sz="0" w:space="0" w:color="auto"/>
            <w:right w:val="none" w:sz="0" w:space="0" w:color="auto"/>
          </w:divBdr>
          <w:divsChild>
            <w:div w:id="1616517122">
              <w:marLeft w:val="0"/>
              <w:marRight w:val="0"/>
              <w:marTop w:val="0"/>
              <w:marBottom w:val="0"/>
              <w:divBdr>
                <w:top w:val="none" w:sz="0" w:space="0" w:color="auto"/>
                <w:left w:val="none" w:sz="0" w:space="0" w:color="auto"/>
                <w:bottom w:val="none" w:sz="0" w:space="0" w:color="auto"/>
                <w:right w:val="none" w:sz="0" w:space="0" w:color="auto"/>
              </w:divBdr>
              <w:divsChild>
                <w:div w:id="1063914249">
                  <w:marLeft w:val="0"/>
                  <w:marRight w:val="0"/>
                  <w:marTop w:val="0"/>
                  <w:marBottom w:val="0"/>
                  <w:divBdr>
                    <w:top w:val="none" w:sz="0" w:space="0" w:color="auto"/>
                    <w:left w:val="none" w:sz="0" w:space="0" w:color="auto"/>
                    <w:bottom w:val="none" w:sz="0" w:space="0" w:color="auto"/>
                    <w:right w:val="none" w:sz="0" w:space="0" w:color="auto"/>
                  </w:divBdr>
                  <w:divsChild>
                    <w:div w:id="23986901">
                      <w:marLeft w:val="1"/>
                      <w:marRight w:val="1"/>
                      <w:marTop w:val="0"/>
                      <w:marBottom w:val="0"/>
                      <w:divBdr>
                        <w:top w:val="none" w:sz="0" w:space="0" w:color="auto"/>
                        <w:left w:val="none" w:sz="0" w:space="0" w:color="auto"/>
                        <w:bottom w:val="none" w:sz="0" w:space="0" w:color="auto"/>
                        <w:right w:val="none" w:sz="0" w:space="0" w:color="auto"/>
                      </w:divBdr>
                      <w:divsChild>
                        <w:div w:id="936862724">
                          <w:marLeft w:val="0"/>
                          <w:marRight w:val="0"/>
                          <w:marTop w:val="0"/>
                          <w:marBottom w:val="0"/>
                          <w:divBdr>
                            <w:top w:val="none" w:sz="0" w:space="0" w:color="auto"/>
                            <w:left w:val="none" w:sz="0" w:space="0" w:color="auto"/>
                            <w:bottom w:val="none" w:sz="0" w:space="0" w:color="auto"/>
                            <w:right w:val="none" w:sz="0" w:space="0" w:color="auto"/>
                          </w:divBdr>
                          <w:divsChild>
                            <w:div w:id="397822852">
                              <w:marLeft w:val="0"/>
                              <w:marRight w:val="0"/>
                              <w:marTop w:val="0"/>
                              <w:marBottom w:val="360"/>
                              <w:divBdr>
                                <w:top w:val="none" w:sz="0" w:space="0" w:color="auto"/>
                                <w:left w:val="none" w:sz="0" w:space="0" w:color="auto"/>
                                <w:bottom w:val="none" w:sz="0" w:space="0" w:color="auto"/>
                                <w:right w:val="none" w:sz="0" w:space="0" w:color="auto"/>
                              </w:divBdr>
                              <w:divsChild>
                                <w:div w:id="2103598754">
                                  <w:marLeft w:val="0"/>
                                  <w:marRight w:val="0"/>
                                  <w:marTop w:val="0"/>
                                  <w:marBottom w:val="0"/>
                                  <w:divBdr>
                                    <w:top w:val="none" w:sz="0" w:space="0" w:color="auto"/>
                                    <w:left w:val="none" w:sz="0" w:space="0" w:color="auto"/>
                                    <w:bottom w:val="none" w:sz="0" w:space="0" w:color="auto"/>
                                    <w:right w:val="none" w:sz="0" w:space="0" w:color="auto"/>
                                  </w:divBdr>
                                  <w:divsChild>
                                    <w:div w:id="504173963">
                                      <w:marLeft w:val="0"/>
                                      <w:marRight w:val="0"/>
                                      <w:marTop w:val="0"/>
                                      <w:marBottom w:val="0"/>
                                      <w:divBdr>
                                        <w:top w:val="none" w:sz="0" w:space="0" w:color="auto"/>
                                        <w:left w:val="none" w:sz="0" w:space="0" w:color="auto"/>
                                        <w:bottom w:val="none" w:sz="0" w:space="0" w:color="auto"/>
                                        <w:right w:val="none" w:sz="0" w:space="0" w:color="auto"/>
                                      </w:divBdr>
                                      <w:divsChild>
                                        <w:div w:id="1186406453">
                                          <w:marLeft w:val="0"/>
                                          <w:marRight w:val="0"/>
                                          <w:marTop w:val="0"/>
                                          <w:marBottom w:val="0"/>
                                          <w:divBdr>
                                            <w:top w:val="none" w:sz="0" w:space="0" w:color="auto"/>
                                            <w:left w:val="none" w:sz="0" w:space="0" w:color="auto"/>
                                            <w:bottom w:val="none" w:sz="0" w:space="0" w:color="auto"/>
                                            <w:right w:val="none" w:sz="0" w:space="0" w:color="auto"/>
                                          </w:divBdr>
                                          <w:divsChild>
                                            <w:div w:id="1616446910">
                                              <w:marLeft w:val="0"/>
                                              <w:marRight w:val="0"/>
                                              <w:marTop w:val="0"/>
                                              <w:marBottom w:val="0"/>
                                              <w:divBdr>
                                                <w:top w:val="none" w:sz="0" w:space="0" w:color="auto"/>
                                                <w:left w:val="none" w:sz="0" w:space="0" w:color="auto"/>
                                                <w:bottom w:val="none" w:sz="0" w:space="0" w:color="auto"/>
                                                <w:right w:val="none" w:sz="0" w:space="0" w:color="auto"/>
                                              </w:divBdr>
                                              <w:divsChild>
                                                <w:div w:id="19871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6816777">
      <w:bodyDiv w:val="1"/>
      <w:marLeft w:val="0"/>
      <w:marRight w:val="0"/>
      <w:marTop w:val="0"/>
      <w:marBottom w:val="0"/>
      <w:divBdr>
        <w:top w:val="none" w:sz="0" w:space="0" w:color="auto"/>
        <w:left w:val="none" w:sz="0" w:space="0" w:color="auto"/>
        <w:bottom w:val="none" w:sz="0" w:space="0" w:color="auto"/>
        <w:right w:val="none" w:sz="0" w:space="0" w:color="auto"/>
      </w:divBdr>
      <w:divsChild>
        <w:div w:id="44095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6D46-3BE6-4A14-8422-E0BC17D3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36</Pages>
  <Words>6246</Words>
  <Characters>34981</Characters>
  <Application>Microsoft Office Word</Application>
  <DocSecurity>0</DocSecurity>
  <Lines>2332</Lines>
  <Paragraphs>736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2017-09-12T11:58:00Z</cp:lastPrinted>
  <dcterms:created xsi:type="dcterms:W3CDTF">2017-10-04T12:07:00Z</dcterms:created>
  <dcterms:modified xsi:type="dcterms:W3CDTF">2017-10-05T07:43:00Z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