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E1" w:rsidRDefault="00274BA9">
      <w:pPr>
        <w:pStyle w:val="Pagedecouverture"/>
        <w:rPr>
          <w:noProof/>
        </w:rPr>
      </w:pPr>
      <w:bookmarkStart w:id="0" w:name="LW_BM_COVERPAGE"/>
      <w:bookmarkStart w:id="1" w:name="_Toc427329148"/>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D1DB7B51A844A77AEBF662F989E2B77" style="width:450.75pt;height:321pt">
            <v:imagedata r:id="rId9" o:title=""/>
          </v:shape>
        </w:pict>
      </w:r>
    </w:p>
    <w:bookmarkEnd w:id="0"/>
    <w:p w:rsidR="006D67E1" w:rsidRDefault="006D67E1">
      <w:pPr>
        <w:rPr>
          <w:noProof/>
        </w:rPr>
        <w:sectPr w:rsidR="006D67E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D67E1" w:rsidRDefault="00274BA9">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eastAsia="Times New Roman" w:hAnsi="Times New Roman" w:cs="Times New Roman"/>
          <w:b/>
          <w:bCs/>
          <w:caps/>
          <w:smallCaps/>
          <w:noProof/>
          <w:sz w:val="24"/>
          <w:szCs w:val="24"/>
        </w:rPr>
        <w:lastRenderedPageBreak/>
        <w:t>Introduction</w:t>
      </w:r>
      <w:bookmarkEnd w:id="1"/>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EU benefits from the most stringent system in the world for the authorisation and </w:t>
      </w:r>
      <w:r>
        <w:rPr>
          <w:rFonts w:ascii="Times New Roman" w:eastAsia="Times New Roman" w:hAnsi="Times New Roman" w:cs="Times New Roman"/>
          <w:noProof/>
          <w:color w:val="000000"/>
          <w:sz w:val="24"/>
          <w:szCs w:val="24"/>
          <w:lang w:eastAsia="en-GB"/>
        </w:rPr>
        <w:t>control of pesticides</w:t>
      </w:r>
      <w:r>
        <w:rPr>
          <w:rStyle w:val="FootnoteReference"/>
          <w:rFonts w:ascii="Times New Roman" w:eastAsia="Times New Roman" w:hAnsi="Times New Roman" w:cs="Times New Roman"/>
          <w:noProof/>
          <w:color w:val="000000"/>
          <w:sz w:val="24"/>
          <w:szCs w:val="24"/>
          <w:lang w:eastAsia="en-GB"/>
        </w:rPr>
        <w:footnoteReference w:id="1"/>
      </w:r>
      <w:r>
        <w:rPr>
          <w:rFonts w:ascii="Times New Roman" w:eastAsia="Times New Roman" w:hAnsi="Times New Roman" w:cs="Times New Roman"/>
          <w:noProof/>
          <w:color w:val="000000"/>
          <w:sz w:val="24"/>
          <w:szCs w:val="24"/>
          <w:lang w:eastAsia="en-GB"/>
        </w:rPr>
        <w:t>. In spite of this, there is a strong desire throughout society to move towards sustainable food production, and a reduction or even ban on the use of pesticides. In this context, as part of modern production systems, sustainable agri</w:t>
      </w:r>
      <w:r>
        <w:rPr>
          <w:rFonts w:ascii="Times New Roman" w:eastAsia="Times New Roman" w:hAnsi="Times New Roman" w:cs="Times New Roman"/>
          <w:noProof/>
          <w:color w:val="000000"/>
          <w:sz w:val="24"/>
          <w:szCs w:val="24"/>
          <w:lang w:eastAsia="en-GB"/>
        </w:rPr>
        <w:t>culture is one of the UN Development Goals, and the promotion of the sustainable use of pesticides is one of the important actions being undertaken by the EU in support of the achievement of the UN 2030 Agenda for Sustainable Development</w:t>
      </w:r>
      <w:r>
        <w:rPr>
          <w:rFonts w:ascii="Times New Roman" w:eastAsia="Times New Roman" w:hAnsi="Times New Roman" w:cs="Times New Roman"/>
          <w:noProof/>
          <w:color w:val="000000"/>
          <w:sz w:val="24"/>
          <w:szCs w:val="24"/>
          <w:vertAlign w:val="superscript"/>
          <w:lang w:eastAsia="en-GB"/>
        </w:rPr>
        <w:footnoteReference w:id="2"/>
      </w:r>
      <w:r>
        <w:rPr>
          <w:rFonts w:ascii="Times New Roman" w:eastAsia="Times New Roman" w:hAnsi="Times New Roman" w:cs="Times New Roman"/>
          <w:noProof/>
          <w:color w:val="000000"/>
          <w:sz w:val="24"/>
          <w:szCs w:val="24"/>
          <w:lang w:eastAsia="en-GB"/>
        </w:rPr>
        <w:t>.</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2006 </w:t>
      </w:r>
      <w:r>
        <w:rPr>
          <w:rFonts w:ascii="Times New Roman" w:eastAsia="Times New Roman" w:hAnsi="Times New Roman" w:cs="Times New Roman"/>
          <w:noProof/>
          <w:color w:val="000000"/>
          <w:sz w:val="24"/>
          <w:szCs w:val="24"/>
          <w:lang w:eastAsia="en-GB"/>
        </w:rPr>
        <w:t>Thematic Strategy on the sustainable use of pesticides</w:t>
      </w:r>
      <w:r>
        <w:rPr>
          <w:rFonts w:ascii="Times New Roman" w:eastAsia="Times New Roman" w:hAnsi="Times New Roman" w:cs="Times New Roman"/>
          <w:noProof/>
          <w:color w:val="000000"/>
          <w:sz w:val="24"/>
          <w:szCs w:val="24"/>
          <w:vertAlign w:val="superscript"/>
          <w:lang w:eastAsia="en-GB"/>
        </w:rPr>
        <w:footnoteReference w:id="3"/>
      </w:r>
      <w:r>
        <w:rPr>
          <w:rFonts w:ascii="Times New Roman" w:eastAsia="Times New Roman" w:hAnsi="Times New Roman" w:cs="Times New Roman"/>
          <w:noProof/>
          <w:color w:val="000000"/>
          <w:sz w:val="24"/>
          <w:szCs w:val="24"/>
          <w:lang w:eastAsia="en-GB"/>
        </w:rPr>
        <w:t xml:space="preserve"> led to a new legislative framework for the approval and use of pesticides</w:t>
      </w:r>
      <w:r>
        <w:rPr>
          <w:rFonts w:ascii="Times New Roman" w:eastAsia="Times New Roman" w:hAnsi="Times New Roman" w:cs="Times New Roman"/>
          <w:noProof/>
          <w:color w:val="000000"/>
          <w:sz w:val="24"/>
          <w:szCs w:val="24"/>
          <w:vertAlign w:val="superscript"/>
          <w:lang w:eastAsia="en-GB"/>
        </w:rPr>
        <w:footnoteReference w:id="4"/>
      </w:r>
      <w:r>
        <w:rPr>
          <w:rFonts w:ascii="Times New Roman" w:eastAsia="Times New Roman" w:hAnsi="Times New Roman" w:cs="Times New Roman"/>
          <w:noProof/>
          <w:color w:val="000000"/>
          <w:sz w:val="24"/>
          <w:szCs w:val="24"/>
          <w:lang w:eastAsia="en-GB"/>
        </w:rPr>
        <w:t>. This includes a strict framework for the approval of active substances by the European Commission and the authorisation of p</w:t>
      </w:r>
      <w:r>
        <w:rPr>
          <w:rFonts w:ascii="Times New Roman" w:eastAsia="Times New Roman" w:hAnsi="Times New Roman" w:cs="Times New Roman"/>
          <w:noProof/>
          <w:color w:val="000000"/>
          <w:sz w:val="24"/>
          <w:szCs w:val="24"/>
          <w:lang w:eastAsia="en-GB"/>
        </w:rPr>
        <w:t>lant protection products by Member States, which, if used according to the authorised conditions of use, have no identified harmful effects on human and animal health, and no unacceptable effects on the environment</w:t>
      </w:r>
      <w:r>
        <w:rPr>
          <w:rFonts w:ascii="Times New Roman" w:eastAsia="Times New Roman" w:hAnsi="Times New Roman" w:cs="Times New Roman"/>
          <w:noProof/>
          <w:color w:val="000000"/>
          <w:sz w:val="24"/>
          <w:szCs w:val="24"/>
          <w:vertAlign w:val="superscript"/>
          <w:lang w:eastAsia="en-GB"/>
        </w:rPr>
        <w:footnoteReference w:id="5"/>
      </w:r>
      <w:r>
        <w:rPr>
          <w:rFonts w:ascii="Times New Roman" w:eastAsia="Times New Roman" w:hAnsi="Times New Roman" w:cs="Times New Roman"/>
          <w:noProof/>
          <w:color w:val="000000"/>
          <w:sz w:val="24"/>
          <w:szCs w:val="24"/>
          <w:lang w:eastAsia="en-GB"/>
        </w:rPr>
        <w:t>. This strict system for placing on the m</w:t>
      </w:r>
      <w:r>
        <w:rPr>
          <w:rFonts w:ascii="Times New Roman" w:eastAsia="Times New Roman" w:hAnsi="Times New Roman" w:cs="Times New Roman"/>
          <w:noProof/>
          <w:color w:val="000000"/>
          <w:sz w:val="24"/>
          <w:szCs w:val="24"/>
          <w:lang w:eastAsia="en-GB"/>
        </w:rPr>
        <w:t>arket has led to an approximate 50% reduction in the number of approved active substances</w:t>
      </w:r>
      <w:r>
        <w:rPr>
          <w:rStyle w:val="FootnoteReference"/>
          <w:rFonts w:ascii="Times New Roman" w:eastAsia="Times New Roman" w:hAnsi="Times New Roman" w:cs="Times New Roman"/>
          <w:noProof/>
          <w:color w:val="000000"/>
          <w:sz w:val="24"/>
          <w:szCs w:val="24"/>
          <w:lang w:eastAsia="en-GB"/>
        </w:rPr>
        <w:footnoteReference w:id="6"/>
      </w:r>
      <w:r>
        <w:rPr>
          <w:rFonts w:ascii="Times New Roman" w:eastAsia="Times New Roman" w:hAnsi="Times New Roman" w:cs="Times New Roman"/>
          <w:noProof/>
          <w:color w:val="000000"/>
          <w:sz w:val="24"/>
          <w:szCs w:val="24"/>
          <w:lang w:eastAsia="en-GB"/>
        </w:rPr>
        <w:t>. Controls on the marketing and use of pesticides aim to ensure that authorised pesticides are marketed and used according to these conditions. Plants treated with au</w:t>
      </w:r>
      <w:r>
        <w:rPr>
          <w:rFonts w:ascii="Times New Roman" w:eastAsia="Times New Roman" w:hAnsi="Times New Roman" w:cs="Times New Roman"/>
          <w:noProof/>
          <w:color w:val="000000"/>
          <w:sz w:val="24"/>
          <w:szCs w:val="24"/>
          <w:lang w:eastAsia="en-GB"/>
        </w:rPr>
        <w:t>thorised pesticides in line with the product label can be marketed and consumed as safe food, with pesticide residues within the EU maximum residue levels (MRLs)</w:t>
      </w:r>
      <w:r>
        <w:rPr>
          <w:rStyle w:val="FootnoteReference"/>
          <w:rFonts w:ascii="Times New Roman" w:eastAsia="Times New Roman" w:hAnsi="Times New Roman" w:cs="Times New Roman"/>
          <w:noProof/>
          <w:color w:val="000000"/>
          <w:sz w:val="24"/>
          <w:szCs w:val="24"/>
          <w:lang w:eastAsia="en-GB"/>
        </w:rPr>
        <w:footnoteReference w:id="7"/>
      </w:r>
      <w:r>
        <w:rPr>
          <w:rFonts w:ascii="Times New Roman" w:eastAsia="Times New Roman" w:hAnsi="Times New Roman" w:cs="Times New Roman"/>
          <w:noProof/>
          <w:color w:val="000000"/>
          <w:sz w:val="24"/>
          <w:szCs w:val="24"/>
          <w:lang w:eastAsia="en-GB"/>
        </w:rPr>
        <w:t>.</w:t>
      </w:r>
    </w:p>
    <w:p w:rsidR="006D67E1" w:rsidRDefault="006D67E1">
      <w:pPr>
        <w:tabs>
          <w:tab w:val="left" w:pos="1665"/>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Directive 2009/128/EC of the European Parliament and of the Council on the sustainable use </w:t>
      </w:r>
      <w:r>
        <w:rPr>
          <w:rFonts w:ascii="Times New Roman" w:eastAsia="Times New Roman" w:hAnsi="Times New Roman" w:cs="Times New Roman"/>
          <w:noProof/>
          <w:color w:val="000000"/>
          <w:sz w:val="24"/>
          <w:szCs w:val="24"/>
          <w:lang w:eastAsia="en-GB"/>
        </w:rPr>
        <w:t>of pesticides</w:t>
      </w:r>
      <w:r>
        <w:rPr>
          <w:rFonts w:ascii="Times New Roman" w:eastAsia="Times New Roman" w:hAnsi="Times New Roman" w:cs="Times New Roman"/>
          <w:noProof/>
          <w:color w:val="000000"/>
          <w:sz w:val="24"/>
          <w:szCs w:val="24"/>
          <w:vertAlign w:val="superscript"/>
          <w:lang w:eastAsia="en-GB"/>
        </w:rPr>
        <w:footnoteReference w:id="8"/>
      </w:r>
      <w:r>
        <w:rPr>
          <w:rFonts w:ascii="Times New Roman" w:eastAsia="Times New Roman" w:hAnsi="Times New Roman" w:cs="Times New Roman"/>
          <w:noProof/>
          <w:color w:val="000000"/>
          <w:sz w:val="24"/>
          <w:szCs w:val="24"/>
          <w:lang w:eastAsia="en-GB"/>
        </w:rPr>
        <w:t>, (the “Directive”), adopted on 21 October 2009 as part of this strategy, provides for a range of actions to achieve a sustainable use of pesticides in the EU by reducing the risks and impacts of pesticide use on human health and the environm</w:t>
      </w:r>
      <w:r>
        <w:rPr>
          <w:rFonts w:ascii="Times New Roman" w:eastAsia="Times New Roman" w:hAnsi="Times New Roman" w:cs="Times New Roman"/>
          <w:noProof/>
          <w:color w:val="000000"/>
          <w:sz w:val="24"/>
          <w:szCs w:val="24"/>
          <w:lang w:eastAsia="en-GB"/>
        </w:rPr>
        <w:t>ent and promoting the use of Integrated Pest Management (IPM) and of alternative approaches or techniques, such as non-chemical alternatives to pesticides.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Member States were required to adopt National Action Plans (NAPs) to implement the Directive for th</w:t>
      </w:r>
      <w:r>
        <w:rPr>
          <w:rFonts w:ascii="Times New Roman" w:eastAsia="Times New Roman" w:hAnsi="Times New Roman" w:cs="Times New Roman"/>
          <w:noProof/>
          <w:color w:val="000000"/>
          <w:sz w:val="24"/>
          <w:szCs w:val="24"/>
          <w:lang w:eastAsia="en-GB"/>
        </w:rPr>
        <w:t>e first time by November 2012. These plans should contain quantitative objectives, targets, measurements and timetables to reduce the risks and impacts of pesticide use. The Regulation on the placing of plant protection products on the market also includes</w:t>
      </w:r>
      <w:r>
        <w:rPr>
          <w:rFonts w:ascii="Times New Roman" w:eastAsia="Times New Roman" w:hAnsi="Times New Roman" w:cs="Times New Roman"/>
          <w:noProof/>
          <w:color w:val="000000"/>
          <w:sz w:val="24"/>
          <w:szCs w:val="24"/>
          <w:lang w:eastAsia="en-GB"/>
        </w:rPr>
        <w:t xml:space="preserve"> a </w:t>
      </w:r>
      <w:r>
        <w:rPr>
          <w:rFonts w:ascii="Times New Roman" w:eastAsia="Times New Roman" w:hAnsi="Times New Roman" w:cs="Times New Roman"/>
          <w:noProof/>
          <w:color w:val="000000"/>
          <w:sz w:val="24"/>
          <w:szCs w:val="24"/>
          <w:lang w:eastAsia="en-GB"/>
        </w:rPr>
        <w:lastRenderedPageBreak/>
        <w:t>number of provisions linked to the Directive, including the facilitation of the rapid approval of low risk substances and the use of these products following the IPM principles.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Directive identifies specific measures that Member States are required</w:t>
      </w:r>
      <w:r>
        <w:rPr>
          <w:rFonts w:ascii="Times New Roman" w:eastAsia="Times New Roman" w:hAnsi="Times New Roman" w:cs="Times New Roman"/>
          <w:noProof/>
          <w:color w:val="000000"/>
          <w:sz w:val="24"/>
          <w:szCs w:val="24"/>
          <w:lang w:eastAsia="en-GB"/>
        </w:rPr>
        <w:t xml:space="preserve"> to include in their plans for proper implementation. The main actions relate to training of users, advisors and distributors, inspection of pesticide application equipment, the prohibition of aerial spraying, limitation of pesticide use in sensitive areas</w:t>
      </w:r>
      <w:r>
        <w:rPr>
          <w:rFonts w:ascii="Times New Roman" w:eastAsia="Times New Roman" w:hAnsi="Times New Roman" w:cs="Times New Roman"/>
          <w:noProof/>
          <w:color w:val="000000"/>
          <w:sz w:val="24"/>
          <w:szCs w:val="24"/>
          <w:lang w:eastAsia="en-GB"/>
        </w:rPr>
        <w:t>, and information and awareness raising about pesticide risks. A cornerstone of the Directive is the promotion of IPM, for which general principles are laid down in Annex III to the Directive. The deadlines established by the Directive for implementation o</w:t>
      </w:r>
      <w:r>
        <w:rPr>
          <w:rFonts w:ascii="Times New Roman" w:eastAsia="Times New Roman" w:hAnsi="Times New Roman" w:cs="Times New Roman"/>
          <w:noProof/>
          <w:color w:val="000000"/>
          <w:sz w:val="24"/>
          <w:szCs w:val="24"/>
          <w:lang w:eastAsia="en-GB"/>
        </w:rPr>
        <w:t>f all above measures were phased over the period November 2011 to November 2016. Since November 2016, (when inspection of pesticide application equipment inspection became compulsory), Member States have been required to implement all the relevant measures</w:t>
      </w:r>
      <w:r>
        <w:rPr>
          <w:rFonts w:ascii="Times New Roman" w:eastAsia="Times New Roman" w:hAnsi="Times New Roman" w:cs="Times New Roman"/>
          <w:noProof/>
          <w:color w:val="000000"/>
          <w:sz w:val="24"/>
          <w:szCs w:val="24"/>
          <w:lang w:eastAsia="en-GB"/>
        </w:rPr>
        <w:t xml:space="preserve"> of the Directive. </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noProof/>
          <w:lang w:eastAsia="en-GB"/>
        </w:rPr>
      </w:pPr>
      <w:r>
        <w:rPr>
          <w:rFonts w:ascii="Times New Roman" w:eastAsia="Times New Roman" w:hAnsi="Times New Roman" w:cs="Times New Roman"/>
          <w:noProof/>
          <w:color w:val="000000"/>
          <w:sz w:val="24"/>
          <w:szCs w:val="24"/>
          <w:lang w:eastAsia="en-GB"/>
        </w:rPr>
        <w:t>The Commission has established a working group with Member States, which regularly meets to discuss implementation of the Directive and exchange best practice</w:t>
      </w:r>
      <w:r>
        <w:rPr>
          <w:noProof/>
          <w:lang w:eastAsia="en-GB"/>
        </w:rPr>
        <w:t xml:space="preserve">. </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000000"/>
          <w:sz w:val="24"/>
          <w:szCs w:val="24"/>
          <w:lang w:eastAsia="en-GB"/>
        </w:rPr>
        <w:t>This report addresses the reporting requirements under both Articles 4(3)</w:t>
      </w:r>
      <w:r>
        <w:rPr>
          <w:rFonts w:ascii="Times New Roman" w:eastAsia="Times New Roman" w:hAnsi="Times New Roman" w:cs="Times New Roman"/>
          <w:noProof/>
          <w:color w:val="000000"/>
          <w:sz w:val="24"/>
          <w:szCs w:val="24"/>
          <w:lang w:eastAsia="en-GB"/>
        </w:rPr>
        <w:t xml:space="preserve"> and 16 of the Directive. Article 4(3) requires the Commission to submit to the European Parliament and to the Council a report on the national action plans communicated by the Member States, and Article 16 requires it to report on the progress in the impl</w:t>
      </w:r>
      <w:r>
        <w:rPr>
          <w:rFonts w:ascii="Times New Roman" w:eastAsia="Times New Roman" w:hAnsi="Times New Roman" w:cs="Times New Roman"/>
          <w:noProof/>
          <w:color w:val="000000"/>
          <w:sz w:val="24"/>
          <w:szCs w:val="24"/>
          <w:lang w:eastAsia="en-GB"/>
        </w:rPr>
        <w:t>ementation of the Directiv</w:t>
      </w:r>
      <w:r>
        <w:rPr>
          <w:rFonts w:ascii="Times New Roman" w:eastAsia="Times New Roman" w:hAnsi="Times New Roman" w:cs="Times New Roman"/>
          <w:noProof/>
          <w:sz w:val="24"/>
          <w:szCs w:val="24"/>
          <w:lang w:eastAsia="en-GB"/>
        </w:rPr>
        <w:t>e.</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This report is based on four sources of information;</w:t>
      </w:r>
    </w:p>
    <w:p w:rsidR="006D67E1" w:rsidRDefault="00274BA9">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Commission assessment of the national action plans, concluded in 2015.</w:t>
      </w:r>
    </w:p>
    <w:p w:rsidR="006D67E1" w:rsidRDefault="00274BA9">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Two audit series on pesticides performed between 2012-2014 and 2015-2016 respectively the first on con</w:t>
      </w:r>
      <w:r>
        <w:rPr>
          <w:rFonts w:ascii="Times New Roman" w:eastAsia="Times New Roman" w:hAnsi="Times New Roman" w:cs="Times New Roman"/>
          <w:noProof/>
          <w:color w:val="000000"/>
          <w:sz w:val="24"/>
          <w:szCs w:val="24"/>
          <w:lang w:eastAsia="en-GB"/>
        </w:rPr>
        <w:t>trols on plant protection products</w:t>
      </w:r>
      <w:r>
        <w:rPr>
          <w:noProof/>
          <w:vertAlign w:val="superscript"/>
          <w:lang w:eastAsia="en-GB"/>
        </w:rPr>
        <w:footnoteReference w:id="9"/>
      </w:r>
      <w:r>
        <w:rPr>
          <w:rFonts w:ascii="Times New Roman" w:eastAsia="Times New Roman" w:hAnsi="Times New Roman" w:cs="Times New Roman"/>
          <w:noProof/>
          <w:color w:val="000000"/>
          <w:sz w:val="24"/>
          <w:szCs w:val="24"/>
          <w:lang w:eastAsia="en-GB"/>
        </w:rPr>
        <w:t xml:space="preserve"> and the second on the marketing and use of pesticides</w:t>
      </w:r>
      <w:r>
        <w:rPr>
          <w:noProof/>
          <w:vertAlign w:val="superscript"/>
          <w:lang w:eastAsia="en-GB"/>
        </w:rPr>
        <w:footnoteReference w:id="10"/>
      </w:r>
      <w:r>
        <w:rPr>
          <w:rFonts w:ascii="Times New Roman" w:eastAsia="Times New Roman" w:hAnsi="Times New Roman" w:cs="Times New Roman"/>
          <w:noProof/>
          <w:color w:val="000000"/>
          <w:sz w:val="24"/>
          <w:szCs w:val="24"/>
          <w:lang w:eastAsia="en-GB"/>
        </w:rPr>
        <w:t>, which included certain aspects of implementation of the Directive within their scope.</w:t>
      </w:r>
    </w:p>
    <w:p w:rsidR="006D67E1" w:rsidRDefault="00274BA9">
      <w:pPr>
        <w:pStyle w:val="ListParagraph"/>
        <w:numPr>
          <w:ilvl w:val="0"/>
          <w:numId w:val="3"/>
        </w:numPr>
        <w:autoSpaceDE w:val="0"/>
        <w:autoSpaceDN w:val="0"/>
        <w:adjustRightInd w:val="0"/>
        <w:spacing w:after="0" w:line="240" w:lineRule="auto"/>
        <w:jc w:val="both"/>
        <w:rPr>
          <w:noProof/>
          <w:lang w:eastAsia="en-GB"/>
        </w:rPr>
      </w:pPr>
      <w:r>
        <w:rPr>
          <w:rFonts w:ascii="Times New Roman" w:eastAsia="Times New Roman" w:hAnsi="Times New Roman" w:cs="Times New Roman"/>
          <w:noProof/>
          <w:color w:val="000000"/>
          <w:sz w:val="24"/>
          <w:szCs w:val="24"/>
          <w:lang w:eastAsia="en-GB"/>
        </w:rPr>
        <w:t>A survey and a questionnaire</w:t>
      </w:r>
      <w:r>
        <w:rPr>
          <w:rStyle w:val="FootnoteReference"/>
          <w:rFonts w:ascii="Times New Roman" w:eastAsia="Times New Roman" w:hAnsi="Times New Roman" w:cs="Times New Roman"/>
          <w:noProof/>
          <w:color w:val="000000"/>
          <w:sz w:val="24"/>
          <w:szCs w:val="24"/>
          <w:lang w:eastAsia="en-GB"/>
        </w:rPr>
        <w:footnoteReference w:id="11"/>
      </w:r>
      <w:r>
        <w:rPr>
          <w:rFonts w:ascii="Times New Roman" w:eastAsia="Times New Roman" w:hAnsi="Times New Roman" w:cs="Times New Roman"/>
          <w:noProof/>
          <w:color w:val="000000"/>
          <w:sz w:val="24"/>
          <w:szCs w:val="24"/>
          <w:lang w:eastAsia="en-GB"/>
        </w:rPr>
        <w:t xml:space="preserve"> sent in 2016 to all Member States to get an update on progress with the implementation of Action Plans.</w:t>
      </w:r>
    </w:p>
    <w:p w:rsidR="006D67E1" w:rsidRDefault="00274BA9">
      <w:pPr>
        <w:pStyle w:val="ListParagraph"/>
        <w:numPr>
          <w:ilvl w:val="0"/>
          <w:numId w:val="3"/>
        </w:numPr>
        <w:autoSpaceDE w:val="0"/>
        <w:autoSpaceDN w:val="0"/>
        <w:adjustRightInd w:val="0"/>
        <w:spacing w:after="0" w:line="240" w:lineRule="auto"/>
        <w:jc w:val="both"/>
        <w:rPr>
          <w:noProof/>
          <w:lang w:eastAsia="en-GB"/>
        </w:rPr>
      </w:pPr>
      <w:r>
        <w:rPr>
          <w:rFonts w:ascii="Times New Roman" w:eastAsia="Times New Roman" w:hAnsi="Times New Roman" w:cs="Times New Roman"/>
          <w:noProof/>
          <w:color w:val="000000"/>
          <w:sz w:val="24"/>
          <w:szCs w:val="24"/>
          <w:lang w:eastAsia="en-GB"/>
        </w:rPr>
        <w:t>Fact-finding visits to six Member States in 2017</w:t>
      </w:r>
      <w:r>
        <w:rPr>
          <w:rStyle w:val="FootnoteReference"/>
          <w:rFonts w:ascii="Times New Roman" w:eastAsia="Times New Roman" w:hAnsi="Times New Roman" w:cs="Times New Roman"/>
          <w:noProof/>
          <w:color w:val="000000"/>
          <w:sz w:val="24"/>
          <w:szCs w:val="24"/>
          <w:lang w:eastAsia="en-GB"/>
        </w:rPr>
        <w:footnoteReference w:id="12"/>
      </w:r>
      <w:r>
        <w:rPr>
          <w:rFonts w:ascii="Times New Roman" w:eastAsia="Times New Roman" w:hAnsi="Times New Roman" w:cs="Times New Roman"/>
          <w:noProof/>
          <w:color w:val="000000"/>
          <w:sz w:val="24"/>
          <w:szCs w:val="24"/>
          <w:lang w:eastAsia="en-GB"/>
        </w:rPr>
        <w:t xml:space="preserve"> specifically to investigate the overall progress made with implementation of the Directive. These Mem</w:t>
      </w:r>
      <w:r>
        <w:rPr>
          <w:rFonts w:ascii="Times New Roman" w:eastAsia="Times New Roman" w:hAnsi="Times New Roman" w:cs="Times New Roman"/>
          <w:noProof/>
          <w:color w:val="000000"/>
          <w:sz w:val="24"/>
          <w:szCs w:val="24"/>
          <w:lang w:eastAsia="en-GB"/>
        </w:rPr>
        <w:t>ber States were chosen to give a cross section of different Member States covering varying geographical regions. In addition to the individual mission reports, the main findings of these six missions will be published in an overview report later this year,</w:t>
      </w:r>
      <w:r>
        <w:rPr>
          <w:rFonts w:ascii="Times New Roman" w:eastAsia="Times New Roman" w:hAnsi="Times New Roman" w:cs="Times New Roman"/>
          <w:noProof/>
          <w:color w:val="000000"/>
          <w:sz w:val="24"/>
          <w:szCs w:val="24"/>
          <w:lang w:eastAsia="en-GB"/>
        </w:rPr>
        <w:t xml:space="preserve"> and will include a more detailed analysis of the results of the above questionnaire, including examples of good practice in implementation identified by Member States. </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pStyle w:val="FootnoteText"/>
        <w:jc w:val="both"/>
        <w:rPr>
          <w:noProof/>
          <w:sz w:val="24"/>
          <w:szCs w:val="24"/>
          <w:lang w:eastAsia="en-GB"/>
        </w:rPr>
      </w:pPr>
      <w:r>
        <w:rPr>
          <w:rFonts w:ascii="Times New Roman" w:eastAsia="Times New Roman" w:hAnsi="Times New Roman" w:cs="Times New Roman"/>
          <w:noProof/>
          <w:color w:val="000000"/>
          <w:sz w:val="24"/>
          <w:szCs w:val="24"/>
          <w:lang w:eastAsia="en-GB"/>
        </w:rPr>
        <w:t xml:space="preserve">The NAPs, reports of the Commission, including audit reports as well as the overview </w:t>
      </w:r>
      <w:r>
        <w:rPr>
          <w:rFonts w:ascii="Times New Roman" w:eastAsia="Times New Roman" w:hAnsi="Times New Roman" w:cs="Times New Roman"/>
          <w:noProof/>
          <w:color w:val="000000"/>
          <w:sz w:val="24"/>
          <w:szCs w:val="24"/>
          <w:lang w:eastAsia="en-GB"/>
        </w:rPr>
        <w:t xml:space="preserve">reports are available on the Commission webpage for the sustainable use of pesticides at </w:t>
      </w:r>
      <w:hyperlink r:id="rId16" w:history="1">
        <w:r>
          <w:rPr>
            <w:rStyle w:val="Hyperlink"/>
            <w:rFonts w:ascii="Times New Roman" w:hAnsi="Times New Roman"/>
            <w:noProof/>
            <w:sz w:val="24"/>
            <w:szCs w:val="24"/>
          </w:rPr>
          <w:t>https://ec.europa.eu/food/plant/pesticides/sustainable_use_pesticides_en</w:t>
        </w:r>
      </w:hyperlink>
    </w:p>
    <w:p w:rsidR="006D67E1" w:rsidRDefault="00274BA9">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bookmarkStart w:id="3" w:name="_Toc427329152"/>
      <w:r>
        <w:rPr>
          <w:rFonts w:ascii="Times New Roman" w:eastAsia="Times New Roman" w:hAnsi="Times New Roman" w:cs="Times New Roman"/>
          <w:b/>
          <w:bCs/>
          <w:caps/>
          <w:smallCaps/>
          <w:noProof/>
          <w:sz w:val="24"/>
          <w:szCs w:val="24"/>
        </w:rPr>
        <w:lastRenderedPageBreak/>
        <w:t>Natio</w:t>
      </w:r>
      <w:r>
        <w:rPr>
          <w:rFonts w:ascii="Times New Roman" w:eastAsia="Times New Roman" w:hAnsi="Times New Roman" w:cs="Times New Roman"/>
          <w:b/>
          <w:bCs/>
          <w:caps/>
          <w:smallCaps/>
          <w:noProof/>
          <w:sz w:val="24"/>
          <w:szCs w:val="24"/>
        </w:rPr>
        <w:t xml:space="preserve">nal Action Plans </w:t>
      </w: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4 of the Directive required Member States to adopt the first round of national action plans and to communicate these to the Commission and other Member States by 26 November 2012. These plans should be reviewed at least every five</w:t>
      </w:r>
      <w:r>
        <w:rPr>
          <w:rFonts w:ascii="Times New Roman" w:eastAsia="Times New Roman" w:hAnsi="Times New Roman" w:cs="Times New Roman"/>
          <w:noProof/>
          <w:color w:val="000000"/>
          <w:sz w:val="24"/>
          <w:szCs w:val="24"/>
          <w:lang w:eastAsia="en-GB"/>
        </w:rPr>
        <w:t xml:space="preserve"> years. They should establish quantitative objectives, targets, measures and timetables to reduce the risk and impact of pesticide use on human health and the environment. All Member States have adopted such plans</w:t>
      </w:r>
      <w:r>
        <w:rPr>
          <w:rStyle w:val="FootnoteReference"/>
          <w:rFonts w:ascii="Times New Roman" w:eastAsia="Times New Roman" w:hAnsi="Times New Roman" w:cs="Times New Roman"/>
          <w:noProof/>
          <w:color w:val="000000"/>
          <w:sz w:val="24"/>
          <w:szCs w:val="24"/>
          <w:lang w:eastAsia="en-GB"/>
        </w:rPr>
        <w:footnoteReference w:id="13"/>
      </w:r>
      <w:r>
        <w:rPr>
          <w:rFonts w:ascii="Times New Roman" w:eastAsia="Times New Roman" w:hAnsi="Times New Roman" w:cs="Times New Roman"/>
          <w:noProof/>
          <w:color w:val="000000"/>
          <w:sz w:val="24"/>
          <w:szCs w:val="24"/>
          <w:lang w:eastAsia="en-GB"/>
        </w:rPr>
        <w:t>, in many cases with significant delays. T</w:t>
      </w:r>
      <w:r>
        <w:rPr>
          <w:rFonts w:ascii="Times New Roman" w:eastAsia="Times New Roman" w:hAnsi="Times New Roman" w:cs="Times New Roman"/>
          <w:noProof/>
          <w:color w:val="000000"/>
          <w:sz w:val="24"/>
          <w:szCs w:val="24"/>
          <w:lang w:eastAsia="en-GB"/>
        </w:rPr>
        <w:t>he plans were communicated to the Commission, and have been made available in English language on the Commission website</w:t>
      </w:r>
      <w:r>
        <w:rPr>
          <w:rFonts w:ascii="Times New Roman" w:eastAsia="Times New Roman" w:hAnsi="Times New Roman" w:cs="Times New Roman"/>
          <w:noProof/>
          <w:color w:val="000000"/>
          <w:sz w:val="24"/>
          <w:szCs w:val="24"/>
          <w:vertAlign w:val="superscript"/>
          <w:lang w:eastAsia="en-GB"/>
        </w:rPr>
        <w:footnoteReference w:id="14"/>
      </w:r>
      <w:r>
        <w:rPr>
          <w:rFonts w:ascii="Times New Roman" w:eastAsia="Times New Roman" w:hAnsi="Times New Roman" w:cs="Times New Roman"/>
          <w:noProof/>
          <w:color w:val="000000"/>
          <w:sz w:val="24"/>
          <w:szCs w:val="24"/>
          <w:lang w:eastAsia="en-GB"/>
        </w:rPr>
        <w:t>.</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national action plans are the basis of Member State controls of the Directive, but there is huge diversity in their completeness</w:t>
            </w:r>
            <w:r>
              <w:rPr>
                <w:rFonts w:ascii="Times New Roman" w:eastAsia="Times New Roman" w:hAnsi="Times New Roman" w:cs="Times New Roman"/>
                <w:noProof/>
                <w:color w:val="000000"/>
                <w:sz w:val="24"/>
                <w:szCs w:val="24"/>
                <w:lang w:eastAsia="en-GB"/>
              </w:rPr>
              <w:t xml:space="preserve"> and coverage. Member States should improve their plans significantly to address the shortcomings below, and to establish more precise and measurable targets.</w:t>
            </w:r>
          </w:p>
        </w:tc>
      </w:tr>
    </w:tbl>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Member States had different starting points for the development of the NAPs. Seven had </w:t>
      </w:r>
      <w:r>
        <w:rPr>
          <w:rFonts w:ascii="Times New Roman" w:eastAsia="Times New Roman" w:hAnsi="Times New Roman" w:cs="Times New Roman"/>
          <w:noProof/>
          <w:color w:val="000000"/>
          <w:sz w:val="24"/>
          <w:szCs w:val="24"/>
          <w:lang w:eastAsia="en-GB"/>
        </w:rPr>
        <w:t>previously developed action plans, whereas for all others, this was their first plan. To date, only France and Lithuania have produced a revised NAP. The level of implementation of the action plans will be clearer once all Member States have completed thes</w:t>
      </w:r>
      <w:r>
        <w:rPr>
          <w:rFonts w:ascii="Times New Roman" w:eastAsia="Times New Roman" w:hAnsi="Times New Roman" w:cs="Times New Roman"/>
          <w:noProof/>
          <w:color w:val="000000"/>
          <w:sz w:val="24"/>
          <w:szCs w:val="24"/>
          <w:lang w:eastAsia="en-GB"/>
        </w:rPr>
        <w:t>e reviews and communicated them to the Commission.</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NAPs reflect positively on the efforts made by Member States in their preparation. However, they vary greatly in terms of detailing how exactly they plan to implement measures pursuant to Articles 5-15 of</w:t>
      </w:r>
      <w:r>
        <w:rPr>
          <w:rFonts w:ascii="Times New Roman" w:eastAsia="Times New Roman" w:hAnsi="Times New Roman" w:cs="Times New Roman"/>
          <w:noProof/>
          <w:color w:val="000000"/>
          <w:sz w:val="24"/>
          <w:szCs w:val="24"/>
          <w:lang w:eastAsia="en-GB"/>
        </w:rPr>
        <w:t xml:space="preserve"> the Directive. In most cases, not all aspects of these Articles were covered. The plans deal comprehensively with some areas, for example testing of pesticide application equipment and training of pesticide users, but many provide little detail in other a</w:t>
      </w:r>
      <w:r>
        <w:rPr>
          <w:rFonts w:ascii="Times New Roman" w:eastAsia="Times New Roman" w:hAnsi="Times New Roman" w:cs="Times New Roman"/>
          <w:noProof/>
          <w:color w:val="000000"/>
          <w:sz w:val="24"/>
          <w:szCs w:val="24"/>
          <w:lang w:eastAsia="en-GB"/>
        </w:rPr>
        <w:t>reas, for example in relation to aerial spraying, information to the public and gathering information regarding poisoning cases.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NAPs are also inconsistent as regards establishing quantitative objectives, targets, measurements and timetables for the vario</w:t>
      </w:r>
      <w:r>
        <w:rPr>
          <w:rFonts w:ascii="Times New Roman" w:eastAsia="Times New Roman" w:hAnsi="Times New Roman" w:cs="Times New Roman"/>
          <w:noProof/>
          <w:color w:val="000000"/>
          <w:sz w:val="24"/>
          <w:szCs w:val="24"/>
          <w:lang w:eastAsia="en-GB"/>
        </w:rPr>
        <w:t>us action areas. In some areas, for example the testing of pesticide application equipment, the plans are excellent with almost all of them setting specific targets to achieve full compliance. On the other hand, most Member States did not establish targets</w:t>
      </w:r>
      <w:r>
        <w:rPr>
          <w:rFonts w:ascii="Times New Roman" w:eastAsia="Times New Roman" w:hAnsi="Times New Roman" w:cs="Times New Roman"/>
          <w:noProof/>
          <w:color w:val="000000"/>
          <w:sz w:val="24"/>
          <w:szCs w:val="24"/>
          <w:lang w:eastAsia="en-GB"/>
        </w:rPr>
        <w:t xml:space="preserve"> and timetables for measures to protect the aquatic environment from pesticides.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addition, in around 80% of cases, action plans do not specify how the achievement of targets or objectives will be measured. The absence of clear measurable targets makes </w:t>
      </w:r>
      <w:r>
        <w:rPr>
          <w:rFonts w:ascii="Times New Roman" w:eastAsia="Times New Roman" w:hAnsi="Times New Roman" w:cs="Times New Roman"/>
          <w:noProof/>
          <w:color w:val="000000"/>
          <w:sz w:val="24"/>
          <w:szCs w:val="24"/>
          <w:lang w:eastAsia="en-GB"/>
        </w:rPr>
        <w:t>it difficult to assess the progress with implementation and to identify areas where further actions are needed.</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 Member States</w:t>
      </w:r>
      <w:r>
        <w:rPr>
          <w:rStyle w:val="FootnoteReference"/>
          <w:rFonts w:ascii="Times New Roman" w:eastAsia="Times New Roman" w:hAnsi="Times New Roman" w:cs="Times New Roman"/>
          <w:noProof/>
          <w:color w:val="000000"/>
          <w:sz w:val="24"/>
          <w:szCs w:val="24"/>
          <w:lang w:eastAsia="en-GB"/>
        </w:rPr>
        <w:footnoteReference w:id="15"/>
      </w:r>
      <w:r>
        <w:rPr>
          <w:rFonts w:ascii="Times New Roman" w:eastAsia="Times New Roman" w:hAnsi="Times New Roman" w:cs="Times New Roman"/>
          <w:noProof/>
          <w:color w:val="000000"/>
          <w:sz w:val="24"/>
          <w:szCs w:val="24"/>
          <w:lang w:eastAsia="en-GB"/>
        </w:rPr>
        <w:t xml:space="preserve"> reported risk reduction targets, and 9</w:t>
      </w:r>
      <w:r>
        <w:rPr>
          <w:rStyle w:val="FootnoteReference"/>
          <w:rFonts w:ascii="Times New Roman" w:eastAsia="Times New Roman" w:hAnsi="Times New Roman" w:cs="Times New Roman"/>
          <w:noProof/>
          <w:color w:val="000000"/>
          <w:sz w:val="24"/>
          <w:szCs w:val="24"/>
          <w:lang w:eastAsia="en-GB"/>
        </w:rPr>
        <w:footnoteReference w:id="16"/>
      </w:r>
      <w:r>
        <w:rPr>
          <w:rFonts w:ascii="Times New Roman" w:eastAsia="Times New Roman" w:hAnsi="Times New Roman" w:cs="Times New Roman"/>
          <w:noProof/>
          <w:color w:val="000000"/>
          <w:sz w:val="24"/>
          <w:szCs w:val="24"/>
          <w:lang w:eastAsia="en-GB"/>
        </w:rPr>
        <w:t xml:space="preserve"> use reduction targets. Only five Member States set measurable targets, of which four</w:t>
      </w:r>
      <w:r>
        <w:rPr>
          <w:rStyle w:val="FootnoteReference"/>
          <w:rFonts w:ascii="Times New Roman" w:eastAsia="Times New Roman" w:hAnsi="Times New Roman" w:cs="Times New Roman"/>
          <w:noProof/>
          <w:color w:val="000000"/>
          <w:sz w:val="24"/>
          <w:szCs w:val="24"/>
          <w:lang w:eastAsia="en-GB"/>
        </w:rPr>
        <w:footnoteReference w:id="17"/>
      </w:r>
      <w:r>
        <w:rPr>
          <w:rFonts w:ascii="Times New Roman" w:eastAsia="Times New Roman" w:hAnsi="Times New Roman" w:cs="Times New Roman"/>
          <w:noProof/>
          <w:color w:val="000000"/>
          <w:sz w:val="24"/>
          <w:szCs w:val="24"/>
          <w:lang w:eastAsia="en-GB"/>
        </w:rPr>
        <w:t xml:space="preserve"> aim at risk reduction and one</w:t>
      </w:r>
      <w:r>
        <w:rPr>
          <w:rStyle w:val="FootnoteReference"/>
          <w:rFonts w:ascii="Times New Roman" w:eastAsia="Times New Roman" w:hAnsi="Times New Roman" w:cs="Times New Roman"/>
          <w:noProof/>
          <w:color w:val="000000"/>
          <w:sz w:val="24"/>
          <w:szCs w:val="24"/>
          <w:lang w:eastAsia="en-GB"/>
        </w:rPr>
        <w:footnoteReference w:id="18"/>
      </w:r>
      <w:r>
        <w:rPr>
          <w:rFonts w:ascii="Times New Roman" w:eastAsia="Times New Roman" w:hAnsi="Times New Roman" w:cs="Times New Roman"/>
          <w:noProof/>
          <w:color w:val="000000"/>
          <w:sz w:val="24"/>
          <w:szCs w:val="24"/>
          <w:lang w:eastAsia="en-GB"/>
        </w:rPr>
        <w:t xml:space="preserve"> at use </w:t>
      </w:r>
      <w:r>
        <w:rPr>
          <w:rFonts w:ascii="Times New Roman" w:eastAsia="Times New Roman" w:hAnsi="Times New Roman" w:cs="Times New Roman"/>
          <w:noProof/>
          <w:color w:val="000000"/>
          <w:sz w:val="24"/>
          <w:szCs w:val="24"/>
          <w:lang w:eastAsia="en-GB"/>
        </w:rPr>
        <w:lastRenderedPageBreak/>
        <w:t xml:space="preserve">reduction. The main target of the French national action plan is to reduce the use of pesticides by 50% by 2025, with an initial 25 % milestone in 2020, and thus to lower the risks and impacts on human health and the </w:t>
      </w:r>
      <w:r>
        <w:rPr>
          <w:rFonts w:ascii="Times New Roman" w:eastAsia="Times New Roman" w:hAnsi="Times New Roman" w:cs="Times New Roman"/>
          <w:noProof/>
          <w:color w:val="000000"/>
          <w:sz w:val="24"/>
          <w:szCs w:val="24"/>
          <w:lang w:eastAsia="en-GB"/>
        </w:rPr>
        <w:t>environment</w:t>
      </w:r>
      <w:r>
        <w:rPr>
          <w:rFonts w:ascii="Times New Roman" w:eastAsia="Times New Roman" w:hAnsi="Times New Roman" w:cs="Times New Roman"/>
          <w:noProof/>
          <w:sz w:val="24"/>
          <w:szCs w:val="20"/>
        </w:rPr>
        <w:t>. Good examples of risk reduction targets can be found in Germany, the Netherlands</w:t>
      </w:r>
      <w:r>
        <w:rPr>
          <w:rStyle w:val="FootnoteReference"/>
          <w:rFonts w:ascii="Times New Roman" w:eastAsia="Times New Roman" w:hAnsi="Times New Roman" w:cs="Times New Roman"/>
          <w:noProof/>
          <w:sz w:val="24"/>
          <w:szCs w:val="20"/>
        </w:rPr>
        <w:footnoteReference w:id="19"/>
      </w:r>
      <w:r>
        <w:rPr>
          <w:rFonts w:ascii="Times New Roman" w:eastAsia="Times New Roman" w:hAnsi="Times New Roman" w:cs="Times New Roman"/>
          <w:noProof/>
          <w:sz w:val="24"/>
          <w:szCs w:val="20"/>
        </w:rPr>
        <w:t>, Finland and Denmark who developed risk reduction indicators based on pesticide hazard classification, with higher risk pesticides having a higher weighting.</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Al</w:t>
      </w:r>
      <w:r>
        <w:rPr>
          <w:rFonts w:ascii="Times New Roman" w:eastAsia="Times New Roman" w:hAnsi="Times New Roman" w:cs="Times New Roman"/>
          <w:noProof/>
          <w:color w:val="000000"/>
          <w:sz w:val="24"/>
          <w:szCs w:val="24"/>
          <w:lang w:eastAsia="en-GB"/>
        </w:rPr>
        <w:t>l the NAPs include some measures on the promotion of IPM, in particular to encourage availability of IPM guidelines, and the provision of training or demonstration farms. Nevertheless, the plans do not specify how the application of IPM by farmers can be m</w:t>
      </w:r>
      <w:r>
        <w:rPr>
          <w:rFonts w:ascii="Times New Roman" w:eastAsia="Times New Roman" w:hAnsi="Times New Roman" w:cs="Times New Roman"/>
          <w:noProof/>
          <w:color w:val="000000"/>
          <w:sz w:val="24"/>
          <w:szCs w:val="24"/>
          <w:lang w:eastAsia="en-GB"/>
        </w:rPr>
        <w:t>easured, do not set targets or indicate how implementation will be ensured. IPM is a cornerstone of the Directive, and implementation of IPM is the intended means to reduce the dependency on pesticide use in sustainable agriculture, and thus the lack of cl</w:t>
      </w:r>
      <w:r>
        <w:rPr>
          <w:rFonts w:ascii="Times New Roman" w:eastAsia="Times New Roman" w:hAnsi="Times New Roman" w:cs="Times New Roman"/>
          <w:noProof/>
          <w:color w:val="000000"/>
          <w:sz w:val="24"/>
          <w:szCs w:val="24"/>
          <w:lang w:eastAsia="en-GB"/>
        </w:rPr>
        <w:t>ear steps that can be assessed, measured and enforced is a significant area for improvement in the ongoing review of national action plans by Member States.</w:t>
      </w:r>
    </w:p>
    <w:p w:rsidR="006D67E1" w:rsidRDefault="00274BA9">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eastAsia="Times New Roman" w:hAnsi="Times New Roman" w:cs="Times New Roman"/>
          <w:b/>
          <w:bCs/>
          <w:caps/>
          <w:smallCaps/>
          <w:noProof/>
          <w:sz w:val="24"/>
          <w:szCs w:val="24"/>
        </w:rPr>
        <w:t>Implementation of the Directive</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Training and certification</w:t>
      </w: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Article 5 of the Directive requires </w:t>
      </w:r>
      <w:r>
        <w:rPr>
          <w:rFonts w:ascii="Times New Roman" w:eastAsia="Times New Roman" w:hAnsi="Times New Roman" w:cs="Times New Roman"/>
          <w:noProof/>
          <w:color w:val="000000"/>
          <w:sz w:val="24"/>
          <w:szCs w:val="24"/>
          <w:lang w:eastAsia="en-GB"/>
        </w:rPr>
        <w:t>Member States to establish training and certification for professional users, distributors and advisors of pesticides. Article 6 requires that Member States ensure that distributors have sufficient staff in their employment holding a certificate referred t</w:t>
      </w:r>
      <w:r>
        <w:rPr>
          <w:rFonts w:ascii="Times New Roman" w:eastAsia="Times New Roman" w:hAnsi="Times New Roman" w:cs="Times New Roman"/>
          <w:noProof/>
          <w:color w:val="000000"/>
          <w:sz w:val="24"/>
          <w:szCs w:val="24"/>
          <w:lang w:eastAsia="en-GB"/>
        </w:rPr>
        <w:t>o under Article 5. It also requires Member States to restrict sales of pesticides authorised for professional use to persons holding a certificate referred to in Article 5. Finally, Article 6 states that Member States shall require distributors selling pes</w:t>
      </w:r>
      <w:r>
        <w:rPr>
          <w:rFonts w:ascii="Times New Roman" w:eastAsia="Times New Roman" w:hAnsi="Times New Roman" w:cs="Times New Roman"/>
          <w:noProof/>
          <w:color w:val="000000"/>
          <w:sz w:val="24"/>
          <w:szCs w:val="24"/>
          <w:lang w:eastAsia="en-GB"/>
        </w:rPr>
        <w:t>ticides to non-professional users to provide general information regarding the risks for human health and the environment of pesticide use.</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Overall, there is a high level of compliance in the area of training and certification of professional users, </w:t>
            </w:r>
            <w:r>
              <w:rPr>
                <w:rFonts w:ascii="Times New Roman" w:eastAsia="Times New Roman" w:hAnsi="Times New Roman" w:cs="Times New Roman"/>
                <w:noProof/>
                <w:color w:val="000000"/>
                <w:sz w:val="24"/>
                <w:szCs w:val="24"/>
                <w:lang w:eastAsia="en-GB"/>
              </w:rPr>
              <w:t>distributors and advisors. There is no accurate data, however, on the total number of professional operators in this area and therefore it cannot be certain that all are trained.</w:t>
            </w:r>
          </w:p>
        </w:tc>
      </w:tr>
    </w:tbl>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Twenty six</w:t>
      </w:r>
      <w:r>
        <w:rPr>
          <w:rStyle w:val="FootnoteReference"/>
          <w:rFonts w:ascii="Times New Roman" w:eastAsia="Times New Roman" w:hAnsi="Times New Roman" w:cs="Times New Roman"/>
          <w:noProof/>
          <w:color w:val="000000"/>
          <w:sz w:val="24"/>
          <w:szCs w:val="24"/>
          <w:lang w:eastAsia="en-GB"/>
        </w:rPr>
        <w:footnoteReference w:id="20"/>
      </w:r>
      <w:r>
        <w:rPr>
          <w:rFonts w:ascii="Times New Roman" w:eastAsia="Times New Roman" w:hAnsi="Times New Roman" w:cs="Times New Roman"/>
          <w:noProof/>
          <w:color w:val="000000"/>
          <w:sz w:val="24"/>
          <w:szCs w:val="24"/>
          <w:lang w:eastAsia="en-GB"/>
        </w:rPr>
        <w:t xml:space="preserve"> national action plans address the provision of training, but el</w:t>
      </w:r>
      <w:r>
        <w:rPr>
          <w:rFonts w:ascii="Times New Roman" w:eastAsia="Times New Roman" w:hAnsi="Times New Roman" w:cs="Times New Roman"/>
          <w:noProof/>
          <w:color w:val="000000"/>
          <w:sz w:val="24"/>
          <w:szCs w:val="24"/>
          <w:lang w:eastAsia="en-GB"/>
        </w:rPr>
        <w:t>even of these do not provide sufficient detail.</w:t>
      </w:r>
      <w:r>
        <w:rPr>
          <w:rStyle w:val="FootnoteReference"/>
          <w:rFonts w:ascii="Times New Roman" w:eastAsia="Times New Roman" w:hAnsi="Times New Roman" w:cs="Times New Roman"/>
          <w:noProof/>
          <w:color w:val="000000"/>
          <w:sz w:val="24"/>
          <w:szCs w:val="24"/>
          <w:lang w:eastAsia="en-GB"/>
        </w:rPr>
        <w:footnoteReference w:id="21"/>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implementation of the training requirement was assessed in the course of Commission audits in 19 Member States in the period 2012 – 2014 and in the fact-finding visits to six Member States in 2017 (5 we</w:t>
      </w:r>
      <w:r>
        <w:rPr>
          <w:rFonts w:ascii="Times New Roman" w:eastAsia="Times New Roman" w:hAnsi="Times New Roman" w:cs="Times New Roman"/>
          <w:noProof/>
          <w:color w:val="000000"/>
          <w:sz w:val="24"/>
          <w:szCs w:val="24"/>
          <w:lang w:eastAsia="en-GB"/>
        </w:rPr>
        <w:t xml:space="preserve">re visited in both cases). In 3 of the 20 Member States visited, training systems for farmers had been in place before adoption of the Directive, and after entry into force the training was extended to other groups, such as distributors. </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lastRenderedPageBreak/>
        <w:t>All Member State</w:t>
      </w:r>
      <w:r>
        <w:rPr>
          <w:rFonts w:ascii="Times New Roman" w:eastAsia="Times New Roman" w:hAnsi="Times New Roman" w:cs="Times New Roman"/>
          <w:noProof/>
          <w:color w:val="000000"/>
          <w:sz w:val="24"/>
          <w:szCs w:val="24"/>
          <w:lang w:eastAsia="en-GB"/>
        </w:rPr>
        <w:t>s (except Luxembourg) had established a training and certification system by the deadline of 26 November 2013, and Member States reported in response to the 2016 questionnaire that almost four million professional operators had been trained. There were del</w:t>
      </w:r>
      <w:r>
        <w:rPr>
          <w:rFonts w:ascii="Times New Roman" w:eastAsia="Times New Roman" w:hAnsi="Times New Roman" w:cs="Times New Roman"/>
          <w:noProof/>
          <w:color w:val="000000"/>
          <w:sz w:val="24"/>
          <w:szCs w:val="24"/>
          <w:lang w:eastAsia="en-GB"/>
        </w:rPr>
        <w:t>ays in training and certification of operators in six Member States</w:t>
      </w:r>
      <w:r>
        <w:rPr>
          <w:rStyle w:val="FootnoteReference"/>
          <w:rFonts w:ascii="Times New Roman" w:eastAsia="Times New Roman" w:hAnsi="Times New Roman" w:cs="Times New Roman"/>
          <w:noProof/>
          <w:color w:val="000000"/>
          <w:sz w:val="24"/>
          <w:szCs w:val="24"/>
          <w:lang w:eastAsia="en-GB"/>
        </w:rPr>
        <w:footnoteReference w:id="22"/>
      </w:r>
      <w:r>
        <w:rPr>
          <w:rFonts w:ascii="Times New Roman" w:eastAsia="Times New Roman" w:hAnsi="Times New Roman" w:cs="Times New Roman"/>
          <w:noProof/>
          <w:color w:val="000000"/>
          <w:sz w:val="24"/>
          <w:szCs w:val="24"/>
          <w:lang w:eastAsia="en-GB"/>
        </w:rPr>
        <w:t>. In addition, no data was provided by three Member States</w:t>
      </w:r>
      <w:r>
        <w:rPr>
          <w:rStyle w:val="FootnoteReference"/>
          <w:rFonts w:ascii="Times New Roman" w:eastAsia="Times New Roman" w:hAnsi="Times New Roman" w:cs="Times New Roman"/>
          <w:noProof/>
          <w:color w:val="000000"/>
          <w:sz w:val="24"/>
          <w:szCs w:val="24"/>
          <w:lang w:eastAsia="en-GB"/>
        </w:rPr>
        <w:footnoteReference w:id="23"/>
      </w:r>
      <w:r>
        <w:rPr>
          <w:rFonts w:ascii="Times New Roman" w:eastAsia="Times New Roman" w:hAnsi="Times New Roman" w:cs="Times New Roman"/>
          <w:noProof/>
          <w:color w:val="000000"/>
          <w:sz w:val="24"/>
          <w:szCs w:val="24"/>
          <w:lang w:eastAsia="en-GB"/>
        </w:rPr>
        <w:t>. According to a farm structure survey</w:t>
      </w:r>
      <w:r>
        <w:rPr>
          <w:rStyle w:val="FootnoteReference"/>
          <w:rFonts w:ascii="Times New Roman" w:eastAsia="Times New Roman" w:hAnsi="Times New Roman" w:cs="Times New Roman"/>
          <w:noProof/>
          <w:color w:val="000000"/>
          <w:sz w:val="24"/>
          <w:szCs w:val="24"/>
          <w:lang w:eastAsia="en-GB"/>
        </w:rPr>
        <w:footnoteReference w:id="24"/>
      </w:r>
      <w:r>
        <w:rPr>
          <w:rFonts w:ascii="Times New Roman" w:eastAsia="Times New Roman" w:hAnsi="Times New Roman" w:cs="Times New Roman"/>
          <w:noProof/>
          <w:color w:val="000000"/>
          <w:sz w:val="24"/>
          <w:szCs w:val="24"/>
          <w:lang w:eastAsia="en-GB"/>
        </w:rPr>
        <w:t xml:space="preserve">, there are roughly 10 million agricultural holdings in Europe, of which only 0.3 million </w:t>
      </w:r>
      <w:r>
        <w:rPr>
          <w:rFonts w:ascii="Times New Roman" w:eastAsia="Times New Roman" w:hAnsi="Times New Roman" w:cs="Times New Roman"/>
          <w:noProof/>
          <w:color w:val="000000"/>
          <w:sz w:val="24"/>
          <w:szCs w:val="24"/>
          <w:lang w:eastAsia="en-GB"/>
        </w:rPr>
        <w:t>are large scale operators, farming 50 % of the total utilisable agricultural area. The training courses typically take 2-4 days, depending on the type of operator and previous knowledge, and trained operators receive a certificate, which is required for th</w:t>
      </w:r>
      <w:r>
        <w:rPr>
          <w:rFonts w:ascii="Times New Roman" w:eastAsia="Times New Roman" w:hAnsi="Times New Roman" w:cs="Times New Roman"/>
          <w:noProof/>
          <w:color w:val="000000"/>
          <w:sz w:val="24"/>
          <w:szCs w:val="24"/>
          <w:lang w:eastAsia="en-GB"/>
        </w:rPr>
        <w:t xml:space="preserve">e purchase of pesticides for professional use. </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the case of the six Member States visited by the Commission in 2017, this requirement is included in the scope of official controls on farms by competent authorities, and compliance rates were more than 9</w:t>
      </w:r>
      <w:r>
        <w:rPr>
          <w:rFonts w:ascii="Times New Roman" w:eastAsia="Times New Roman" w:hAnsi="Times New Roman" w:cs="Times New Roman"/>
          <w:noProof/>
          <w:color w:val="000000"/>
          <w:sz w:val="24"/>
          <w:szCs w:val="24"/>
          <w:lang w:eastAsia="en-GB"/>
        </w:rPr>
        <w:t>5 % in five of the six Member States</w:t>
      </w:r>
      <w:r>
        <w:rPr>
          <w:rStyle w:val="FootnoteReference"/>
          <w:rFonts w:ascii="Times New Roman" w:eastAsia="Times New Roman" w:hAnsi="Times New Roman" w:cs="Times New Roman"/>
          <w:noProof/>
          <w:color w:val="000000"/>
          <w:sz w:val="24"/>
          <w:szCs w:val="24"/>
          <w:lang w:eastAsia="en-GB"/>
        </w:rPr>
        <w:footnoteReference w:id="25"/>
      </w:r>
      <w:r>
        <w:rPr>
          <w:rFonts w:ascii="Times New Roman" w:eastAsia="Times New Roman" w:hAnsi="Times New Roman" w:cs="Times New Roman"/>
          <w:noProof/>
          <w:color w:val="000000"/>
          <w:sz w:val="24"/>
          <w:szCs w:val="24"/>
          <w:lang w:eastAsia="en-GB"/>
        </w:rPr>
        <w:t>. However, based on the responses to the questionnaire, one issue identified was that certification systems do not cover advisors on pest management in five Member States</w:t>
      </w:r>
      <w:r>
        <w:rPr>
          <w:rStyle w:val="FootnoteReference"/>
          <w:rFonts w:ascii="Times New Roman" w:eastAsia="Times New Roman" w:hAnsi="Times New Roman" w:cs="Times New Roman"/>
          <w:noProof/>
          <w:color w:val="000000"/>
          <w:sz w:val="24"/>
          <w:szCs w:val="24"/>
          <w:lang w:eastAsia="en-GB"/>
        </w:rPr>
        <w:footnoteReference w:id="26"/>
      </w:r>
      <w:r>
        <w:rPr>
          <w:rFonts w:ascii="Times New Roman" w:eastAsia="Times New Roman" w:hAnsi="Times New Roman" w:cs="Times New Roman"/>
          <w:noProof/>
          <w:color w:val="000000"/>
          <w:sz w:val="24"/>
          <w:szCs w:val="24"/>
          <w:lang w:eastAsia="en-GB"/>
        </w:rPr>
        <w:t xml:space="preserve">. In addition, the Netherlands does not require </w:t>
      </w:r>
      <w:r>
        <w:rPr>
          <w:rFonts w:ascii="Times New Roman" w:eastAsia="Times New Roman" w:hAnsi="Times New Roman" w:cs="Times New Roman"/>
          <w:noProof/>
          <w:color w:val="000000"/>
          <w:sz w:val="24"/>
          <w:szCs w:val="24"/>
          <w:lang w:eastAsia="en-GB"/>
        </w:rPr>
        <w:t xml:space="preserve">advisors, who are not directly involved in selling pesticides, to be certified, but they plan  to revise the national legislation to bring it into line with the Directive. </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All Member States have restrictions in place on the sale of pesticides to non-prof</w:t>
      </w:r>
      <w:r>
        <w:rPr>
          <w:rFonts w:ascii="Times New Roman" w:eastAsia="Times New Roman" w:hAnsi="Times New Roman" w:cs="Times New Roman"/>
          <w:noProof/>
          <w:color w:val="000000"/>
          <w:sz w:val="24"/>
          <w:szCs w:val="24"/>
          <w:lang w:eastAsia="en-GB"/>
        </w:rPr>
        <w:t>essional users, such as home gardeners. For example, in some Member States, pesticides intended for non-professional users cannot be purchased freely and must be stored behind the counter in retail premises.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organised twelve Better Training</w:t>
      </w:r>
      <w:r>
        <w:rPr>
          <w:rFonts w:ascii="Times New Roman" w:eastAsia="Times New Roman" w:hAnsi="Times New Roman" w:cs="Times New Roman"/>
          <w:noProof/>
          <w:color w:val="000000"/>
          <w:sz w:val="24"/>
          <w:szCs w:val="24"/>
          <w:lang w:eastAsia="en-GB"/>
        </w:rPr>
        <w:t xml:space="preserve"> for Safer Food (BTSF)</w:t>
      </w:r>
      <w:r>
        <w:rPr>
          <w:rFonts w:ascii="Times New Roman" w:eastAsia="Times New Roman" w:hAnsi="Times New Roman" w:cs="Times New Roman"/>
          <w:noProof/>
          <w:color w:val="000000"/>
          <w:sz w:val="24"/>
          <w:szCs w:val="24"/>
          <w:vertAlign w:val="superscript"/>
          <w:lang w:eastAsia="en-GB"/>
        </w:rPr>
        <w:footnoteReference w:id="27"/>
      </w:r>
      <w:r>
        <w:rPr>
          <w:rFonts w:ascii="Times New Roman" w:eastAsia="Times New Roman" w:hAnsi="Times New Roman" w:cs="Times New Roman"/>
          <w:noProof/>
          <w:color w:val="000000"/>
          <w:sz w:val="24"/>
          <w:szCs w:val="24"/>
          <w:lang w:eastAsia="en-GB"/>
        </w:rPr>
        <w:t xml:space="preserve"> courses in 2015 and 2016 for Member State experts, which covered several elements of the Directive, including the training of operators. The course aimed at providing a consistent and high level understanding on how to achieve imple</w:t>
      </w:r>
      <w:r>
        <w:rPr>
          <w:rFonts w:ascii="Times New Roman" w:eastAsia="Times New Roman" w:hAnsi="Times New Roman" w:cs="Times New Roman"/>
          <w:noProof/>
          <w:color w:val="000000"/>
          <w:sz w:val="24"/>
          <w:szCs w:val="24"/>
          <w:lang w:eastAsia="en-GB"/>
        </w:rPr>
        <w:t>mentation and provided an opportunity for exchange of good practice.  All 28 Member States participated and some 338 staff were trained.</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Pesticide poisoning</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Article 7 (2) of the Directive requires Member States to put into place systems for gathering </w:t>
      </w:r>
      <w:r>
        <w:rPr>
          <w:rFonts w:ascii="Times New Roman" w:eastAsia="Times New Roman" w:hAnsi="Times New Roman" w:cs="Times New Roman"/>
          <w:noProof/>
          <w:color w:val="000000"/>
          <w:sz w:val="24"/>
          <w:szCs w:val="24"/>
          <w:lang w:eastAsia="en-GB"/>
        </w:rPr>
        <w:t>information on pesticide acute poisoning incidents, as well as chronic poisoning developments where available, among groups that may be exposed regularly to pesticides such as operators, agricultural workers or persons living close to pesticide application</w:t>
      </w:r>
      <w:r>
        <w:rPr>
          <w:rFonts w:ascii="Times New Roman" w:eastAsia="Times New Roman" w:hAnsi="Times New Roman" w:cs="Times New Roman"/>
          <w:noProof/>
          <w:color w:val="000000"/>
          <w:sz w:val="24"/>
          <w:szCs w:val="24"/>
          <w:lang w:eastAsia="en-GB"/>
        </w:rPr>
        <w:t xml:space="preserve"> areas.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While Member States generally have systems to gather information on pesticide acute poisoning, the accuracy of this data and its use was questioned. Systems for gathering such information on chronic poisoning are not widely implemented.</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lastRenderedPageBreak/>
        <w:t>Eighteen</w:t>
      </w:r>
      <w:r>
        <w:rPr>
          <w:rFonts w:ascii="Times New Roman" w:eastAsia="Times New Roman" w:hAnsi="Times New Roman" w:cs="Times New Roman"/>
          <w:noProof/>
          <w:color w:val="000000"/>
          <w:sz w:val="24"/>
          <w:szCs w:val="24"/>
          <w:lang w:eastAsia="en-GB"/>
        </w:rPr>
        <w:t xml:space="preserve"> NAPs describe the systems for gathering information on pesticide acute poisoning incidents in their Member State, while just four address the issue of gathering data on chronic poisoning. The remaining plans do not give specific details in this area.</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Thi</w:t>
      </w:r>
      <w:r>
        <w:rPr>
          <w:rFonts w:ascii="Times New Roman" w:eastAsia="Times New Roman" w:hAnsi="Times New Roman" w:cs="Times New Roman"/>
          <w:noProof/>
          <w:color w:val="000000"/>
          <w:sz w:val="24"/>
          <w:szCs w:val="24"/>
          <w:lang w:eastAsia="en-GB"/>
        </w:rPr>
        <w:t>s topic was not addressed in the course of Commission audits in the 19 Member States in the period of 2012 – 2014, and the available information comes from the 2016 questionnaire to Member States and the fact-finding missions to six Member States in 2017.</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Based on the responses to the 2016 questionnaire, specific information on pesticide acute poisoning incidents is gathered by all but five Member States. The number of reported cases of acute poisoning involving pesticides varies considerably between Membe</w:t>
      </w:r>
      <w:r>
        <w:rPr>
          <w:rFonts w:ascii="Times New Roman" w:eastAsia="Times New Roman" w:hAnsi="Times New Roman" w:cs="Times New Roman"/>
          <w:noProof/>
          <w:color w:val="000000"/>
          <w:sz w:val="24"/>
          <w:szCs w:val="24"/>
          <w:lang w:eastAsia="en-GB"/>
        </w:rPr>
        <w:t>r States, and authorities raised doubts as to the accuracy of the data. For example, in Sweden, the data recorded refers to the number of queries, rather than the number of poisoning cases. Ten Member States</w:t>
      </w:r>
      <w:r>
        <w:rPr>
          <w:rStyle w:val="FootnoteReference"/>
          <w:rFonts w:ascii="Times New Roman" w:eastAsia="Times New Roman" w:hAnsi="Times New Roman" w:cs="Times New Roman"/>
          <w:noProof/>
          <w:color w:val="000000"/>
          <w:sz w:val="24"/>
          <w:szCs w:val="24"/>
          <w:lang w:eastAsia="en-GB"/>
        </w:rPr>
        <w:footnoteReference w:id="28"/>
      </w:r>
      <w:r>
        <w:rPr>
          <w:rFonts w:ascii="Times New Roman" w:eastAsia="Times New Roman" w:hAnsi="Times New Roman" w:cs="Times New Roman"/>
          <w:noProof/>
          <w:color w:val="000000"/>
          <w:sz w:val="24"/>
          <w:szCs w:val="24"/>
          <w:lang w:eastAsia="en-GB"/>
        </w:rPr>
        <w:t xml:space="preserve"> have a dedicated system for gathering data on c</w:t>
      </w:r>
      <w:r>
        <w:rPr>
          <w:rFonts w:ascii="Times New Roman" w:eastAsia="Times New Roman" w:hAnsi="Times New Roman" w:cs="Times New Roman"/>
          <w:noProof/>
          <w:color w:val="000000"/>
          <w:sz w:val="24"/>
          <w:szCs w:val="24"/>
          <w:lang w:eastAsia="en-GB"/>
        </w:rPr>
        <w:t>hronic poisoning. In the remaining 17 Member States, chronic poisoning is not monitored systematically. Member States emphasised that it is particularly challenging to gather information on chronic poisoning developments, as it is very difficult to link cl</w:t>
      </w:r>
      <w:r>
        <w:rPr>
          <w:rFonts w:ascii="Times New Roman" w:eastAsia="Times New Roman" w:hAnsi="Times New Roman" w:cs="Times New Roman"/>
          <w:noProof/>
          <w:color w:val="000000"/>
          <w:sz w:val="24"/>
          <w:szCs w:val="24"/>
          <w:lang w:eastAsia="en-GB"/>
        </w:rPr>
        <w:t>inical symptoms to pesticide exposure, which may have taken place many years previously.</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order to improve the comparability of information, Article 7(3) of the Directive requires that the Commission, in co-operation with the Member States, shall develo</w:t>
      </w:r>
      <w:r>
        <w:rPr>
          <w:rFonts w:ascii="Times New Roman" w:eastAsia="Times New Roman" w:hAnsi="Times New Roman" w:cs="Times New Roman"/>
          <w:noProof/>
          <w:color w:val="000000"/>
          <w:sz w:val="24"/>
          <w:szCs w:val="24"/>
          <w:lang w:eastAsia="en-GB"/>
        </w:rPr>
        <w:t>p a strategic guidance document on monitoring and surveying of impacts of pesticide use on human health and the environment. The Commission plans to finalise this guidance document by the end of 2017. Furthermore, consideration will be given to the establi</w:t>
      </w:r>
      <w:r>
        <w:rPr>
          <w:rFonts w:ascii="Times New Roman" w:eastAsia="Times New Roman" w:hAnsi="Times New Roman" w:cs="Times New Roman"/>
          <w:noProof/>
          <w:color w:val="000000"/>
          <w:sz w:val="24"/>
          <w:szCs w:val="24"/>
          <w:lang w:eastAsia="en-GB"/>
        </w:rPr>
        <w:t>shment of systems for collecting information on suspected poisoning from pesticides under Art 24(4)(b) of Regulation (EU) No 2017/625.</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Pesticide Application Equipment</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8 requires Members States to ensure that pesticide application equipment, i.e. fi</w:t>
      </w:r>
      <w:r>
        <w:rPr>
          <w:rFonts w:ascii="Times New Roman" w:eastAsia="Times New Roman" w:hAnsi="Times New Roman" w:cs="Times New Roman"/>
          <w:noProof/>
          <w:color w:val="000000"/>
          <w:sz w:val="24"/>
          <w:szCs w:val="24"/>
          <w:lang w:eastAsia="en-GB"/>
        </w:rPr>
        <w:t>eld and orchard sprayers, is inspected at regular intervals, and that by 26 November 2016, all equipment in use has been tested at least once. They are also required to establish certificate systems to allow the verification of the inspections.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Member </w:t>
            </w:r>
            <w:r>
              <w:rPr>
                <w:rFonts w:ascii="Times New Roman" w:eastAsia="Times New Roman" w:hAnsi="Times New Roman" w:cs="Times New Roman"/>
                <w:noProof/>
                <w:color w:val="000000"/>
                <w:sz w:val="24"/>
                <w:szCs w:val="24"/>
                <w:lang w:eastAsia="en-GB"/>
              </w:rPr>
              <w:t>States had generally established systems as required, but there is an incomplete picture regarding the overall rate of compliance which varies widely between Member States. The Commission is currently assessing the evolution of the situation since November</w:t>
            </w:r>
            <w:r>
              <w:rPr>
                <w:rFonts w:ascii="Times New Roman" w:eastAsia="Times New Roman" w:hAnsi="Times New Roman" w:cs="Times New Roman"/>
                <w:noProof/>
                <w:color w:val="000000"/>
                <w:sz w:val="24"/>
                <w:szCs w:val="24"/>
                <w:lang w:eastAsia="en-GB"/>
              </w:rPr>
              <w:t xml:space="preserve"> 2016.</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Twenty six</w:t>
      </w:r>
      <w:r>
        <w:rPr>
          <w:rStyle w:val="FootnoteReference"/>
          <w:rFonts w:ascii="Times New Roman" w:eastAsia="Times New Roman" w:hAnsi="Times New Roman" w:cs="Times New Roman"/>
          <w:noProof/>
          <w:color w:val="000000"/>
          <w:sz w:val="24"/>
          <w:szCs w:val="24"/>
          <w:lang w:eastAsia="en-GB"/>
        </w:rPr>
        <w:footnoteReference w:id="29"/>
      </w:r>
      <w:r>
        <w:rPr>
          <w:rFonts w:ascii="Times New Roman" w:eastAsia="Times New Roman" w:hAnsi="Times New Roman" w:cs="Times New Roman"/>
          <w:noProof/>
          <w:color w:val="000000"/>
          <w:sz w:val="24"/>
          <w:szCs w:val="24"/>
          <w:lang w:eastAsia="en-GB"/>
        </w:rPr>
        <w:t xml:space="preserve"> NAPs had an objective of ensuring that pesticide application equipment would be tested as required by the Directive. Fifteen plans indicated that a sprayer testing scheme of some type was already in operation prior to the adoption of t</w:t>
      </w:r>
      <w:r>
        <w:rPr>
          <w:rFonts w:ascii="Times New Roman" w:eastAsia="Times New Roman" w:hAnsi="Times New Roman" w:cs="Times New Roman"/>
          <w:noProof/>
          <w:color w:val="000000"/>
          <w:sz w:val="24"/>
          <w:szCs w:val="24"/>
          <w:lang w:eastAsia="en-GB"/>
        </w:rPr>
        <w:t>he Directive.</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To assist Member States in this area, as envisaged under Article 20 of the Directive, a new harmonised standard for testing pesticide application equipment EN ISO 16122, was </w:t>
      </w:r>
      <w:r>
        <w:rPr>
          <w:rFonts w:ascii="Times New Roman" w:eastAsia="Times New Roman" w:hAnsi="Times New Roman" w:cs="Times New Roman"/>
          <w:noProof/>
          <w:color w:val="000000"/>
          <w:sz w:val="24"/>
          <w:szCs w:val="24"/>
          <w:lang w:eastAsia="en-GB"/>
        </w:rPr>
        <w:lastRenderedPageBreak/>
        <w:t>published in 2015</w:t>
      </w:r>
      <w:r>
        <w:rPr>
          <w:rFonts w:ascii="Times New Roman" w:eastAsia="Times New Roman" w:hAnsi="Times New Roman" w:cs="Times New Roman"/>
          <w:noProof/>
          <w:color w:val="000000"/>
          <w:sz w:val="24"/>
          <w:szCs w:val="24"/>
          <w:vertAlign w:val="superscript"/>
          <w:lang w:eastAsia="en-GB"/>
        </w:rPr>
        <w:footnoteReference w:id="30"/>
      </w:r>
      <w:hyperlink r:id="rId17" w:history="1"/>
      <w:r>
        <w:rPr>
          <w:rFonts w:ascii="Times New Roman" w:eastAsia="Times New Roman" w:hAnsi="Times New Roman" w:cs="Times New Roman"/>
          <w:noProof/>
          <w:color w:val="000000"/>
          <w:sz w:val="24"/>
          <w:szCs w:val="24"/>
          <w:lang w:eastAsia="en-GB"/>
        </w:rPr>
        <w:t>. This standard covers horizontal boom sprayers, bush/tree crop sprayers and fixed and semi-mobile sprayers. It clarifies the essential health and safety and environmental requirements to be examined in the inspection. This harmonised standard shoul</w:t>
      </w:r>
      <w:r>
        <w:rPr>
          <w:rFonts w:ascii="Times New Roman" w:eastAsia="Times New Roman" w:hAnsi="Times New Roman" w:cs="Times New Roman"/>
          <w:noProof/>
          <w:color w:val="000000"/>
          <w:sz w:val="24"/>
          <w:szCs w:val="24"/>
          <w:lang w:eastAsia="en-GB"/>
        </w:rPr>
        <w:t xml:space="preserve">d facilitate efforts by Member States to recognise the certificates granted in other Member States as required under Article 8(6) of the Directive. </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2016 questionnaire shows that twenty six Member States had set up inspection systems, and approximatel</w:t>
      </w:r>
      <w:r>
        <w:rPr>
          <w:rFonts w:ascii="Times New Roman" w:eastAsia="Times New Roman" w:hAnsi="Times New Roman" w:cs="Times New Roman"/>
          <w:noProof/>
          <w:color w:val="000000"/>
          <w:sz w:val="24"/>
          <w:szCs w:val="24"/>
          <w:lang w:eastAsia="en-GB"/>
        </w:rPr>
        <w:t xml:space="preserve">y 900,000 sprayers had been inspected by the deadline of 26 November 2016. Only Malta and Cyprus had yet to start these inspections. Member States have no reliable data on the total number of sprayers in use, but based on their own estimates, up to 50% of </w:t>
      </w:r>
      <w:r>
        <w:rPr>
          <w:rFonts w:ascii="Times New Roman" w:eastAsia="Times New Roman" w:hAnsi="Times New Roman" w:cs="Times New Roman"/>
          <w:noProof/>
          <w:color w:val="000000"/>
          <w:sz w:val="24"/>
          <w:szCs w:val="24"/>
          <w:lang w:eastAsia="en-GB"/>
        </w:rPr>
        <w:t>sprayers in the EU were not tested by the deadline, with over 95% of the estimated number of sprayers not tested by the deadline in Latvia and Greece and 70 % in Italy.  Belgium, the Netherlands and Finland reported close to 100% testing.</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o</w:t>
      </w:r>
      <w:r>
        <w:rPr>
          <w:rFonts w:ascii="Times New Roman" w:eastAsia="Times New Roman" w:hAnsi="Times New Roman" w:cs="Times New Roman"/>
          <w:noProof/>
          <w:color w:val="000000"/>
          <w:sz w:val="24"/>
          <w:szCs w:val="24"/>
          <w:lang w:eastAsia="en-GB"/>
        </w:rPr>
        <w:t>rganised six Better Training for Safer Food (BTSF) courses in 2015 and 2016 on pesticide application equipment, with 102 Member State inspectors from 25 Member States, and a further 6 courses will be run in 2017 and 2018. This will help address the weaknes</w:t>
      </w:r>
      <w:r>
        <w:rPr>
          <w:rFonts w:ascii="Times New Roman" w:eastAsia="Times New Roman" w:hAnsi="Times New Roman" w:cs="Times New Roman"/>
          <w:noProof/>
          <w:color w:val="000000"/>
          <w:sz w:val="24"/>
          <w:szCs w:val="24"/>
          <w:lang w:eastAsia="en-GB"/>
        </w:rPr>
        <w:t>ses outlined above and thus facilitate more uniform testing by Member States.</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Aerial spraying</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9 of the Directive prohibits aerial spraying of pesticides, except under derogation.</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Aerial spraying is banned and derogations are only granted under </w:t>
            </w:r>
            <w:r>
              <w:rPr>
                <w:rFonts w:ascii="Times New Roman" w:eastAsia="Times New Roman" w:hAnsi="Times New Roman" w:cs="Times New Roman"/>
                <w:noProof/>
                <w:color w:val="000000"/>
                <w:sz w:val="24"/>
                <w:szCs w:val="24"/>
                <w:lang w:eastAsia="en-GB"/>
              </w:rPr>
              <w:t>strict conditions. The area sprayed is low, is declining and is effectively controlled.</w:t>
            </w:r>
          </w:p>
        </w:tc>
      </w:tr>
    </w:tbl>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 </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All Member States have prohibited aerial spraying under national legislation, even if not explicitly stated in their national action plan. While the granting of </w:t>
      </w:r>
      <w:r>
        <w:rPr>
          <w:rFonts w:ascii="Times New Roman" w:eastAsia="Times New Roman" w:hAnsi="Times New Roman" w:cs="Times New Roman"/>
          <w:noProof/>
          <w:color w:val="000000"/>
          <w:sz w:val="24"/>
          <w:szCs w:val="24"/>
          <w:lang w:eastAsia="en-GB"/>
        </w:rPr>
        <w:t>derogations in special cases is legally possible in twenty one Member States</w:t>
      </w:r>
      <w:r>
        <w:rPr>
          <w:rStyle w:val="FootnoteReference"/>
          <w:rFonts w:ascii="Times New Roman" w:eastAsia="Times New Roman" w:hAnsi="Times New Roman" w:cs="Times New Roman"/>
          <w:noProof/>
          <w:color w:val="000000"/>
          <w:sz w:val="24"/>
          <w:szCs w:val="24"/>
          <w:lang w:eastAsia="en-GB"/>
        </w:rPr>
        <w:footnoteReference w:id="31"/>
      </w:r>
      <w:r>
        <w:rPr>
          <w:rFonts w:ascii="Times New Roman" w:eastAsia="Times New Roman" w:hAnsi="Times New Roman" w:cs="Times New Roman"/>
          <w:noProof/>
          <w:color w:val="000000"/>
          <w:sz w:val="24"/>
          <w:szCs w:val="24"/>
          <w:lang w:eastAsia="en-GB"/>
        </w:rPr>
        <w:t>, in 2014 and 2015 only 14 Member States actually granted derogations</w:t>
      </w:r>
      <w:r>
        <w:rPr>
          <w:rStyle w:val="FootnoteReference"/>
          <w:rFonts w:ascii="Times New Roman" w:eastAsia="Times New Roman" w:hAnsi="Times New Roman" w:cs="Times New Roman"/>
          <w:noProof/>
          <w:color w:val="000000"/>
          <w:sz w:val="24"/>
          <w:szCs w:val="24"/>
          <w:lang w:eastAsia="en-GB"/>
        </w:rPr>
        <w:footnoteReference w:id="32"/>
      </w:r>
      <w:r>
        <w:rPr>
          <w:rFonts w:ascii="Times New Roman" w:eastAsia="Times New Roman" w:hAnsi="Times New Roman" w:cs="Times New Roman"/>
          <w:noProof/>
          <w:color w:val="000000"/>
          <w:sz w:val="24"/>
          <w:szCs w:val="24"/>
          <w:lang w:eastAsia="en-GB"/>
        </w:rPr>
        <w:t>. Under these derogations, pesticides were applied on 1.1 million hectares, of which 70 % was agricultural la</w:t>
      </w:r>
      <w:r>
        <w:rPr>
          <w:rFonts w:ascii="Times New Roman" w:eastAsia="Times New Roman" w:hAnsi="Times New Roman" w:cs="Times New Roman"/>
          <w:noProof/>
          <w:color w:val="000000"/>
          <w:sz w:val="24"/>
          <w:szCs w:val="24"/>
          <w:lang w:eastAsia="en-GB"/>
        </w:rPr>
        <w:t>nd and 30 % forestry, covering approximately 0.2 % and 0.1 % of the total respective areas.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2015, almost 95 % of the reported aerial spraying was accounted for by only two Member States; Spain with 339,000 hectares, Hungary with 88,000 hectares, which </w:t>
      </w:r>
      <w:r>
        <w:rPr>
          <w:rFonts w:ascii="Times New Roman" w:eastAsia="Times New Roman" w:hAnsi="Times New Roman" w:cs="Times New Roman"/>
          <w:noProof/>
          <w:color w:val="000000"/>
          <w:sz w:val="24"/>
          <w:szCs w:val="24"/>
          <w:lang w:eastAsia="en-GB"/>
        </w:rPr>
        <w:t>represented 0.7 % and 0.9 %, respectively, of the surface area of these two Member States.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en-GB"/>
        </w:rPr>
      </w:pPr>
      <w:r>
        <w:rPr>
          <w:noProof/>
          <w:lang w:eastAsia="en-GB"/>
        </w:rPr>
        <w:lastRenderedPageBreak/>
        <w:drawing>
          <wp:inline distT="0" distB="0" distL="0" distR="0">
            <wp:extent cx="2674189" cy="1578634"/>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4189" cy="1578634"/>
                    </a:xfrm>
                    <a:prstGeom prst="rect">
                      <a:avLst/>
                    </a:prstGeom>
                    <a:noFill/>
                    <a:ln>
                      <a:noFill/>
                    </a:ln>
                  </pic:spPr>
                </pic:pic>
              </a:graphicData>
            </a:graphic>
          </wp:inline>
        </w:drawing>
      </w:r>
      <w:r>
        <w:rPr>
          <w:noProof/>
          <w:lang w:eastAsia="en-GB"/>
        </w:rPr>
        <w:drawing>
          <wp:inline distT="0" distB="0" distL="0" distR="0">
            <wp:extent cx="2484408" cy="1587260"/>
            <wp:effectExtent l="0" t="0" r="0" b="0"/>
            <wp:docPr id="32" name="Picture 32" descr="cid:image002.png@01D2F66F.1F5AC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2.png@01D2F66F.1F5AC1D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84647" cy="1587413"/>
                    </a:xfrm>
                    <a:prstGeom prst="rect">
                      <a:avLst/>
                    </a:prstGeom>
                    <a:noFill/>
                    <a:ln>
                      <a:noFill/>
                    </a:ln>
                  </pic:spPr>
                </pic:pic>
              </a:graphicData>
            </a:graphic>
          </wp:inline>
        </w:drawing>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Figure 1: Reduction of aerial pesticide application in two Member States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has examined this topic in the course of audits in eleven Member States</w:t>
      </w:r>
      <w:r>
        <w:rPr>
          <w:rFonts w:ascii="Times New Roman" w:eastAsia="Times New Roman" w:hAnsi="Times New Roman" w:cs="Times New Roman"/>
          <w:noProof/>
          <w:color w:val="000000"/>
          <w:sz w:val="24"/>
          <w:szCs w:val="24"/>
          <w:lang w:eastAsia="en-GB"/>
        </w:rPr>
        <w:t xml:space="preserve"> in 2015-2016 and in the fact-finding missions to six Member States in 2017. In all cases where derogations were granted, aerial spraying was performed under the strict conditions for derogations as specified by the Directive. Finally, the areas treated un</w:t>
      </w:r>
      <w:r>
        <w:rPr>
          <w:rFonts w:ascii="Times New Roman" w:eastAsia="Times New Roman" w:hAnsi="Times New Roman" w:cs="Times New Roman"/>
          <w:noProof/>
          <w:color w:val="000000"/>
          <w:sz w:val="24"/>
          <w:szCs w:val="24"/>
          <w:lang w:eastAsia="en-GB"/>
        </w:rPr>
        <w:t>der derogation have decreased significantly in recent years as demonstrated in the graphs above.</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will nonetheless continue assessing how Member States assess derogation requests, including through audits, to ensure that the strict condition</w:t>
      </w:r>
      <w:r>
        <w:rPr>
          <w:rFonts w:ascii="Times New Roman" w:eastAsia="Times New Roman" w:hAnsi="Times New Roman" w:cs="Times New Roman"/>
          <w:noProof/>
          <w:color w:val="000000"/>
          <w:sz w:val="24"/>
          <w:szCs w:val="24"/>
          <w:lang w:eastAsia="en-GB"/>
        </w:rPr>
        <w:t>s for these derogations are respected and properly controlled.</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Information and Awareness raising</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7(1) of the Directive requires Member States to take measures to inform the general public and to promote and facilitate information and awareness-rais</w:t>
      </w:r>
      <w:r>
        <w:rPr>
          <w:rFonts w:ascii="Times New Roman" w:eastAsia="Times New Roman" w:hAnsi="Times New Roman" w:cs="Times New Roman"/>
          <w:noProof/>
          <w:color w:val="000000"/>
          <w:sz w:val="24"/>
          <w:szCs w:val="24"/>
          <w:lang w:eastAsia="en-GB"/>
        </w:rPr>
        <w:t>ing programmes and to promote the availability of accurate and balanced information relating to pesticides for the general public. Article 10 states that Member States may include in their plans provisions on informing persons who could be exposed to spray</w:t>
      </w:r>
      <w:r>
        <w:rPr>
          <w:rFonts w:ascii="Times New Roman" w:eastAsia="Times New Roman" w:hAnsi="Times New Roman" w:cs="Times New Roman"/>
          <w:noProof/>
          <w:color w:val="000000"/>
          <w:sz w:val="24"/>
          <w:szCs w:val="24"/>
          <w:lang w:eastAsia="en-GB"/>
        </w:rPr>
        <w:t xml:space="preserve"> drift.</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This provision is used comprehensively in some Member States and in some areas but there remains the potential for disseminating good practice and for these practices to be used more widely, in order to inform the public and stakeholders.</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All </w:t>
      </w:r>
      <w:r>
        <w:rPr>
          <w:rFonts w:ascii="Times New Roman" w:eastAsia="Times New Roman" w:hAnsi="Times New Roman" w:cs="Times New Roman"/>
          <w:noProof/>
          <w:color w:val="000000"/>
          <w:sz w:val="24"/>
          <w:szCs w:val="24"/>
          <w:lang w:eastAsia="en-GB"/>
        </w:rPr>
        <w:t>NAPs include planned measures to provide information to the public. Only Romania and Spain establish defined targets in this area.</w:t>
      </w:r>
    </w:p>
    <w:p w:rsidR="006D67E1" w:rsidRDefault="006D67E1">
      <w:pPr>
        <w:tabs>
          <w:tab w:val="left" w:pos="871"/>
        </w:tabs>
        <w:autoSpaceDE w:val="0"/>
        <w:autoSpaceDN w:val="0"/>
        <w:adjustRightInd w:val="0"/>
        <w:spacing w:after="0" w:line="240" w:lineRule="auto"/>
        <w:jc w:val="both"/>
        <w:rPr>
          <w:rFonts w:ascii="Verdana" w:eastAsia="Times New Roman" w:hAnsi="Verdana" w:cs="EUAlbertina"/>
          <w:noProof/>
          <w:color w:val="000000"/>
          <w:sz w:val="19"/>
          <w:szCs w:val="19"/>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main tool used by Member State authorities for providing the general public with accurate and balanced information on th</w:t>
      </w:r>
      <w:r>
        <w:rPr>
          <w:rFonts w:ascii="Times New Roman" w:eastAsia="Times New Roman" w:hAnsi="Times New Roman" w:cs="Times New Roman"/>
          <w:noProof/>
          <w:color w:val="000000"/>
          <w:sz w:val="24"/>
          <w:szCs w:val="24"/>
          <w:lang w:eastAsia="en-GB"/>
        </w:rPr>
        <w:t>e sustainable use of pesticides is by means of their websites. These national websites are complemented by a dedicated Commission website which is currently being upgraded to a web-portal with links to all Member State websites and other information source</w:t>
      </w:r>
      <w:r>
        <w:rPr>
          <w:rFonts w:ascii="Times New Roman" w:eastAsia="Times New Roman" w:hAnsi="Times New Roman" w:cs="Times New Roman"/>
          <w:noProof/>
          <w:color w:val="000000"/>
          <w:sz w:val="24"/>
          <w:szCs w:val="24"/>
          <w:lang w:eastAsia="en-GB"/>
        </w:rPr>
        <w:t>s. This will provide a means to share information within and between them on a range of topics, including guidance material on IPM and decision support systems.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their response to the 2016 questionnaire, six Member States</w:t>
      </w:r>
      <w:r>
        <w:rPr>
          <w:rStyle w:val="FootnoteReference"/>
          <w:rFonts w:ascii="Times New Roman" w:eastAsia="Times New Roman" w:hAnsi="Times New Roman" w:cs="Times New Roman"/>
          <w:noProof/>
          <w:color w:val="000000"/>
          <w:sz w:val="24"/>
          <w:szCs w:val="24"/>
          <w:lang w:eastAsia="en-GB"/>
        </w:rPr>
        <w:footnoteReference w:id="33"/>
      </w:r>
      <w:r>
        <w:rPr>
          <w:rFonts w:ascii="Times New Roman" w:eastAsia="Times New Roman" w:hAnsi="Times New Roman" w:cs="Times New Roman"/>
          <w:noProof/>
          <w:color w:val="000000"/>
          <w:sz w:val="24"/>
          <w:szCs w:val="24"/>
          <w:lang w:eastAsia="en-GB"/>
        </w:rPr>
        <w:t xml:space="preserve"> informed the Commission of national provisions whereby farmers must inform their neighbours and local residents before pesticide applications, at least on request. As an example, in Sweden and the Netherlands operators who plan to use pesticides in areas </w:t>
      </w:r>
      <w:r>
        <w:rPr>
          <w:rFonts w:ascii="Times New Roman" w:eastAsia="Times New Roman" w:hAnsi="Times New Roman" w:cs="Times New Roman"/>
          <w:noProof/>
          <w:color w:val="000000"/>
          <w:sz w:val="24"/>
          <w:szCs w:val="24"/>
          <w:lang w:eastAsia="en-GB"/>
        </w:rPr>
        <w:t xml:space="preserve">where the general public has access must put up </w:t>
      </w:r>
      <w:r>
        <w:rPr>
          <w:rFonts w:ascii="Times New Roman" w:eastAsia="Times New Roman" w:hAnsi="Times New Roman" w:cs="Times New Roman"/>
          <w:noProof/>
          <w:color w:val="000000"/>
          <w:sz w:val="24"/>
          <w:szCs w:val="24"/>
          <w:lang w:eastAsia="en-GB"/>
        </w:rPr>
        <w:lastRenderedPageBreak/>
        <w:t>a sign with detailed information at least one week before application. In the course of the Commission’s fact-finding missions in 2017, Member States provided examples of targeted information campaigns, inclu</w:t>
      </w:r>
      <w:r>
        <w:rPr>
          <w:rFonts w:ascii="Times New Roman" w:eastAsia="Times New Roman" w:hAnsi="Times New Roman" w:cs="Times New Roman"/>
          <w:noProof/>
          <w:color w:val="000000"/>
          <w:sz w:val="24"/>
          <w:szCs w:val="24"/>
          <w:lang w:eastAsia="en-GB"/>
        </w:rPr>
        <w:t xml:space="preserve">ding awareness campaigns to inform home gardeners about pesticide risks in Denmark, Poland and Sweden, and competitions on pesticide risks for school children in Poland and Italy. </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AQUATIC ENVIRONMENT AND DRINKING WATER</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11 of the Directive requires</w:t>
      </w:r>
      <w:r>
        <w:rPr>
          <w:rFonts w:ascii="Times New Roman" w:eastAsia="Times New Roman" w:hAnsi="Times New Roman" w:cs="Times New Roman"/>
          <w:noProof/>
          <w:color w:val="000000"/>
          <w:sz w:val="24"/>
          <w:szCs w:val="24"/>
          <w:lang w:eastAsia="en-GB"/>
        </w:rPr>
        <w:t xml:space="preserve"> Member States to ensure that appropriate measures are taken to protect the aquatic environment and drinking water supplies from the impact of pesticides.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Member States have taken a range of measures to protect the aquatic environment from pesticide use, </w:t>
            </w:r>
            <w:r>
              <w:rPr>
                <w:rFonts w:ascii="Times New Roman" w:eastAsia="Times New Roman" w:hAnsi="Times New Roman" w:cs="Times New Roman"/>
                <w:noProof/>
                <w:color w:val="000000"/>
                <w:sz w:val="24"/>
                <w:szCs w:val="24"/>
                <w:lang w:eastAsia="en-GB"/>
              </w:rPr>
              <w:t>but in the absence of measurable targets in most national action plans it is difficult to assess the progress achieved.</w:t>
            </w:r>
            <w:r>
              <w:rPr>
                <w:noProof/>
              </w:rPr>
              <w:t xml:space="preserve"> </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Twenty seven national action plans include considerable detail in this area, with only France omitting this. The range of actions cov</w:t>
      </w:r>
      <w:r>
        <w:rPr>
          <w:rFonts w:ascii="Times New Roman" w:eastAsia="Times New Roman" w:hAnsi="Times New Roman" w:cs="Times New Roman"/>
          <w:noProof/>
          <w:color w:val="000000"/>
          <w:sz w:val="24"/>
          <w:szCs w:val="24"/>
          <w:lang w:eastAsia="en-GB"/>
        </w:rPr>
        <w:t>ers several areas. As regards pesticide application, measures include the use of drift reduction technology and a ban on sprayer filling from water courses. Financial incentives are available, including for buffer zones adjacent to water courses in agro-en</w:t>
      </w:r>
      <w:r>
        <w:rPr>
          <w:rFonts w:ascii="Times New Roman" w:eastAsia="Times New Roman" w:hAnsi="Times New Roman" w:cs="Times New Roman"/>
          <w:noProof/>
          <w:color w:val="000000"/>
          <w:sz w:val="24"/>
          <w:szCs w:val="24"/>
          <w:lang w:eastAsia="en-GB"/>
        </w:rPr>
        <w:t>vironmental schemes, capital grants for purchase of low drift nozzles, and construction of bio-beds to capture runoff from sprayer washing. However, the coverage of the territory by these measures is, in most Member States, very limited. Other measures rel</w:t>
      </w:r>
      <w:r>
        <w:rPr>
          <w:rFonts w:ascii="Times New Roman" w:eastAsia="Times New Roman" w:hAnsi="Times New Roman" w:cs="Times New Roman"/>
          <w:noProof/>
          <w:color w:val="000000"/>
          <w:sz w:val="24"/>
          <w:szCs w:val="24"/>
          <w:lang w:eastAsia="en-GB"/>
        </w:rPr>
        <w:t>ate to education and knowledge transfer. While Member States have in place a wide range of measures in this area as outlined above, the targets and timelines established either refer to the achievement of actions e.g. areas of buffer zones adjacent to wate</w:t>
      </w:r>
      <w:r>
        <w:rPr>
          <w:rFonts w:ascii="Times New Roman" w:eastAsia="Times New Roman" w:hAnsi="Times New Roman" w:cs="Times New Roman"/>
          <w:noProof/>
          <w:color w:val="000000"/>
          <w:sz w:val="24"/>
          <w:szCs w:val="24"/>
          <w:lang w:eastAsia="en-GB"/>
        </w:rPr>
        <w:t>r courses, or, in some Member States, achievement of existing water quality standards under other legislation.</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As emphasised in the Commission staff working document on agriculture and sustainable water management in Europe</w:t>
      </w:r>
      <w:r>
        <w:rPr>
          <w:rStyle w:val="FootnoteReference"/>
          <w:rFonts w:ascii="Times New Roman" w:eastAsia="Times New Roman" w:hAnsi="Times New Roman" w:cs="Times New Roman"/>
          <w:noProof/>
          <w:color w:val="000000"/>
          <w:sz w:val="24"/>
          <w:szCs w:val="24"/>
          <w:lang w:eastAsia="en-GB"/>
        </w:rPr>
        <w:footnoteReference w:id="34"/>
      </w:r>
      <w:r>
        <w:rPr>
          <w:rFonts w:ascii="Times New Roman" w:eastAsia="Times New Roman" w:hAnsi="Times New Roman" w:cs="Times New Roman"/>
          <w:noProof/>
          <w:color w:val="000000"/>
          <w:sz w:val="24"/>
          <w:szCs w:val="24"/>
          <w:lang w:eastAsia="en-GB"/>
        </w:rPr>
        <w:t xml:space="preserve">, the Directive on the </w:t>
      </w:r>
      <w:r>
        <w:rPr>
          <w:rFonts w:ascii="Times New Roman" w:eastAsia="Times New Roman" w:hAnsi="Times New Roman" w:cs="Times New Roman"/>
          <w:noProof/>
          <w:color w:val="000000"/>
          <w:sz w:val="24"/>
          <w:szCs w:val="24"/>
          <w:lang w:eastAsia="en-GB"/>
        </w:rPr>
        <w:t>sustainable use of pesticides is an important instrument to fulfil the objectives of good water status under the Water Framework Directive 2000/60/EC</w:t>
      </w:r>
      <w:r>
        <w:rPr>
          <w:rFonts w:ascii="Times New Roman" w:eastAsia="Times New Roman" w:hAnsi="Times New Roman" w:cs="Times New Roman"/>
          <w:noProof/>
          <w:color w:val="000000"/>
          <w:sz w:val="24"/>
          <w:szCs w:val="24"/>
          <w:vertAlign w:val="superscript"/>
          <w:lang w:eastAsia="en-GB"/>
        </w:rPr>
        <w:footnoteReference w:id="35"/>
      </w:r>
      <w:r>
        <w:rPr>
          <w:rFonts w:ascii="Times New Roman" w:eastAsia="Times New Roman" w:hAnsi="Times New Roman" w:cs="Times New Roman"/>
          <w:noProof/>
          <w:color w:val="000000"/>
          <w:sz w:val="24"/>
          <w:szCs w:val="24"/>
          <w:lang w:eastAsia="en-GB"/>
        </w:rPr>
        <w:t>. Nevertheless, Member State targets and timetables to protect the aquatic environment are not always expl</w:t>
      </w:r>
      <w:r>
        <w:rPr>
          <w:rFonts w:ascii="Times New Roman" w:eastAsia="Times New Roman" w:hAnsi="Times New Roman" w:cs="Times New Roman"/>
          <w:noProof/>
          <w:color w:val="000000"/>
          <w:sz w:val="24"/>
          <w:szCs w:val="24"/>
          <w:lang w:eastAsia="en-GB"/>
        </w:rPr>
        <w:t>icitly linked to the environmental objectives of Directive 2000/60/EC. Member States implemented environmental monitoring programmes under Directive 2000/60/EC, Directive 2006/118/EC</w:t>
      </w:r>
      <w:r>
        <w:rPr>
          <w:rFonts w:ascii="Times New Roman" w:eastAsia="Times New Roman" w:hAnsi="Times New Roman" w:cs="Times New Roman"/>
          <w:noProof/>
          <w:color w:val="000000"/>
          <w:sz w:val="24"/>
          <w:szCs w:val="24"/>
          <w:vertAlign w:val="superscript"/>
          <w:lang w:eastAsia="en-GB"/>
        </w:rPr>
        <w:footnoteReference w:id="36"/>
      </w:r>
      <w:r>
        <w:rPr>
          <w:rFonts w:ascii="Times New Roman" w:eastAsia="Times New Roman" w:hAnsi="Times New Roman" w:cs="Times New Roman"/>
          <w:noProof/>
          <w:color w:val="000000"/>
          <w:sz w:val="24"/>
          <w:szCs w:val="24"/>
          <w:lang w:eastAsia="en-GB"/>
        </w:rPr>
        <w:t xml:space="preserve"> for Groundwater, Directive 2008/105/EC</w:t>
      </w:r>
      <w:r>
        <w:rPr>
          <w:rFonts w:ascii="Times New Roman" w:eastAsia="Times New Roman" w:hAnsi="Times New Roman" w:cs="Times New Roman"/>
          <w:noProof/>
          <w:color w:val="000000"/>
          <w:sz w:val="24"/>
          <w:szCs w:val="24"/>
          <w:vertAlign w:val="superscript"/>
          <w:lang w:eastAsia="en-GB"/>
        </w:rPr>
        <w:footnoteReference w:id="37"/>
      </w:r>
      <w:r>
        <w:rPr>
          <w:rFonts w:ascii="Times New Roman" w:eastAsia="Times New Roman" w:hAnsi="Times New Roman" w:cs="Times New Roman"/>
          <w:noProof/>
          <w:color w:val="000000"/>
          <w:sz w:val="24"/>
          <w:szCs w:val="24"/>
          <w:lang w:eastAsia="en-GB"/>
        </w:rPr>
        <w:t xml:space="preserve"> on Environmental Quality Standar</w:t>
      </w:r>
      <w:r>
        <w:rPr>
          <w:rFonts w:ascii="Times New Roman" w:eastAsia="Times New Roman" w:hAnsi="Times New Roman" w:cs="Times New Roman"/>
          <w:noProof/>
          <w:color w:val="000000"/>
          <w:sz w:val="24"/>
          <w:szCs w:val="24"/>
          <w:lang w:eastAsia="en-GB"/>
        </w:rPr>
        <w:t>ds in Surface Water and under Directive 1998/83/EC for drinking water</w:t>
      </w:r>
      <w:r>
        <w:rPr>
          <w:rStyle w:val="FootnoteReference"/>
          <w:rFonts w:ascii="Times New Roman" w:eastAsia="Times New Roman" w:hAnsi="Times New Roman" w:cs="Times New Roman"/>
          <w:noProof/>
          <w:color w:val="000000"/>
          <w:sz w:val="24"/>
          <w:szCs w:val="24"/>
          <w:lang w:eastAsia="en-GB"/>
        </w:rPr>
        <w:footnoteReference w:id="38"/>
      </w:r>
      <w:r>
        <w:rPr>
          <w:rFonts w:ascii="Times New Roman" w:eastAsia="Times New Roman" w:hAnsi="Times New Roman" w:cs="Times New Roman"/>
          <w:noProof/>
          <w:color w:val="000000"/>
          <w:sz w:val="24"/>
          <w:szCs w:val="24"/>
          <w:lang w:eastAsia="en-GB"/>
        </w:rPr>
        <w:t xml:space="preserve">. The monitoring programmes, and linked indicators and targets, need to cover several compartments, including biota and/or sediment, to adequately </w:t>
      </w:r>
      <w:r>
        <w:rPr>
          <w:rFonts w:ascii="Times New Roman" w:eastAsia="Times New Roman" w:hAnsi="Times New Roman" w:cs="Times New Roman"/>
          <w:noProof/>
          <w:color w:val="000000"/>
          <w:sz w:val="24"/>
          <w:szCs w:val="24"/>
          <w:lang w:eastAsia="en-GB"/>
        </w:rPr>
        <w:lastRenderedPageBreak/>
        <w:t>cover the risk posed by compounds which</w:t>
      </w:r>
      <w:r>
        <w:rPr>
          <w:rFonts w:ascii="Times New Roman" w:eastAsia="Times New Roman" w:hAnsi="Times New Roman" w:cs="Times New Roman"/>
          <w:noProof/>
          <w:color w:val="000000"/>
          <w:sz w:val="24"/>
          <w:szCs w:val="24"/>
          <w:lang w:eastAsia="en-GB"/>
        </w:rPr>
        <w:t xml:space="preserve"> can bio-accumulate. Results from water monitoring show that pesticides from different sources contribute to poor status of water bodies in 16 Member States, affecting 20 % of groundwater and 16 % of the rivers and transitional water bodies classified as b</w:t>
      </w:r>
      <w:r>
        <w:rPr>
          <w:rFonts w:ascii="Times New Roman" w:eastAsia="Times New Roman" w:hAnsi="Times New Roman" w:cs="Times New Roman"/>
          <w:noProof/>
          <w:color w:val="000000"/>
          <w:sz w:val="24"/>
          <w:szCs w:val="24"/>
          <w:lang w:eastAsia="en-GB"/>
        </w:rPr>
        <w:t>eing in poor chemical status according to the EEA Report No 8/2012 "European waters - assessment of status and pressures"</w:t>
      </w:r>
      <w:r>
        <w:rPr>
          <w:rStyle w:val="FootnoteReference"/>
          <w:rFonts w:ascii="Times New Roman" w:eastAsia="Times New Roman" w:hAnsi="Times New Roman" w:cs="Times New Roman"/>
          <w:noProof/>
          <w:color w:val="000000"/>
          <w:sz w:val="24"/>
          <w:szCs w:val="24"/>
          <w:lang w:eastAsia="en-GB"/>
        </w:rPr>
        <w:footnoteReference w:id="39"/>
      </w:r>
      <w:r>
        <w:rPr>
          <w:rFonts w:ascii="Times New Roman" w:eastAsia="Times New Roman" w:hAnsi="Times New Roman" w:cs="Times New Roman"/>
          <w:noProof/>
          <w:color w:val="000000"/>
          <w:sz w:val="24"/>
          <w:szCs w:val="24"/>
          <w:vertAlign w:val="superscript"/>
          <w:lang w:eastAsia="en-GB"/>
        </w:rPr>
        <w:t>,</w:t>
      </w:r>
      <w:r>
        <w:rPr>
          <w:rStyle w:val="FootnoteReference"/>
          <w:rFonts w:ascii="Times New Roman" w:eastAsia="Times New Roman" w:hAnsi="Times New Roman" w:cs="Times New Roman"/>
          <w:noProof/>
          <w:color w:val="000000"/>
          <w:sz w:val="24"/>
          <w:szCs w:val="24"/>
          <w:lang w:eastAsia="en-GB"/>
        </w:rPr>
        <w:footnoteReference w:id="40"/>
      </w:r>
      <w:r>
        <w:rPr>
          <w:rFonts w:ascii="Times New Roman" w:eastAsia="Times New Roman" w:hAnsi="Times New Roman" w:cs="Times New Roman"/>
          <w:noProof/>
          <w:color w:val="000000"/>
          <w:sz w:val="24"/>
          <w:szCs w:val="24"/>
          <w:lang w:eastAsia="en-GB"/>
        </w:rPr>
        <w:t>.</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response to the 2016 questionnaire, Member States reported to the Commission that over one million water samples were tested f</w:t>
      </w:r>
      <w:r>
        <w:rPr>
          <w:rFonts w:ascii="Times New Roman" w:eastAsia="Times New Roman" w:hAnsi="Times New Roman" w:cs="Times New Roman"/>
          <w:noProof/>
          <w:color w:val="000000"/>
          <w:sz w:val="24"/>
          <w:szCs w:val="24"/>
          <w:lang w:eastAsia="en-GB"/>
        </w:rPr>
        <w:t>or pesticide residues in 2014 and 2015 together. This compares to the 84,000 official food samples analysed for pesticide residues in 2015. Water samples were taken from surface, ground and drinking water. Most samples were taken from drinking water, where</w:t>
      </w:r>
      <w:r>
        <w:rPr>
          <w:rFonts w:ascii="Times New Roman" w:eastAsia="Times New Roman" w:hAnsi="Times New Roman" w:cs="Times New Roman"/>
          <w:noProof/>
          <w:color w:val="000000"/>
          <w:sz w:val="24"/>
          <w:szCs w:val="24"/>
          <w:lang w:eastAsia="en-GB"/>
        </w:rPr>
        <w:t xml:space="preserve"> the results indicated a high compliance rate (99%) with the EU legal limit established by Directive 1998/83/EC.</w:t>
      </w:r>
      <w:r>
        <w:rPr>
          <w:noProof/>
        </w:rPr>
        <w:t xml:space="preserve"> </w:t>
      </w:r>
      <w:r>
        <w:rPr>
          <w:rFonts w:ascii="Times New Roman" w:eastAsia="Times New Roman" w:hAnsi="Times New Roman" w:cs="Times New Roman"/>
          <w:noProof/>
          <w:color w:val="000000"/>
          <w:sz w:val="24"/>
          <w:szCs w:val="24"/>
          <w:lang w:eastAsia="en-GB"/>
        </w:rPr>
        <w:t>Nevertheless, samples are taken after any necessary treatment for the removal of pesticides.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range of pesticides analysed in the environmental monitoring programmes varied within and between the Member States visited in 2017. Germany, the Netherlands and Denmark had established clear targets in relation to compliance with these provisions, whi</w:t>
      </w:r>
      <w:r>
        <w:rPr>
          <w:rFonts w:ascii="Times New Roman" w:eastAsia="Times New Roman" w:hAnsi="Times New Roman" w:cs="Times New Roman"/>
          <w:noProof/>
          <w:color w:val="000000"/>
          <w:sz w:val="24"/>
          <w:szCs w:val="24"/>
          <w:lang w:eastAsia="en-GB"/>
        </w:rPr>
        <w:t>ch helps the authorities to assess and demonstrate the progress made. In many regions in Italy, substances additional to priority substances listed under the Water Framework Directive were also monitored. In Poland, however, the list of pesticides monitore</w:t>
      </w:r>
      <w:r>
        <w:rPr>
          <w:rFonts w:ascii="Times New Roman" w:eastAsia="Times New Roman" w:hAnsi="Times New Roman" w:cs="Times New Roman"/>
          <w:noProof/>
          <w:color w:val="000000"/>
          <w:sz w:val="24"/>
          <w:szCs w:val="24"/>
          <w:lang w:eastAsia="en-GB"/>
        </w:rPr>
        <w:t xml:space="preserve">d included only the EU priority substances. In both Germany and Denmark, findings of pesticides in groundwater mainly related to persistent pesticides which are no longer authorised, marketed or used in the EU. </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REDUCTION OF PESTICIDE USE IN SPECIFIC AREAS</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12 of the Directive requires Member States to ensure that the use of pesticides is minimised or prohibited in certain specific areas. These include areas used by the general public or by vulnerable groups, protected areas and recently treated area</w:t>
      </w:r>
      <w:r>
        <w:rPr>
          <w:rFonts w:ascii="Times New Roman" w:eastAsia="Times New Roman" w:hAnsi="Times New Roman" w:cs="Times New Roman"/>
          <w:noProof/>
          <w:color w:val="000000"/>
          <w:sz w:val="24"/>
          <w:szCs w:val="24"/>
          <w:lang w:eastAsia="en-GB"/>
        </w:rPr>
        <w:t>s used by agricultural workers. Appropriate risk management measures shall be taken and the use of low-risk pesticides and biological control measures shall be considered in the first place.</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Commission acknowledges the extensive measures put in place </w:t>
            </w:r>
            <w:r>
              <w:rPr>
                <w:rFonts w:ascii="Times New Roman" w:eastAsia="Times New Roman" w:hAnsi="Times New Roman" w:cs="Times New Roman"/>
                <w:noProof/>
                <w:color w:val="000000"/>
                <w:sz w:val="24"/>
                <w:szCs w:val="24"/>
                <w:lang w:eastAsia="en-GB"/>
              </w:rPr>
              <w:t>by Member States for the reduction of pesticide use in specific areas, and the positive effect this has achieved, but notes also the absence of measurable targets in the majority of Member States.</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their NAPs, 26 Member States</w:t>
      </w:r>
      <w:r>
        <w:rPr>
          <w:rStyle w:val="FootnoteReference"/>
          <w:rFonts w:ascii="Times New Roman" w:eastAsia="Times New Roman" w:hAnsi="Times New Roman" w:cs="Times New Roman"/>
          <w:noProof/>
          <w:color w:val="000000"/>
          <w:sz w:val="24"/>
          <w:szCs w:val="24"/>
          <w:lang w:eastAsia="en-GB"/>
        </w:rPr>
        <w:footnoteReference w:id="41"/>
      </w:r>
      <w:r>
        <w:rPr>
          <w:rFonts w:ascii="Times New Roman" w:eastAsia="Times New Roman" w:hAnsi="Times New Roman" w:cs="Times New Roman"/>
          <w:noProof/>
          <w:color w:val="000000"/>
          <w:sz w:val="24"/>
          <w:szCs w:val="24"/>
          <w:lang w:eastAsia="en-GB"/>
        </w:rPr>
        <w:t xml:space="preserve"> describe measures to min</w:t>
      </w:r>
      <w:r>
        <w:rPr>
          <w:rFonts w:ascii="Times New Roman" w:eastAsia="Times New Roman" w:hAnsi="Times New Roman" w:cs="Times New Roman"/>
          <w:noProof/>
          <w:color w:val="000000"/>
          <w:sz w:val="24"/>
          <w:szCs w:val="24"/>
          <w:lang w:eastAsia="en-GB"/>
        </w:rPr>
        <w:t>imise pesticide use in public areas, but most of them set no specific use reduction targets for public areas. Nevertheless, some good practices were noted, such as Denmark which has an overall use reduction target, and in addition, is setting pesticide quo</w:t>
      </w:r>
      <w:r>
        <w:rPr>
          <w:rFonts w:ascii="Times New Roman" w:eastAsia="Times New Roman" w:hAnsi="Times New Roman" w:cs="Times New Roman"/>
          <w:noProof/>
          <w:color w:val="000000"/>
          <w:sz w:val="24"/>
          <w:szCs w:val="24"/>
          <w:lang w:eastAsia="en-GB"/>
        </w:rPr>
        <w:t>tas for each golf course. In other public areas, the aim is to phase out pesticide use. Only NAPs from Latvia, Malta, Spain and Italy contain specific measures dealing with recently treated areas in terms of protecting agricultural workers.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lastRenderedPageBreak/>
        <w:t>In response to</w:t>
      </w:r>
      <w:r>
        <w:rPr>
          <w:rFonts w:ascii="Times New Roman" w:eastAsia="Times New Roman" w:hAnsi="Times New Roman" w:cs="Times New Roman"/>
          <w:noProof/>
          <w:color w:val="000000"/>
          <w:sz w:val="24"/>
          <w:szCs w:val="24"/>
          <w:lang w:eastAsia="en-GB"/>
        </w:rPr>
        <w:t xml:space="preserve"> the 2016 questionnaire, 26  Member States</w:t>
      </w:r>
      <w:r>
        <w:rPr>
          <w:rStyle w:val="FootnoteReference"/>
          <w:rFonts w:ascii="Times New Roman" w:eastAsia="Times New Roman" w:hAnsi="Times New Roman" w:cs="Times New Roman"/>
          <w:noProof/>
          <w:color w:val="000000"/>
          <w:sz w:val="24"/>
          <w:szCs w:val="24"/>
          <w:lang w:eastAsia="en-GB"/>
        </w:rPr>
        <w:footnoteReference w:id="42"/>
      </w:r>
      <w:r>
        <w:rPr>
          <w:rFonts w:ascii="Times New Roman" w:eastAsia="Times New Roman" w:hAnsi="Times New Roman" w:cs="Times New Roman"/>
          <w:noProof/>
          <w:color w:val="000000"/>
          <w:sz w:val="24"/>
          <w:szCs w:val="24"/>
          <w:lang w:eastAsia="en-GB"/>
        </w:rPr>
        <w:t xml:space="preserve">  reported that they prohibited or restricted the use of pesticides in protected areas (as defined in Directive 2000/60/EC), and conservation areas (as defined in Directives 79/409/EEC</w:t>
      </w:r>
      <w:r>
        <w:rPr>
          <w:rFonts w:ascii="Times New Roman" w:eastAsia="Times New Roman" w:hAnsi="Times New Roman" w:cs="Times New Roman"/>
          <w:noProof/>
          <w:color w:val="000000"/>
          <w:sz w:val="24"/>
          <w:szCs w:val="24"/>
          <w:vertAlign w:val="superscript"/>
          <w:lang w:eastAsia="en-GB"/>
        </w:rPr>
        <w:footnoteReference w:id="43"/>
      </w:r>
      <w:r>
        <w:rPr>
          <w:rFonts w:ascii="Times New Roman" w:eastAsia="Times New Roman" w:hAnsi="Times New Roman" w:cs="Times New Roman"/>
          <w:noProof/>
          <w:color w:val="000000"/>
          <w:sz w:val="24"/>
          <w:szCs w:val="24"/>
          <w:lang w:eastAsia="en-GB"/>
        </w:rPr>
        <w:t xml:space="preserve"> and 92/43/EEC</w:t>
      </w:r>
      <w:r>
        <w:rPr>
          <w:rFonts w:ascii="Times New Roman" w:eastAsia="Times New Roman" w:hAnsi="Times New Roman" w:cs="Times New Roman"/>
          <w:noProof/>
          <w:color w:val="000000"/>
          <w:sz w:val="24"/>
          <w:szCs w:val="24"/>
          <w:vertAlign w:val="superscript"/>
          <w:lang w:eastAsia="en-GB"/>
        </w:rPr>
        <w:footnoteReference w:id="44"/>
      </w:r>
      <w:r>
        <w:rPr>
          <w:rFonts w:ascii="Times New Roman" w:eastAsia="Times New Roman" w:hAnsi="Times New Roman" w:cs="Times New Roman"/>
          <w:noProof/>
          <w:color w:val="000000"/>
          <w:sz w:val="24"/>
          <w:szCs w:val="24"/>
          <w:lang w:eastAsia="en-GB"/>
        </w:rPr>
        <w:t>). In the cou</w:t>
      </w:r>
      <w:r>
        <w:rPr>
          <w:rFonts w:ascii="Times New Roman" w:eastAsia="Times New Roman" w:hAnsi="Times New Roman" w:cs="Times New Roman"/>
          <w:noProof/>
          <w:color w:val="000000"/>
          <w:sz w:val="24"/>
          <w:szCs w:val="24"/>
          <w:lang w:eastAsia="en-GB"/>
        </w:rPr>
        <w:t>rse of the 2017 fact finding missions, the Commission saw examples of restrictions applied in the Member States: Poland prohibits the use of harmful, toxic or very toxic pesticides in public areas such as playgrounds, primary schools and kindergartens, wit</w:t>
      </w:r>
      <w:r>
        <w:rPr>
          <w:rFonts w:ascii="Times New Roman" w:eastAsia="Times New Roman" w:hAnsi="Times New Roman" w:cs="Times New Roman"/>
          <w:noProof/>
          <w:color w:val="000000"/>
          <w:sz w:val="24"/>
          <w:szCs w:val="24"/>
          <w:lang w:eastAsia="en-GB"/>
        </w:rPr>
        <w:t>hout the possibility of derogations. Other Member States banned pesticides containing glyphosate in non-agricultural areas (for example Italy), or in national parks and nature reserves (for example Germany). In Germany, only 17 derogations in two years had</w:t>
      </w:r>
      <w:r>
        <w:rPr>
          <w:rFonts w:ascii="Times New Roman" w:eastAsia="Times New Roman" w:hAnsi="Times New Roman" w:cs="Times New Roman"/>
          <w:noProof/>
          <w:color w:val="000000"/>
          <w:sz w:val="24"/>
          <w:szCs w:val="24"/>
          <w:lang w:eastAsia="en-GB"/>
        </w:rPr>
        <w:t xml:space="preserve"> been granted for pesticide use in public areas. Denmark reported that the use of pesticides in public areas has been reduced by 90 % since 1995.</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HANDLING AND STORAGE OF PESTICIDES</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Article 13 of the Directive requires Member States to ensure that the </w:t>
      </w:r>
      <w:r>
        <w:rPr>
          <w:rFonts w:ascii="Times New Roman" w:eastAsia="Times New Roman" w:hAnsi="Times New Roman" w:cs="Times New Roman"/>
          <w:noProof/>
          <w:color w:val="000000"/>
          <w:sz w:val="24"/>
          <w:szCs w:val="24"/>
          <w:lang w:eastAsia="en-GB"/>
        </w:rPr>
        <w:t>handling and storage of pesticides and treatment of their packaging and remnants do not endanger human health or the environment.</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While systems for controlling the handling and storage of pesticides are in place in nearly all Member States, their effectiv</w:t>
            </w:r>
            <w:r>
              <w:rPr>
                <w:rFonts w:ascii="Times New Roman" w:eastAsia="Times New Roman" w:hAnsi="Times New Roman" w:cs="Times New Roman"/>
                <w:noProof/>
                <w:color w:val="000000"/>
                <w:sz w:val="24"/>
                <w:szCs w:val="24"/>
                <w:lang w:eastAsia="en-GB"/>
              </w:rPr>
              <w:t>eness cannot always be assessed due to the lack of measureable targets.</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NAPs generally address this issue but only the Italian plan specifically addresses all the requirements of the Directive, i.e. storage, handling, dilution and mixing of pesticides be</w:t>
      </w:r>
      <w:r>
        <w:rPr>
          <w:rFonts w:ascii="Times New Roman" w:eastAsia="Times New Roman" w:hAnsi="Times New Roman" w:cs="Times New Roman"/>
          <w:noProof/>
          <w:color w:val="000000"/>
          <w:sz w:val="24"/>
          <w:szCs w:val="24"/>
          <w:lang w:eastAsia="en-GB"/>
        </w:rPr>
        <w:t>fore application, handling of packaging, disposal of remnants and tank mixtures and cleaning of equipment. Initiatives relating to disposal of empty pesticide containers are referred to in 18 plans, making it the most common action proposed in this area. N</w:t>
      </w:r>
      <w:r>
        <w:rPr>
          <w:rFonts w:ascii="Times New Roman" w:eastAsia="Times New Roman" w:hAnsi="Times New Roman" w:cs="Times New Roman"/>
          <w:noProof/>
          <w:color w:val="000000"/>
          <w:sz w:val="24"/>
          <w:szCs w:val="24"/>
          <w:lang w:eastAsia="en-GB"/>
        </w:rPr>
        <w:t>ine plans refer to storage standards. Other actions described in the plans include revised storage standards, cleaning of application equipment, and safe disposal of old non-registered pesticides/remnants.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implementation of these requirements had been</w:t>
      </w:r>
      <w:r>
        <w:rPr>
          <w:rFonts w:ascii="Times New Roman" w:eastAsia="Times New Roman" w:hAnsi="Times New Roman" w:cs="Times New Roman"/>
          <w:noProof/>
          <w:color w:val="000000"/>
          <w:sz w:val="24"/>
          <w:szCs w:val="24"/>
          <w:lang w:eastAsia="en-GB"/>
        </w:rPr>
        <w:t xml:space="preserve"> assessed by the Commission audits in 19 Member States in the period of 2012 – 2014. At the time of the audits, 15 Member States had adopted measures regarding handling and storage of pesticides, including recovery and disposal of their packaging and remna</w:t>
      </w:r>
      <w:r>
        <w:rPr>
          <w:rFonts w:ascii="Times New Roman" w:eastAsia="Times New Roman" w:hAnsi="Times New Roman" w:cs="Times New Roman"/>
          <w:noProof/>
          <w:color w:val="000000"/>
          <w:sz w:val="24"/>
          <w:szCs w:val="24"/>
          <w:lang w:eastAsia="en-GB"/>
        </w:rPr>
        <w:t>nts. Collection, transport and safe disposal of both packaging and remnants was being carried out by approved companies, in four Member States in co-operation between authorities and pesticide industry. Member States complemented the implementation of nati</w:t>
      </w:r>
      <w:r>
        <w:rPr>
          <w:rFonts w:ascii="Times New Roman" w:eastAsia="Times New Roman" w:hAnsi="Times New Roman" w:cs="Times New Roman"/>
          <w:noProof/>
          <w:color w:val="000000"/>
          <w:sz w:val="24"/>
          <w:szCs w:val="24"/>
          <w:lang w:eastAsia="en-GB"/>
        </w:rPr>
        <w:t>onal legislation for the safe handling and storage of pesticides by inspections of storage facilities.</w:t>
      </w:r>
    </w:p>
    <w:p w:rsidR="006D67E1" w:rsidRDefault="006D67E1">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response to the 2016 questionnaire, 25 Member States</w:t>
      </w:r>
      <w:r>
        <w:rPr>
          <w:rStyle w:val="FootnoteReference"/>
          <w:rFonts w:ascii="Times New Roman" w:eastAsia="Times New Roman" w:hAnsi="Times New Roman" w:cs="Times New Roman"/>
          <w:noProof/>
          <w:color w:val="000000"/>
          <w:sz w:val="24"/>
          <w:szCs w:val="24"/>
          <w:lang w:eastAsia="en-GB"/>
        </w:rPr>
        <w:footnoteReference w:id="45"/>
      </w:r>
      <w:r>
        <w:rPr>
          <w:rFonts w:ascii="Times New Roman" w:eastAsia="Times New Roman" w:hAnsi="Times New Roman" w:cs="Times New Roman"/>
          <w:noProof/>
          <w:color w:val="000000"/>
          <w:sz w:val="24"/>
          <w:szCs w:val="24"/>
          <w:lang w:eastAsia="en-GB"/>
        </w:rPr>
        <w:t xml:space="preserve"> replied that they had put in place systems for the collection and safe disposal of empty contai</w:t>
      </w:r>
      <w:r>
        <w:rPr>
          <w:rFonts w:ascii="Times New Roman" w:eastAsia="Times New Roman" w:hAnsi="Times New Roman" w:cs="Times New Roman"/>
          <w:noProof/>
          <w:color w:val="000000"/>
          <w:sz w:val="24"/>
          <w:szCs w:val="24"/>
          <w:lang w:eastAsia="en-GB"/>
        </w:rPr>
        <w:t xml:space="preserve">ners and packaging of PPP. In 21 Member States, these systems extend to the collection and safe disposal of obsolete and </w:t>
      </w:r>
      <w:r>
        <w:rPr>
          <w:rFonts w:ascii="Times New Roman" w:eastAsia="Times New Roman" w:hAnsi="Times New Roman" w:cs="Times New Roman"/>
          <w:noProof/>
          <w:color w:val="000000"/>
          <w:sz w:val="24"/>
          <w:szCs w:val="24"/>
          <w:lang w:eastAsia="en-GB"/>
        </w:rPr>
        <w:lastRenderedPageBreak/>
        <w:t>expired pesticides and their remnants. Fifteen Member States put in place approval systems for pesticide storage facilities at manufact</w:t>
      </w:r>
      <w:r>
        <w:rPr>
          <w:rFonts w:ascii="Times New Roman" w:eastAsia="Times New Roman" w:hAnsi="Times New Roman" w:cs="Times New Roman"/>
          <w:noProof/>
          <w:color w:val="000000"/>
          <w:sz w:val="24"/>
          <w:szCs w:val="24"/>
          <w:lang w:eastAsia="en-GB"/>
        </w:rPr>
        <w:t>urers and distributors.</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Integrated Pest Management</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3 of the Directive provides a definition of IPM and Article 14(4) requires Member States to describe in their NAPs how they ensure that the general principles of IPM are implemented by all professi</w:t>
      </w:r>
      <w:r>
        <w:rPr>
          <w:rFonts w:ascii="Times New Roman" w:eastAsia="Times New Roman" w:hAnsi="Times New Roman" w:cs="Times New Roman"/>
          <w:noProof/>
          <w:color w:val="000000"/>
          <w:sz w:val="24"/>
          <w:szCs w:val="24"/>
          <w:lang w:eastAsia="en-GB"/>
        </w:rPr>
        <w:t>onal users by 1 January 2014. Also, Article 55 of Regulation 1107/2009 provides that the proper use of pesticides also requires compliance with the provisions of the Directive, and in particular the IPM requirements.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What is IPM?</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Along with the </w:t>
      </w:r>
      <w:r>
        <w:rPr>
          <w:rFonts w:ascii="Times New Roman" w:eastAsia="Times New Roman" w:hAnsi="Times New Roman" w:cs="Times New Roman"/>
          <w:noProof/>
          <w:color w:val="000000"/>
          <w:sz w:val="24"/>
          <w:szCs w:val="24"/>
          <w:lang w:eastAsia="en-GB"/>
        </w:rPr>
        <w:t>promotion of organic farming, IPM is one of the tools for low-pesticide-input pest management;</w:t>
      </w:r>
    </w:p>
    <w:p w:rsidR="006D67E1" w:rsidRDefault="00274BA9">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IPM involves an integrated approach to the prevention and/or suppression of organisms harmful to plants through the use of all available information, tools and p</w:t>
      </w:r>
      <w:r>
        <w:rPr>
          <w:rFonts w:ascii="Times New Roman" w:eastAsia="Times New Roman" w:hAnsi="Times New Roman" w:cs="Times New Roman"/>
          <w:noProof/>
          <w:color w:val="000000"/>
          <w:sz w:val="24"/>
          <w:szCs w:val="24"/>
          <w:lang w:eastAsia="en-GB"/>
        </w:rPr>
        <w:t>lant protection methods;</w:t>
      </w:r>
    </w:p>
    <w:p w:rsidR="006D67E1" w:rsidRDefault="00274BA9">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IPM aims at keeping the use of pesticides and other forms of intervention to only levels that are economically and ecologically justified and that reduce or minimise risk to human health and the environment;</w:t>
      </w:r>
    </w:p>
    <w:p w:rsidR="006D67E1" w:rsidRDefault="00274BA9">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Sustainable biological,</w:t>
      </w:r>
      <w:r>
        <w:rPr>
          <w:rFonts w:ascii="Times New Roman" w:eastAsia="Times New Roman" w:hAnsi="Times New Roman" w:cs="Times New Roman"/>
          <w:noProof/>
          <w:color w:val="000000"/>
          <w:sz w:val="24"/>
          <w:szCs w:val="24"/>
          <w:lang w:eastAsia="en-GB"/>
        </w:rPr>
        <w:t xml:space="preserve"> physical and other non-chemical methods must be preferred to chemical methods if they provide satisfactory pest control.</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Member States need to develop clearly defined criteria so that they can assess systematically whether the eight principles of IPM are</w:t>
            </w:r>
            <w:r>
              <w:rPr>
                <w:rFonts w:ascii="Times New Roman" w:eastAsia="Times New Roman" w:hAnsi="Times New Roman" w:cs="Times New Roman"/>
                <w:noProof/>
                <w:color w:val="000000"/>
                <w:sz w:val="24"/>
                <w:szCs w:val="24"/>
                <w:lang w:eastAsia="en-GB"/>
              </w:rPr>
              <w:t xml:space="preserve"> implemented, and take appropriate enforcement measures if this is not the case. Such tools could confirm that the intended outcome of IPM as specified in the Directive, a reduction of the dependency on pesticide use, is being achieved.</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eight general</w:t>
      </w:r>
      <w:r>
        <w:rPr>
          <w:rFonts w:ascii="Times New Roman" w:eastAsia="Times New Roman" w:hAnsi="Times New Roman" w:cs="Times New Roman"/>
          <w:noProof/>
          <w:color w:val="000000"/>
          <w:sz w:val="24"/>
          <w:szCs w:val="24"/>
          <w:lang w:eastAsia="en-GB"/>
        </w:rPr>
        <w:t xml:space="preserve"> principles of integrated pest management are specified in Annex III of the Directive. However, how these principles are to be applied in practice is not explicitly defined. Partly due to the diversity of EU agriculture in terms of climate, crops grown and</w:t>
      </w:r>
      <w:r>
        <w:rPr>
          <w:rFonts w:ascii="Times New Roman" w:eastAsia="Times New Roman" w:hAnsi="Times New Roman" w:cs="Times New Roman"/>
          <w:noProof/>
          <w:color w:val="000000"/>
          <w:sz w:val="24"/>
          <w:szCs w:val="24"/>
          <w:lang w:eastAsia="en-GB"/>
        </w:rPr>
        <w:t xml:space="preserve"> production techniques and the principle of subsidiarity, the eight IPM principles are implemented in a variety of ways by professional users of pesticides across the EU. Member States continue supporting organic agriculture as a low pesticide input system</w:t>
      </w:r>
      <w:r>
        <w:rPr>
          <w:rFonts w:ascii="Times New Roman" w:eastAsia="Times New Roman" w:hAnsi="Times New Roman" w:cs="Times New Roman"/>
          <w:noProof/>
          <w:color w:val="000000"/>
          <w:sz w:val="24"/>
          <w:szCs w:val="24"/>
          <w:lang w:eastAsia="en-GB"/>
        </w:rPr>
        <w:t>, and the number of organic farms has continued to increase. The organic area in the EU covered 6.2 % of the total agricultural area in 2015.</w:t>
      </w:r>
    </w:p>
    <w:p w:rsidR="006D67E1" w:rsidRDefault="006D67E1">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their national action plans, all Member States indicate they are taking a broad range of comprehensive measure</w:t>
      </w:r>
      <w:r>
        <w:rPr>
          <w:rFonts w:ascii="Times New Roman" w:eastAsia="Times New Roman" w:hAnsi="Times New Roman" w:cs="Times New Roman"/>
          <w:noProof/>
          <w:color w:val="000000"/>
          <w:sz w:val="24"/>
          <w:szCs w:val="24"/>
          <w:lang w:eastAsia="en-GB"/>
        </w:rPr>
        <w:t>s to promote the implementation of IPM. In 24 Member States</w:t>
      </w:r>
      <w:r>
        <w:rPr>
          <w:rStyle w:val="FootnoteReference"/>
          <w:rFonts w:ascii="Times New Roman" w:eastAsia="Times New Roman" w:hAnsi="Times New Roman" w:cs="Times New Roman"/>
          <w:noProof/>
          <w:color w:val="000000"/>
          <w:sz w:val="24"/>
          <w:szCs w:val="24"/>
          <w:lang w:eastAsia="en-GB"/>
        </w:rPr>
        <w:footnoteReference w:id="46"/>
      </w:r>
      <w:r>
        <w:rPr>
          <w:rFonts w:ascii="Times New Roman" w:eastAsia="Times New Roman" w:hAnsi="Times New Roman" w:cs="Times New Roman"/>
          <w:noProof/>
          <w:color w:val="000000"/>
          <w:sz w:val="24"/>
          <w:szCs w:val="24"/>
          <w:lang w:eastAsia="en-GB"/>
        </w:rPr>
        <w:t>, there are publicly funded systems in place for forecasting, warning and early diagnosis for pest and disease control, and established economic thresholds for significant pests, to help farmers w</w:t>
      </w:r>
      <w:r>
        <w:rPr>
          <w:rFonts w:ascii="Times New Roman" w:eastAsia="Times New Roman" w:hAnsi="Times New Roman" w:cs="Times New Roman"/>
          <w:noProof/>
          <w:color w:val="000000"/>
          <w:sz w:val="24"/>
          <w:szCs w:val="24"/>
          <w:lang w:eastAsia="en-GB"/>
        </w:rPr>
        <w:t xml:space="preserve">ith decision making. IT tools are available for this purpose on official websites. Twelve </w:t>
      </w:r>
      <w:r>
        <w:rPr>
          <w:rFonts w:ascii="Times New Roman" w:eastAsia="Times New Roman" w:hAnsi="Times New Roman" w:cs="Times New Roman"/>
          <w:noProof/>
          <w:color w:val="000000"/>
          <w:sz w:val="24"/>
          <w:szCs w:val="24"/>
          <w:lang w:eastAsia="en-GB"/>
        </w:rPr>
        <w:lastRenderedPageBreak/>
        <w:t>Member States established networks of IPM demonstration farms to develop and disseminate IPM techniques for the local climatic conditions and crops grown. In addition</w:t>
      </w:r>
      <w:r>
        <w:rPr>
          <w:rFonts w:ascii="Times New Roman" w:eastAsia="Times New Roman" w:hAnsi="Times New Roman" w:cs="Times New Roman"/>
          <w:noProof/>
          <w:color w:val="000000"/>
          <w:sz w:val="24"/>
          <w:szCs w:val="24"/>
          <w:lang w:eastAsia="en-GB"/>
        </w:rPr>
        <w:t>, professional users have access to a wide range of IPM guidelines, drawn up by official services and organisations representing professional groups. Member States are required to include the IPM general principles in their farm advisory system under Artic</w:t>
      </w:r>
      <w:r>
        <w:rPr>
          <w:rFonts w:ascii="Times New Roman" w:eastAsia="Times New Roman" w:hAnsi="Times New Roman" w:cs="Times New Roman"/>
          <w:noProof/>
          <w:color w:val="000000"/>
          <w:sz w:val="24"/>
          <w:szCs w:val="24"/>
          <w:lang w:eastAsia="en-GB"/>
        </w:rPr>
        <w:t>le 12 (2) (e) of Regulation (EU) No 1306/2013</w:t>
      </w:r>
      <w:r>
        <w:rPr>
          <w:rFonts w:ascii="Times New Roman" w:eastAsia="Times New Roman" w:hAnsi="Times New Roman" w:cs="Times New Roman"/>
          <w:noProof/>
          <w:color w:val="000000"/>
          <w:sz w:val="24"/>
          <w:szCs w:val="24"/>
          <w:vertAlign w:val="superscript"/>
          <w:lang w:eastAsia="en-GB"/>
        </w:rPr>
        <w:footnoteReference w:id="47"/>
      </w:r>
      <w:r>
        <w:rPr>
          <w:rFonts w:ascii="Times New Roman" w:eastAsia="Times New Roman" w:hAnsi="Times New Roman" w:cs="Times New Roman"/>
          <w:noProof/>
          <w:color w:val="000000"/>
          <w:sz w:val="24"/>
          <w:szCs w:val="24"/>
          <w:lang w:eastAsia="en-GB"/>
        </w:rPr>
        <w:t>. Member States highlighted that official advisory services, which are independent of commercial interest, are very important for IPM implementation.</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and Member States have co-financed the ENDUR</w:t>
      </w:r>
      <w:r>
        <w:rPr>
          <w:rFonts w:ascii="Times New Roman" w:eastAsia="Times New Roman" w:hAnsi="Times New Roman" w:cs="Times New Roman"/>
          <w:noProof/>
          <w:color w:val="000000"/>
          <w:sz w:val="24"/>
          <w:szCs w:val="24"/>
          <w:lang w:eastAsia="en-GB"/>
        </w:rPr>
        <w:t>E network</w:t>
      </w:r>
      <w:r>
        <w:rPr>
          <w:rFonts w:ascii="Times New Roman" w:eastAsia="Times New Roman" w:hAnsi="Times New Roman" w:cs="Times New Roman"/>
          <w:noProof/>
          <w:color w:val="000000"/>
          <w:sz w:val="24"/>
          <w:szCs w:val="24"/>
          <w:vertAlign w:val="superscript"/>
          <w:lang w:eastAsia="en-GB"/>
        </w:rPr>
        <w:footnoteReference w:id="48"/>
      </w:r>
      <w:r>
        <w:rPr>
          <w:rFonts w:ascii="Times New Roman" w:eastAsia="Times New Roman" w:hAnsi="Times New Roman" w:cs="Times New Roman"/>
          <w:noProof/>
          <w:color w:val="000000"/>
          <w:sz w:val="24"/>
          <w:szCs w:val="24"/>
          <w:lang w:eastAsia="en-GB"/>
        </w:rPr>
        <w:t>, which brings together agricultural research, teaching and knowledge transfer with a special interest in IPM. The Commission has supported, under the European Union’s seventh framework programme, the project C-IPM</w:t>
      </w:r>
      <w:r>
        <w:rPr>
          <w:rFonts w:ascii="Times New Roman" w:eastAsia="Times New Roman" w:hAnsi="Times New Roman" w:cs="Times New Roman"/>
          <w:noProof/>
          <w:color w:val="000000"/>
          <w:sz w:val="24"/>
          <w:szCs w:val="24"/>
          <w:vertAlign w:val="superscript"/>
          <w:lang w:eastAsia="en-GB"/>
        </w:rPr>
        <w:footnoteReference w:id="49"/>
      </w:r>
      <w:r>
        <w:rPr>
          <w:rFonts w:ascii="Times New Roman" w:eastAsia="Times New Roman" w:hAnsi="Times New Roman" w:cs="Times New Roman"/>
          <w:noProof/>
          <w:color w:val="000000"/>
          <w:sz w:val="24"/>
          <w:szCs w:val="24"/>
          <w:lang w:eastAsia="en-GB"/>
        </w:rPr>
        <w:t>, to create a forum for IPM res</w:t>
      </w:r>
      <w:r>
        <w:rPr>
          <w:rFonts w:ascii="Times New Roman" w:eastAsia="Times New Roman" w:hAnsi="Times New Roman" w:cs="Times New Roman"/>
          <w:noProof/>
          <w:color w:val="000000"/>
          <w:sz w:val="24"/>
          <w:szCs w:val="24"/>
          <w:lang w:eastAsia="en-GB"/>
        </w:rPr>
        <w:t>earch and development of priorities, to connect existing research initiatives, and to propose new research. A high number of further research projects were financed by the Commission</w:t>
      </w:r>
      <w:r>
        <w:rPr>
          <w:rStyle w:val="FootnoteReference"/>
          <w:rFonts w:ascii="Times New Roman" w:eastAsia="Times New Roman" w:hAnsi="Times New Roman" w:cs="Times New Roman"/>
          <w:noProof/>
          <w:color w:val="000000"/>
          <w:sz w:val="24"/>
          <w:szCs w:val="24"/>
          <w:lang w:eastAsia="en-GB"/>
        </w:rPr>
        <w:footnoteReference w:id="50"/>
      </w:r>
      <w:r>
        <w:rPr>
          <w:rFonts w:ascii="Times New Roman" w:eastAsia="Times New Roman" w:hAnsi="Times New Roman" w:cs="Times New Roman"/>
          <w:noProof/>
          <w:color w:val="000000"/>
          <w:sz w:val="24"/>
          <w:szCs w:val="24"/>
          <w:lang w:eastAsia="en-GB"/>
        </w:rPr>
        <w:t>. Two EU IPM workshops were organised in 2014 and 2016 in Germany, in co-</w:t>
      </w:r>
      <w:r>
        <w:rPr>
          <w:rFonts w:ascii="Times New Roman" w:eastAsia="Times New Roman" w:hAnsi="Times New Roman" w:cs="Times New Roman"/>
          <w:noProof/>
          <w:color w:val="000000"/>
          <w:sz w:val="24"/>
          <w:szCs w:val="24"/>
          <w:lang w:eastAsia="en-GB"/>
        </w:rPr>
        <w:t>operation with the German authorities. The Commission through the ''Better Training for Safer Food '' programme will run a series of training courses from 2018 onwards for Member State experts on the implementation of IPM.</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Member States have not converted</w:t>
      </w:r>
      <w:r>
        <w:rPr>
          <w:rFonts w:ascii="Times New Roman" w:eastAsia="Times New Roman" w:hAnsi="Times New Roman" w:cs="Times New Roman"/>
          <w:noProof/>
          <w:color w:val="000000"/>
          <w:sz w:val="24"/>
          <w:szCs w:val="24"/>
          <w:lang w:eastAsia="en-GB"/>
        </w:rPr>
        <w:t xml:space="preserve"> the IPM principles into prescriptive and assessable criteria. They see IPM mainly as an education tool for farmers, and have no methods in place to assess compliance with IPM principles. While Member States take a range of measures to promote the use of I</w:t>
      </w:r>
      <w:r>
        <w:rPr>
          <w:rFonts w:ascii="Times New Roman" w:eastAsia="Times New Roman" w:hAnsi="Times New Roman" w:cs="Times New Roman"/>
          <w:noProof/>
          <w:color w:val="000000"/>
          <w:sz w:val="24"/>
          <w:szCs w:val="24"/>
          <w:lang w:eastAsia="en-GB"/>
        </w:rPr>
        <w:t>PM, this does not necessarily ensure that the relevant IPM techniques are actually implemented by users. Farmers are economic operators, and while IPM techniques are sustainable from a long-term perspective, IPM can mean a higher economic risk in the short</w:t>
      </w:r>
      <w:r>
        <w:rPr>
          <w:rFonts w:ascii="Times New Roman" w:eastAsia="Times New Roman" w:hAnsi="Times New Roman" w:cs="Times New Roman"/>
          <w:noProof/>
          <w:color w:val="000000"/>
          <w:sz w:val="24"/>
          <w:szCs w:val="24"/>
          <w:lang w:eastAsia="en-GB"/>
        </w:rPr>
        <w:t>-term. For example, it may be seen as preferable to grow maize or wheat in monoculture for economic reasons. However, this short term approach to land management comes at considerable risk of longer term cost, for example due to increasing populations of p</w:t>
      </w:r>
      <w:r>
        <w:rPr>
          <w:rFonts w:ascii="Times New Roman" w:eastAsia="Times New Roman" w:hAnsi="Times New Roman" w:cs="Times New Roman"/>
          <w:noProof/>
          <w:color w:val="000000"/>
          <w:sz w:val="24"/>
          <w:szCs w:val="24"/>
          <w:lang w:eastAsia="en-GB"/>
        </w:rPr>
        <w:t>ests or weeds in monoculture. Ultimately, monoculture can cause loss of biodiversity, soil erosion and even desertification. As an example of a short-term approach, Romania granted emergency authorisations for using neonicotinoids as seed treatment in an u</w:t>
      </w:r>
      <w:r>
        <w:rPr>
          <w:rFonts w:ascii="Times New Roman" w:eastAsia="Times New Roman" w:hAnsi="Times New Roman" w:cs="Times New Roman"/>
          <w:noProof/>
          <w:color w:val="000000"/>
          <w:sz w:val="24"/>
          <w:szCs w:val="24"/>
          <w:lang w:eastAsia="en-GB"/>
        </w:rPr>
        <w:t>ndefined area of maize, without investigating the potential of crop rotation as an alternative.</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During their fact finding missions to Member States in 2017, the Commission identified examples of how IPM implementation was being assessed. In many cases, th</w:t>
      </w:r>
      <w:r>
        <w:rPr>
          <w:rFonts w:ascii="Times New Roman" w:eastAsia="Times New Roman" w:hAnsi="Times New Roman" w:cs="Times New Roman"/>
          <w:noProof/>
          <w:color w:val="000000"/>
          <w:sz w:val="24"/>
          <w:szCs w:val="24"/>
          <w:lang w:eastAsia="en-GB"/>
        </w:rPr>
        <w:t>is was based on self-evaluation by farmers which showed that IPM practices were more widely implemented in vegetable production, greenhouses and nurseries than in arable land. In addition, verification of IPM implementation takes place for voluntary scheme</w:t>
      </w:r>
      <w:r>
        <w:rPr>
          <w:rFonts w:ascii="Times New Roman" w:eastAsia="Times New Roman" w:hAnsi="Times New Roman" w:cs="Times New Roman"/>
          <w:noProof/>
          <w:color w:val="000000"/>
          <w:sz w:val="24"/>
          <w:szCs w:val="24"/>
          <w:lang w:eastAsia="en-GB"/>
        </w:rPr>
        <w:t>s and for private certification to Good Agricultural Practice standards.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all six Member States visited, the authorities stated that in their view, some IPM techniques could be adopted on a more widespread basis, such as crop rotation, proper selection </w:t>
      </w:r>
      <w:r>
        <w:rPr>
          <w:rFonts w:ascii="Times New Roman" w:eastAsia="Times New Roman" w:hAnsi="Times New Roman" w:cs="Times New Roman"/>
          <w:noProof/>
          <w:color w:val="000000"/>
          <w:sz w:val="24"/>
          <w:szCs w:val="24"/>
          <w:lang w:eastAsia="en-GB"/>
        </w:rPr>
        <w:t xml:space="preserve">of seed and planting material and use of adequate cultivation techniques. A survey in Denmark </w:t>
      </w:r>
      <w:r>
        <w:rPr>
          <w:rFonts w:ascii="Times New Roman" w:eastAsia="Times New Roman" w:hAnsi="Times New Roman" w:cs="Times New Roman"/>
          <w:noProof/>
          <w:color w:val="000000"/>
          <w:sz w:val="24"/>
          <w:szCs w:val="24"/>
          <w:lang w:eastAsia="en-GB"/>
        </w:rPr>
        <w:lastRenderedPageBreak/>
        <w:t>corroborated this view by showing that while awareness of IPM techniques had increased among farmers, the actual level of implementation of these techniques had o</w:t>
      </w:r>
      <w:r>
        <w:rPr>
          <w:rFonts w:ascii="Times New Roman" w:eastAsia="Times New Roman" w:hAnsi="Times New Roman" w:cs="Times New Roman"/>
          <w:noProof/>
          <w:color w:val="000000"/>
          <w:sz w:val="24"/>
          <w:szCs w:val="24"/>
          <w:lang w:eastAsia="en-GB"/>
        </w:rPr>
        <w:t>nly increased marginally. An analysis carried out by the Netherlands showed that IPM principles are implemented by farmers generally, but none of the IPM general principles is used to their full potential.</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Member States highlighted the insufficient availa</w:t>
      </w:r>
      <w:r>
        <w:rPr>
          <w:rFonts w:ascii="Times New Roman" w:eastAsia="Times New Roman" w:hAnsi="Times New Roman" w:cs="Times New Roman"/>
          <w:noProof/>
          <w:color w:val="000000"/>
          <w:sz w:val="24"/>
          <w:szCs w:val="24"/>
          <w:lang w:eastAsia="en-GB"/>
        </w:rPr>
        <w:t>bility of low risk and non-chemical pesticides as a barrier for further IPM development. Incentives for the registration of low risk and non-chemical products are mentioned however in only a few national action plans. Therefore, the authorisation and promo</w:t>
      </w:r>
      <w:r>
        <w:rPr>
          <w:rFonts w:ascii="Times New Roman" w:eastAsia="Times New Roman" w:hAnsi="Times New Roman" w:cs="Times New Roman"/>
          <w:noProof/>
          <w:color w:val="000000"/>
          <w:sz w:val="24"/>
          <w:szCs w:val="24"/>
          <w:lang w:eastAsia="en-GB"/>
        </w:rPr>
        <w:t>tion of low-risk and non-chemical pesticides is another important measure to support low pesticide-input pest management. In three Member States</w:t>
      </w:r>
      <w:r>
        <w:rPr>
          <w:rStyle w:val="FootnoteReference"/>
          <w:rFonts w:ascii="Times New Roman" w:eastAsia="Times New Roman" w:hAnsi="Times New Roman" w:cs="Times New Roman"/>
          <w:noProof/>
          <w:color w:val="000000"/>
          <w:sz w:val="24"/>
          <w:szCs w:val="24"/>
          <w:lang w:eastAsia="en-GB"/>
        </w:rPr>
        <w:footnoteReference w:id="51"/>
      </w:r>
      <w:r>
        <w:rPr>
          <w:rFonts w:ascii="Times New Roman" w:eastAsia="Times New Roman" w:hAnsi="Times New Roman" w:cs="Times New Roman"/>
          <w:noProof/>
          <w:color w:val="000000"/>
          <w:sz w:val="24"/>
          <w:szCs w:val="24"/>
          <w:lang w:eastAsia="en-GB"/>
        </w:rPr>
        <w:t>, the proportion of non-chemical active substances contained in pesticides, compared to all active substances i</w:t>
      </w:r>
      <w:r>
        <w:rPr>
          <w:rFonts w:ascii="Times New Roman" w:eastAsia="Times New Roman" w:hAnsi="Times New Roman" w:cs="Times New Roman"/>
          <w:noProof/>
          <w:color w:val="000000"/>
          <w:sz w:val="24"/>
          <w:szCs w:val="24"/>
          <w:lang w:eastAsia="en-GB"/>
        </w:rPr>
        <w:t>n authorised pesticides was high, at over 10% in 2015.</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Risk indicators</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To measure the progress achieved in the reduction of risks and adverse impacts from pesticide use for human health and the environment, Article 15 of the Directive requires that </w:t>
      </w:r>
      <w:r>
        <w:rPr>
          <w:rFonts w:ascii="Times New Roman" w:eastAsia="Times New Roman" w:hAnsi="Times New Roman" w:cs="Times New Roman"/>
          <w:noProof/>
          <w:color w:val="000000"/>
          <w:sz w:val="24"/>
          <w:szCs w:val="24"/>
          <w:lang w:eastAsia="en-GB"/>
        </w:rPr>
        <w:t>harmonised risk indicators be established. It also provides for Member States to continue to use existing national indicators or adopt additional ones as appropriate.</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shd w:val="clear" w:color="auto" w:fill="C7C7C7" w:themeFill="background1" w:themeFillShade="D9"/>
          </w:tcPr>
          <w:p w:rsidR="006D67E1" w:rsidRDefault="00274BA9">
            <w:pPr>
              <w:tabs>
                <w:tab w:val="left" w:pos="871"/>
              </w:tabs>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has informed Member States that it will commence discussions to see wheth</w:t>
            </w:r>
            <w:r>
              <w:rPr>
                <w:rFonts w:ascii="Times New Roman" w:eastAsia="Times New Roman" w:hAnsi="Times New Roman" w:cs="Times New Roman"/>
                <w:noProof/>
                <w:color w:val="000000"/>
                <w:sz w:val="24"/>
                <w:szCs w:val="24"/>
                <w:lang w:eastAsia="en-GB"/>
              </w:rPr>
              <w:t>er a consensus can be reached on the development of harmonised risk indicators, without replacing complementary national indicators.</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To date, no EU wide harmonised risk indicators have been established by the Commission. While the Commission has recently</w:t>
      </w:r>
      <w:r>
        <w:rPr>
          <w:rFonts w:ascii="Times New Roman" w:eastAsia="Times New Roman" w:hAnsi="Times New Roman" w:cs="Times New Roman"/>
          <w:noProof/>
          <w:color w:val="000000"/>
          <w:sz w:val="24"/>
          <w:szCs w:val="24"/>
          <w:lang w:eastAsia="en-GB"/>
        </w:rPr>
        <w:t xml:space="preserve"> identified certain shortcomings concerning the availability and quality of statistics on pesticides</w:t>
      </w:r>
      <w:r>
        <w:rPr>
          <w:rStyle w:val="FootnoteReference"/>
          <w:rFonts w:ascii="Times New Roman" w:eastAsia="Times New Roman" w:hAnsi="Times New Roman" w:cs="Times New Roman"/>
          <w:noProof/>
          <w:color w:val="000000"/>
          <w:sz w:val="24"/>
          <w:szCs w:val="24"/>
          <w:lang w:eastAsia="en-GB"/>
        </w:rPr>
        <w:footnoteReference w:id="52"/>
      </w:r>
      <w:r>
        <w:rPr>
          <w:rFonts w:ascii="Times New Roman" w:eastAsia="Times New Roman" w:hAnsi="Times New Roman" w:cs="Times New Roman"/>
          <w:noProof/>
          <w:color w:val="000000"/>
          <w:sz w:val="24"/>
          <w:szCs w:val="24"/>
          <w:lang w:eastAsia="en-GB"/>
        </w:rPr>
        <w:t>, many of which cannot be currently used for confidentiality reasons and limitations imposed by legislation, the experience gained shows that the measureme</w:t>
      </w:r>
      <w:r>
        <w:rPr>
          <w:rFonts w:ascii="Times New Roman" w:eastAsia="Times New Roman" w:hAnsi="Times New Roman" w:cs="Times New Roman"/>
          <w:noProof/>
          <w:color w:val="000000"/>
          <w:sz w:val="24"/>
          <w:szCs w:val="24"/>
          <w:lang w:eastAsia="en-GB"/>
        </w:rPr>
        <w:t>nt of risk is complex, and given the data available at EU level, it cannot be achieved simply by reference to overall sales of plant protection products. This is because the risks posed by pesticides vary according to a range of factors, particularly the c</w:t>
      </w:r>
      <w:r>
        <w:rPr>
          <w:rFonts w:ascii="Times New Roman" w:eastAsia="Times New Roman" w:hAnsi="Times New Roman" w:cs="Times New Roman"/>
          <w:noProof/>
          <w:color w:val="000000"/>
          <w:sz w:val="24"/>
          <w:szCs w:val="24"/>
          <w:lang w:eastAsia="en-GB"/>
        </w:rPr>
        <w:t xml:space="preserve">onstituent active substances, but also how pesticides are used. </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the absence of harmonised risk indicators, Member States continue using their existing risk indicators, as described in some of the national action plans. Denmark for example has develope</w:t>
      </w:r>
      <w:r>
        <w:rPr>
          <w:rFonts w:ascii="Times New Roman" w:eastAsia="Times New Roman" w:hAnsi="Times New Roman" w:cs="Times New Roman"/>
          <w:noProof/>
          <w:color w:val="000000"/>
          <w:sz w:val="24"/>
          <w:szCs w:val="24"/>
          <w:lang w:eastAsia="en-GB"/>
        </w:rPr>
        <w:t xml:space="preserve">d a "Pesticide Load Indicator", which calculates the potential environmental and human health load of individual pesticides on the market on the basis of their toxicological classification. </w:t>
      </w:r>
    </w:p>
    <w:p w:rsidR="006D67E1" w:rsidRDefault="00274BA9">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eastAsia="Times New Roman" w:hAnsi="Times New Roman" w:cs="Times New Roman"/>
          <w:bCs/>
          <w:caps/>
          <w:smallCaps/>
          <w:noProof/>
          <w:sz w:val="24"/>
          <w:szCs w:val="24"/>
        </w:rPr>
        <w:t>Low risk products</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Article 14 of the Directive provides for Member</w:t>
      </w:r>
      <w:r>
        <w:rPr>
          <w:rFonts w:ascii="Times New Roman" w:eastAsia="Times New Roman" w:hAnsi="Times New Roman" w:cs="Times New Roman"/>
          <w:noProof/>
          <w:color w:val="000000"/>
          <w:sz w:val="24"/>
          <w:szCs w:val="24"/>
          <w:lang w:eastAsia="en-GB"/>
        </w:rPr>
        <w:t xml:space="preserve"> States to take all necessary measures to promote low pesticide-input pest management, giving wherever possible priority to non-chemical methods so that professional users of pesticides switch to practices and products with the lowest risk to human health </w:t>
      </w:r>
      <w:r>
        <w:rPr>
          <w:rFonts w:ascii="Times New Roman" w:eastAsia="Times New Roman" w:hAnsi="Times New Roman" w:cs="Times New Roman"/>
          <w:noProof/>
          <w:color w:val="000000"/>
          <w:sz w:val="24"/>
          <w:szCs w:val="24"/>
          <w:lang w:eastAsia="en-GB"/>
        </w:rPr>
        <w:t>and the environment.</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1"/>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6D67E1">
        <w:tc>
          <w:tcPr>
            <w:tcW w:w="907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hideMark/>
          </w:tcPr>
          <w:p w:rsidR="006D67E1" w:rsidRDefault="00274BA9">
            <w:pPr>
              <w:tabs>
                <w:tab w:val="left" w:pos="871"/>
              </w:tabs>
              <w:autoSpaceDE w:val="0"/>
              <w:autoSpaceDN w:val="0"/>
              <w:adjustRightInd w:val="0"/>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The Commission is taking measures to accelerate the availability of low-risk pesticides.</w:t>
            </w:r>
          </w:p>
        </w:tc>
      </w:tr>
    </w:tbl>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When substances are identified as low-risk, the relevant incentives provided for in Regulation (EC) No 1107/2009 can be applied. These include </w:t>
      </w:r>
      <w:r>
        <w:rPr>
          <w:rFonts w:ascii="Times New Roman" w:eastAsia="Times New Roman" w:hAnsi="Times New Roman" w:cs="Times New Roman"/>
          <w:noProof/>
          <w:color w:val="000000"/>
          <w:sz w:val="24"/>
          <w:szCs w:val="24"/>
          <w:lang w:eastAsia="en-GB"/>
        </w:rPr>
        <w:t>a longer period of approval of 15 years, (instead of the standard 10 year period), longer data protection period and accelerated authorisation procedure of low-risk PPP (120 days instead of one year).</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order to increase the availability of low-risk subs</w:t>
      </w:r>
      <w:r>
        <w:rPr>
          <w:rFonts w:ascii="Times New Roman" w:eastAsia="Times New Roman" w:hAnsi="Times New Roman" w:cs="Times New Roman"/>
          <w:noProof/>
          <w:color w:val="000000"/>
          <w:sz w:val="24"/>
          <w:szCs w:val="24"/>
          <w:lang w:eastAsia="en-GB"/>
        </w:rPr>
        <w:t>tances, the Commission prioritised the assessment of potential low-risk active substances in the ongoing review programme</w:t>
      </w:r>
      <w:r>
        <w:rPr>
          <w:rFonts w:ascii="Times New Roman" w:eastAsia="Times New Roman" w:hAnsi="Times New Roman" w:cs="Times New Roman"/>
          <w:noProof/>
          <w:color w:val="000000"/>
          <w:sz w:val="24"/>
          <w:szCs w:val="24"/>
          <w:vertAlign w:val="superscript"/>
          <w:lang w:eastAsia="en-GB"/>
        </w:rPr>
        <w:footnoteReference w:id="53"/>
      </w:r>
      <w:r>
        <w:rPr>
          <w:rFonts w:ascii="Times New Roman" w:eastAsia="Times New Roman" w:hAnsi="Times New Roman" w:cs="Times New Roman"/>
          <w:noProof/>
          <w:color w:val="000000"/>
          <w:sz w:val="24"/>
          <w:szCs w:val="24"/>
          <w:lang w:eastAsia="en-GB"/>
        </w:rPr>
        <w:t>. With the adoption of Regulation (EU) 2017/1432, the Commission clarified existing criteria for the identification and approval of lo</w:t>
      </w:r>
      <w:r>
        <w:rPr>
          <w:rFonts w:ascii="Times New Roman" w:eastAsia="Times New Roman" w:hAnsi="Times New Roman" w:cs="Times New Roman"/>
          <w:noProof/>
          <w:color w:val="000000"/>
          <w:sz w:val="24"/>
          <w:szCs w:val="24"/>
          <w:lang w:eastAsia="en-GB"/>
        </w:rPr>
        <w:t>w-risk substances</w:t>
      </w:r>
      <w:r>
        <w:rPr>
          <w:rFonts w:ascii="Times New Roman" w:eastAsia="Times New Roman" w:hAnsi="Times New Roman" w:cs="Times New Roman"/>
          <w:noProof/>
          <w:color w:val="000000"/>
          <w:sz w:val="24"/>
          <w:szCs w:val="24"/>
          <w:vertAlign w:val="superscript"/>
          <w:lang w:eastAsia="en-GB"/>
        </w:rPr>
        <w:footnoteReference w:id="54"/>
      </w:r>
      <w:r>
        <w:rPr>
          <w:rFonts w:ascii="Times New Roman" w:eastAsia="Times New Roman" w:hAnsi="Times New Roman" w:cs="Times New Roman"/>
          <w:noProof/>
          <w:color w:val="000000"/>
          <w:sz w:val="24"/>
          <w:szCs w:val="24"/>
          <w:lang w:eastAsia="en-GB"/>
        </w:rPr>
        <w:t>. Currently only ten substances are approved as low-risk out of a total of almost 500. However, it is estimated that among the substances already approved under Directive 91/414/EEC, more than 70 are likely to comply with the newly adopted low risk criteri</w:t>
      </w:r>
      <w:r>
        <w:rPr>
          <w:rFonts w:ascii="Times New Roman" w:eastAsia="Times New Roman" w:hAnsi="Times New Roman" w:cs="Times New Roman"/>
          <w:noProof/>
          <w:color w:val="000000"/>
          <w:sz w:val="24"/>
          <w:szCs w:val="24"/>
          <w:lang w:eastAsia="en-GB"/>
        </w:rPr>
        <w:t xml:space="preserve">a. In the next three years, these substances will be reassessed for the renewal of their approval and this will potentially increase the total number of low risk active substances. </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addition to low-risk products, Regulation (EC) No 1107/2009 also inclu</w:t>
      </w:r>
      <w:r>
        <w:rPr>
          <w:rFonts w:ascii="Times New Roman" w:eastAsia="Times New Roman" w:hAnsi="Times New Roman" w:cs="Times New Roman"/>
          <w:noProof/>
          <w:color w:val="000000"/>
          <w:sz w:val="24"/>
          <w:szCs w:val="24"/>
          <w:lang w:eastAsia="en-GB"/>
        </w:rPr>
        <w:t xml:space="preserve">des specific provisions for basic substances. These are substances such as food compounds typically used for purposes other than plant protection e.g. vinegar. These are mainly of biological/natural origin, and often traditionally used in organic farming. </w:t>
      </w:r>
      <w:r>
        <w:rPr>
          <w:rFonts w:ascii="Times New Roman" w:eastAsia="Times New Roman" w:hAnsi="Times New Roman" w:cs="Times New Roman"/>
          <w:noProof/>
          <w:color w:val="000000"/>
          <w:sz w:val="24"/>
          <w:szCs w:val="24"/>
          <w:lang w:eastAsia="en-GB"/>
        </w:rPr>
        <w:t>There are currently 15 basic substances approved and the Commission and Member States are actively involved in extending the approved range of these substances. Other so called "bio-control agents", such as beneficial insects or nematodes, can be used as a</w:t>
      </w:r>
      <w:r>
        <w:rPr>
          <w:rFonts w:ascii="Times New Roman" w:eastAsia="Times New Roman" w:hAnsi="Times New Roman" w:cs="Times New Roman"/>
          <w:noProof/>
          <w:color w:val="000000"/>
          <w:sz w:val="24"/>
          <w:szCs w:val="24"/>
          <w:lang w:eastAsia="en-GB"/>
        </w:rPr>
        <w:t>lternative pest management techniques and are out of the scope of Regulation (EC) No 1107/2009.</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noProof/>
          <w:lang w:eastAsia="en-GB"/>
        </w:rPr>
        <w:drawing>
          <wp:inline distT="0" distB="0" distL="0" distR="0">
            <wp:extent cx="5512279" cy="2467155"/>
            <wp:effectExtent l="0" t="0" r="1270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67E1" w:rsidRDefault="00274BA9">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Figure 2: Increase in numbers of alternative substances approved by the EU</w:t>
      </w:r>
    </w:p>
    <w:p w:rsidR="006D67E1" w:rsidRDefault="00274BA9">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themeColor="text1"/>
          <w:sz w:val="24"/>
          <w:szCs w:val="24"/>
        </w:rPr>
        <w:lastRenderedPageBreak/>
        <w:t>Finally, the Commission through its research and innovation programmes continues t</w:t>
      </w:r>
      <w:r>
        <w:rPr>
          <w:rFonts w:ascii="Times New Roman" w:eastAsia="Times New Roman" w:hAnsi="Times New Roman" w:cs="Times New Roman"/>
          <w:noProof/>
          <w:color w:val="000000" w:themeColor="text1"/>
          <w:sz w:val="24"/>
          <w:szCs w:val="24"/>
        </w:rPr>
        <w:t>o support a wide body of research in plant protection to identify new low-risk products and biological control techniques</w:t>
      </w:r>
      <w:r>
        <w:rPr>
          <w:rStyle w:val="FootnoteReference"/>
          <w:rFonts w:ascii="Times New Roman" w:eastAsia="Times New Roman" w:hAnsi="Times New Roman" w:cs="Times New Roman"/>
          <w:noProof/>
          <w:color w:val="000000" w:themeColor="text1"/>
          <w:sz w:val="24"/>
          <w:szCs w:val="24"/>
        </w:rPr>
        <w:footnoteReference w:id="55"/>
      </w:r>
      <w:r>
        <w:rPr>
          <w:rFonts w:ascii="Times New Roman" w:eastAsia="Times New Roman" w:hAnsi="Times New Roman" w:cs="Times New Roman"/>
          <w:noProof/>
          <w:color w:val="000000" w:themeColor="text1"/>
          <w:sz w:val="24"/>
          <w:szCs w:val="24"/>
        </w:rPr>
        <w:t>.</w:t>
      </w:r>
    </w:p>
    <w:p w:rsidR="006D67E1" w:rsidRDefault="00274BA9">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eastAsia="Times New Roman" w:hAnsi="Times New Roman" w:cs="Times New Roman"/>
          <w:b/>
          <w:bCs/>
          <w:caps/>
          <w:smallCaps/>
          <w:noProof/>
          <w:sz w:val="24"/>
          <w:szCs w:val="24"/>
        </w:rPr>
        <w:t>Conclusions</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Substantial legislation and support measures have been in place in the European Union for more than 20 years, designed t</w:t>
      </w:r>
      <w:r>
        <w:rPr>
          <w:rFonts w:ascii="Times New Roman" w:eastAsia="Times New Roman" w:hAnsi="Times New Roman" w:cs="Times New Roman"/>
          <w:noProof/>
          <w:color w:val="000000"/>
          <w:sz w:val="24"/>
          <w:szCs w:val="24"/>
          <w:lang w:eastAsia="en-GB"/>
        </w:rPr>
        <w:t xml:space="preserve">o deliver safe, reduced and more precise use of pesticides in agriculture. The Directive offers the potential to greatly reduce the risks derived from pesticide use. However, until it is more rigorously implemented by Member States, these improvements are </w:t>
      </w:r>
      <w:r>
        <w:rPr>
          <w:rFonts w:ascii="Times New Roman" w:eastAsia="Times New Roman" w:hAnsi="Times New Roman" w:cs="Times New Roman"/>
          <w:noProof/>
          <w:color w:val="000000"/>
          <w:sz w:val="24"/>
          <w:szCs w:val="24"/>
          <w:lang w:eastAsia="en-GB"/>
        </w:rPr>
        <w:t>limited, and certainly insufficient to achieve the environmental and health improvements the Directive was designed to achieve. National Action Plans with clear measurable targets can enable Member States to demonstrate to citizens that they are duly imple</w:t>
      </w:r>
      <w:r>
        <w:rPr>
          <w:rFonts w:ascii="Times New Roman" w:eastAsia="Times New Roman" w:hAnsi="Times New Roman" w:cs="Times New Roman"/>
          <w:noProof/>
          <w:color w:val="000000"/>
          <w:sz w:val="24"/>
          <w:szCs w:val="24"/>
          <w:lang w:eastAsia="en-GB"/>
        </w:rPr>
        <w:t>menting the Directive, and even going beyond it to propose innovative ways to reduce risks from pesticides.</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eastAsia="Times New Roman" w:hAnsi="Times New Roman" w:cs="Times New Roman"/>
          <w:bCs/>
          <w:i/>
          <w:noProof/>
          <w:sz w:val="24"/>
          <w:szCs w:val="26"/>
        </w:rPr>
        <w:t xml:space="preserve">4.1 National Action Plans and Implementation of the Directive </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NAPs are the means by which Member States establish targets and actions to </w:t>
      </w:r>
      <w:r>
        <w:rPr>
          <w:rFonts w:ascii="Times New Roman" w:eastAsia="Times New Roman" w:hAnsi="Times New Roman" w:cs="Times New Roman"/>
          <w:noProof/>
          <w:color w:val="000000"/>
          <w:sz w:val="24"/>
          <w:szCs w:val="24"/>
          <w:lang w:eastAsia="en-GB"/>
        </w:rPr>
        <w:t>achieve the objective of the Directive, and they can be seen to represent a significant step towards the sustainable use of pesticides. Member States are currently working on reviewing their first plans and the full picture of the state of implementation w</w:t>
      </w:r>
      <w:r>
        <w:rPr>
          <w:rFonts w:ascii="Times New Roman" w:eastAsia="Times New Roman" w:hAnsi="Times New Roman" w:cs="Times New Roman"/>
          <w:noProof/>
          <w:color w:val="000000"/>
          <w:sz w:val="24"/>
          <w:szCs w:val="24"/>
          <w:lang w:eastAsia="en-GB"/>
        </w:rPr>
        <w:t>ill only be clear when the plans have been reviewed.</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Despite this substantial progress, this report identifies that there are significant gaps in many areas of the plans,</w:t>
      </w:r>
      <w:r>
        <w:rPr>
          <w:noProof/>
        </w:rPr>
        <w:t xml:space="preserve"> </w:t>
      </w:r>
      <w:r>
        <w:rPr>
          <w:rFonts w:ascii="Times New Roman" w:eastAsia="Times New Roman" w:hAnsi="Times New Roman" w:cs="Times New Roman"/>
          <w:noProof/>
          <w:color w:val="000000"/>
          <w:sz w:val="24"/>
          <w:szCs w:val="24"/>
          <w:lang w:eastAsia="en-GB"/>
        </w:rPr>
        <w:t>for example in relation to aerial spraying, information to the public, the gathering</w:t>
      </w:r>
      <w:r>
        <w:rPr>
          <w:rFonts w:ascii="Times New Roman" w:eastAsia="Times New Roman" w:hAnsi="Times New Roman" w:cs="Times New Roman"/>
          <w:noProof/>
          <w:color w:val="000000"/>
          <w:sz w:val="24"/>
          <w:szCs w:val="24"/>
          <w:lang w:eastAsia="en-GB"/>
        </w:rPr>
        <w:t xml:space="preserve"> of information regarding poisoning cases and measures to protect the aquatic environment. Integrated Pest Management is a cornerstone of the Directive, and it is therefore of particular concern that Member States have not yet set clear targets and ensured</w:t>
      </w:r>
      <w:r>
        <w:rPr>
          <w:rFonts w:ascii="Times New Roman" w:eastAsia="Times New Roman" w:hAnsi="Times New Roman" w:cs="Times New Roman"/>
          <w:noProof/>
          <w:color w:val="000000"/>
          <w:sz w:val="24"/>
          <w:szCs w:val="24"/>
          <w:lang w:eastAsia="en-GB"/>
        </w:rPr>
        <w:t xml:space="preserve"> their implementation, including for the more widespread use of land management techniques such as crop rotation. Member States need to improve the quality of their plans, primarily by establishing specific and measurable targets and indicators for a long </w:t>
      </w:r>
      <w:r>
        <w:rPr>
          <w:rFonts w:ascii="Times New Roman" w:eastAsia="Times New Roman" w:hAnsi="Times New Roman" w:cs="Times New Roman"/>
          <w:noProof/>
          <w:color w:val="000000"/>
          <w:sz w:val="24"/>
          <w:szCs w:val="24"/>
          <w:lang w:eastAsia="en-GB"/>
        </w:rPr>
        <w:t>term strategy for the reduction of risks and impacts from pesticide use. These improvements should be included in the revised action plans, which would allow Member States to continuously monitor progress with implementation and adjust strategy as necessar</w:t>
      </w:r>
      <w:r>
        <w:rPr>
          <w:rFonts w:ascii="Times New Roman" w:eastAsia="Times New Roman" w:hAnsi="Times New Roman" w:cs="Times New Roman"/>
          <w:noProof/>
          <w:color w:val="000000"/>
          <w:sz w:val="24"/>
          <w:szCs w:val="24"/>
          <w:lang w:eastAsia="en-GB"/>
        </w:rPr>
        <w:t xml:space="preserve">y. </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has written to those Member States where there are noted omissions in either the plans or their implementation, to remind them of their obligations and the importance of the implementation of this Directive. Building on the series of si</w:t>
      </w:r>
      <w:r>
        <w:rPr>
          <w:rFonts w:ascii="Times New Roman" w:eastAsia="Times New Roman" w:hAnsi="Times New Roman" w:cs="Times New Roman"/>
          <w:noProof/>
          <w:color w:val="000000"/>
          <w:sz w:val="24"/>
          <w:szCs w:val="24"/>
          <w:lang w:eastAsia="en-GB"/>
        </w:rPr>
        <w:t>x fact-finding visits to Member States in 2017, the Commission will continue evaluating the NAPs and to monitor implementation of the Directive by Member States through its audits, other actions and follow-up activities to ensure that the objectives of the</w:t>
      </w:r>
      <w:r>
        <w:rPr>
          <w:rFonts w:ascii="Times New Roman" w:eastAsia="Times New Roman" w:hAnsi="Times New Roman" w:cs="Times New Roman"/>
          <w:noProof/>
          <w:color w:val="000000"/>
          <w:sz w:val="24"/>
          <w:szCs w:val="24"/>
          <w:lang w:eastAsia="en-GB"/>
        </w:rPr>
        <w:t xml:space="preserve"> Directive are being achieved. If necessary, the Commission will give consideration to infringement action. </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eastAsia="Times New Roman" w:hAnsi="Times New Roman" w:cs="Times New Roman"/>
          <w:bCs/>
          <w:i/>
          <w:noProof/>
          <w:sz w:val="24"/>
          <w:szCs w:val="26"/>
        </w:rPr>
        <w:lastRenderedPageBreak/>
        <w:t>4.2 Commission Activities Supporting Member States</w:t>
      </w:r>
    </w:p>
    <w:p w:rsidR="006D67E1" w:rsidRDefault="00274BA9">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its report to the Council, the Expert Group on sustainable plant protection, set up under th</w:t>
      </w:r>
      <w:r>
        <w:rPr>
          <w:rFonts w:ascii="Times New Roman" w:eastAsia="Times New Roman" w:hAnsi="Times New Roman" w:cs="Times New Roman"/>
          <w:noProof/>
          <w:color w:val="000000"/>
          <w:sz w:val="24"/>
          <w:szCs w:val="24"/>
          <w:lang w:eastAsia="en-GB"/>
        </w:rPr>
        <w:t>e Dutch Presidency, presented an implementation plan on increasing low-risk plant protection product availability and accelerating integrated pest management implementation in Member States</w:t>
      </w:r>
      <w:r>
        <w:rPr>
          <w:rFonts w:ascii="Times New Roman" w:eastAsia="Times New Roman" w:hAnsi="Times New Roman" w:cs="Times New Roman"/>
          <w:noProof/>
          <w:color w:val="000000"/>
          <w:sz w:val="24"/>
          <w:szCs w:val="24"/>
          <w:vertAlign w:val="superscript"/>
          <w:lang w:eastAsia="en-GB"/>
        </w:rPr>
        <w:footnoteReference w:id="56"/>
      </w:r>
      <w:r>
        <w:rPr>
          <w:rFonts w:ascii="Times New Roman" w:eastAsia="Times New Roman" w:hAnsi="Times New Roman" w:cs="Times New Roman"/>
          <w:noProof/>
          <w:color w:val="000000"/>
          <w:sz w:val="24"/>
          <w:szCs w:val="24"/>
          <w:lang w:eastAsia="en-GB"/>
        </w:rPr>
        <w:t>. This plan was endorsed by the Council in June 2016. One of the c</w:t>
      </w:r>
      <w:r>
        <w:rPr>
          <w:rFonts w:ascii="Times New Roman" w:eastAsia="Times New Roman" w:hAnsi="Times New Roman" w:cs="Times New Roman"/>
          <w:noProof/>
          <w:color w:val="000000"/>
          <w:sz w:val="24"/>
          <w:szCs w:val="24"/>
          <w:lang w:eastAsia="en-GB"/>
        </w:rPr>
        <w:t>omplementary actions proposed was that the Commission should develop the existing website on the Directive into a web portal linking to the currently available relevant information on IPM at EU and Member State level. Work on this development is well advan</w:t>
      </w:r>
      <w:r>
        <w:rPr>
          <w:rFonts w:ascii="Times New Roman" w:eastAsia="Times New Roman" w:hAnsi="Times New Roman" w:cs="Times New Roman"/>
          <w:noProof/>
          <w:color w:val="000000"/>
          <w:sz w:val="24"/>
          <w:szCs w:val="24"/>
          <w:lang w:eastAsia="en-GB"/>
        </w:rPr>
        <w:t>ced. The Commission's forthcoming overview report on the series of six fact-finding missions on the implementation of the Directive will also be published on this site.</w:t>
      </w:r>
    </w:p>
    <w:p w:rsidR="006D67E1" w:rsidRDefault="006D67E1">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While Member States generally have systems to gather information on pesticide acute po</w:t>
      </w:r>
      <w:r>
        <w:rPr>
          <w:rFonts w:ascii="Times New Roman" w:eastAsia="Times New Roman" w:hAnsi="Times New Roman" w:cs="Times New Roman"/>
          <w:noProof/>
          <w:color w:val="000000"/>
          <w:sz w:val="24"/>
          <w:szCs w:val="24"/>
          <w:lang w:eastAsia="en-GB"/>
        </w:rPr>
        <w:t xml:space="preserve">isoning incidents they need to improve the accuracy of the data received. Systems for gathering such information on chronic poisoning cases are not widely developed. It is essential that Member States develop and maintain a functioning surveillance system </w:t>
      </w:r>
      <w:r>
        <w:rPr>
          <w:rFonts w:ascii="Times New Roman" w:eastAsia="Times New Roman" w:hAnsi="Times New Roman" w:cs="Times New Roman"/>
          <w:noProof/>
          <w:color w:val="000000"/>
          <w:sz w:val="24"/>
          <w:szCs w:val="24"/>
          <w:lang w:eastAsia="en-GB"/>
        </w:rPr>
        <w:t>on occupational pesticide poisoning as a basis for appropriate preventive interventions. The Commission will finalise guidance on monitoring and surveying of impacts of pesticide use on human health and the environment by the end of 2017 and will explore w</w:t>
      </w:r>
      <w:r>
        <w:rPr>
          <w:rFonts w:ascii="Times New Roman" w:eastAsia="Times New Roman" w:hAnsi="Times New Roman" w:cs="Times New Roman"/>
          <w:noProof/>
          <w:color w:val="000000"/>
          <w:sz w:val="24"/>
          <w:szCs w:val="24"/>
          <w:lang w:eastAsia="en-GB"/>
        </w:rPr>
        <w:t>ith Member States how such systems can be further developed. The Commission will also consider establishing systems for collecting information on suspected poisoning from pesticides under Article 24 (4) b of Regulation (EU) No 2017/625.</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Once this Directiv</w:t>
      </w:r>
      <w:r>
        <w:rPr>
          <w:rFonts w:ascii="Times New Roman" w:eastAsia="Times New Roman" w:hAnsi="Times New Roman" w:cs="Times New Roman"/>
          <w:noProof/>
          <w:color w:val="000000"/>
          <w:sz w:val="24"/>
          <w:szCs w:val="24"/>
          <w:lang w:eastAsia="en-GB"/>
        </w:rPr>
        <w:t>e has been implemented in all Member States and the obligations directly applicable to farmers have been identified, the Commission will be addressing the Joint Statement by the European Parliament and the Council in Regulation (EU) No 1306/2013</w:t>
      </w:r>
      <w:r>
        <w:rPr>
          <w:rStyle w:val="FootnoteReference"/>
          <w:rFonts w:ascii="Times New Roman" w:eastAsia="Times New Roman" w:hAnsi="Times New Roman" w:cs="Times New Roman"/>
          <w:noProof/>
          <w:color w:val="000000"/>
          <w:sz w:val="24"/>
          <w:szCs w:val="24"/>
          <w:lang w:eastAsia="en-GB"/>
        </w:rPr>
        <w:footnoteReference w:id="57"/>
      </w:r>
      <w:r>
        <w:rPr>
          <w:rFonts w:ascii="Times New Roman" w:eastAsia="Times New Roman" w:hAnsi="Times New Roman" w:cs="Times New Roman"/>
          <w:noProof/>
          <w:color w:val="000000"/>
          <w:sz w:val="24"/>
          <w:szCs w:val="24"/>
          <w:lang w:eastAsia="en-GB"/>
        </w:rPr>
        <w:t>, which in</w:t>
      </w:r>
      <w:r>
        <w:rPr>
          <w:rFonts w:ascii="Times New Roman" w:eastAsia="Times New Roman" w:hAnsi="Times New Roman" w:cs="Times New Roman"/>
          <w:noProof/>
          <w:color w:val="000000"/>
          <w:sz w:val="24"/>
          <w:szCs w:val="24"/>
          <w:lang w:eastAsia="en-GB"/>
        </w:rPr>
        <w:t>vites the Commission to include the relevant parts of the Directive in the system of cross-compliance. Moreover, in the meantime, the Commission will support the Member States in the development of methodologies to assess compliance with the eight IPM prin</w:t>
      </w:r>
      <w:r>
        <w:rPr>
          <w:rFonts w:ascii="Times New Roman" w:eastAsia="Times New Roman" w:hAnsi="Times New Roman" w:cs="Times New Roman"/>
          <w:noProof/>
          <w:color w:val="000000"/>
          <w:sz w:val="24"/>
          <w:szCs w:val="24"/>
          <w:lang w:eastAsia="en-GB"/>
        </w:rPr>
        <w:t>ciples, taking into account the diversity of EU agriculture and the principle of subsidiarity.</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order to measure the progress achieved in the reduction of risks and adverse impacts from pesticide use for human health and the environment, the Commission </w:t>
      </w:r>
      <w:r>
        <w:rPr>
          <w:rFonts w:ascii="Times New Roman" w:eastAsia="Times New Roman" w:hAnsi="Times New Roman" w:cs="Times New Roman"/>
          <w:noProof/>
          <w:color w:val="000000"/>
          <w:sz w:val="24"/>
          <w:szCs w:val="24"/>
          <w:lang w:eastAsia="en-GB"/>
        </w:rPr>
        <w:t>will commence work with Member States in the second half of 2017 towards reaching a consensus on the development of harmonised risk indicators.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Commission will also continue to work with Member States in disseminating examples of good practice in impl</w:t>
      </w:r>
      <w:r>
        <w:rPr>
          <w:rFonts w:ascii="Times New Roman" w:eastAsia="Times New Roman" w:hAnsi="Times New Roman" w:cs="Times New Roman"/>
          <w:noProof/>
          <w:color w:val="000000"/>
          <w:sz w:val="24"/>
          <w:szCs w:val="24"/>
          <w:lang w:eastAsia="en-GB"/>
        </w:rPr>
        <w:t>ementation through Working Groups and training, with priority being given under the Better Training for Safer Food programme to strengthen Member States capacity in their understanding and implementation of sustainable use principles.</w:t>
      </w:r>
    </w:p>
    <w:p w:rsidR="006D67E1" w:rsidRDefault="006D67E1">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6D67E1" w:rsidRDefault="00274BA9">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lastRenderedPageBreak/>
        <w:t>Following the adopti</w:t>
      </w:r>
      <w:r>
        <w:rPr>
          <w:rFonts w:ascii="Times New Roman" w:eastAsia="Times New Roman" w:hAnsi="Times New Roman" w:cs="Times New Roman"/>
          <w:noProof/>
          <w:color w:val="000000"/>
          <w:sz w:val="24"/>
          <w:szCs w:val="24"/>
          <w:lang w:eastAsia="en-GB"/>
        </w:rPr>
        <w:t>on of revised national action plans, and with the updated information available to it, the Commission will produce a further report which will enable a more comprehensive assessment of the state of implementation of the Directive.</w:t>
      </w:r>
    </w:p>
    <w:bookmarkEnd w:id="3"/>
    <w:p w:rsidR="006D67E1" w:rsidRDefault="006D67E1">
      <w:pPr>
        <w:rPr>
          <w:noProof/>
        </w:rPr>
      </w:pPr>
    </w:p>
    <w:sectPr w:rsidR="006D67E1">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E9FF9" w15:done="0"/>
  <w15:commentEx w15:paraId="5FFBF9BC" w15:done="0"/>
  <w15:commentEx w15:paraId="60A878D0" w15:done="0"/>
  <w15:commentEx w15:paraId="3A2FA365" w15:done="0"/>
  <w15:commentEx w15:paraId="509C3FBE" w15:done="0"/>
  <w15:commentEx w15:paraId="15464500" w15:done="0"/>
  <w15:commentEx w15:paraId="642B8E4E" w15:done="0"/>
  <w15:commentEx w15:paraId="75FF39DF" w15:done="0"/>
  <w15:commentEx w15:paraId="5B5C23A9" w15:done="0"/>
  <w15:commentEx w15:paraId="78D0E9C6" w15:done="0"/>
  <w15:commentEx w15:paraId="01A559E7" w15:done="0"/>
  <w15:commentEx w15:paraId="3F76A7E5" w15:done="0"/>
  <w15:commentEx w15:paraId="7EB11473" w15:done="0"/>
  <w15:commentEx w15:paraId="6A6A73D7" w15:done="0"/>
  <w15:commentEx w15:paraId="10EAE6E2" w15:done="0"/>
  <w15:commentEx w15:paraId="1EA83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E9FF9" w16cid:durableId="1D0788BB"/>
  <w16cid:commentId w16cid:paraId="5FFBF9BC" w16cid:durableId="1D0788BC"/>
  <w16cid:commentId w16cid:paraId="60A878D0" w16cid:durableId="1D0788BD"/>
  <w16cid:commentId w16cid:paraId="3A2FA365" w16cid:durableId="1D0788BE"/>
  <w16cid:commentId w16cid:paraId="509C3FBE" w16cid:durableId="1D0788BF"/>
  <w16cid:commentId w16cid:paraId="15464500" w16cid:durableId="1D0788C0"/>
  <w16cid:commentId w16cid:paraId="642B8E4E" w16cid:durableId="1D0788C1"/>
  <w16cid:commentId w16cid:paraId="75FF39DF" w16cid:durableId="1D0788C2"/>
  <w16cid:commentId w16cid:paraId="5B5C23A9" w16cid:durableId="1D0788C3"/>
  <w16cid:commentId w16cid:paraId="78D0E9C6" w16cid:durableId="1D0788C4"/>
  <w16cid:commentId w16cid:paraId="01A559E7" w16cid:durableId="1D0788C5"/>
  <w16cid:commentId w16cid:paraId="3F76A7E5" w16cid:durableId="1D0788C6"/>
  <w16cid:commentId w16cid:paraId="7EB11473" w16cid:durableId="1D0788C7"/>
  <w16cid:commentId w16cid:paraId="6A6A73D7" w16cid:durableId="1D0788C8"/>
  <w16cid:commentId w16cid:paraId="10EAE6E2" w16cid:durableId="1D0788C9"/>
  <w16cid:commentId w16cid:paraId="1EA83589" w16cid:durableId="1D078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A9" w:rsidRDefault="00274BA9">
      <w:pPr>
        <w:spacing w:after="0" w:line="240" w:lineRule="auto"/>
      </w:pPr>
      <w:r>
        <w:separator/>
      </w:r>
    </w:p>
  </w:endnote>
  <w:endnote w:type="continuationSeparator" w:id="0">
    <w:p w:rsidR="00274BA9" w:rsidRDefault="0027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8F" w:rsidRDefault="00210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274BA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8F" w:rsidRDefault="00210B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6D67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274BA9">
    <w:pPr>
      <w:pStyle w:val="Footer"/>
      <w:jc w:val="center"/>
    </w:pPr>
    <w:r>
      <w:fldChar w:fldCharType="begin"/>
    </w:r>
    <w:r>
      <w:instrText xml:space="preserve"> PAGE   \* MERGEFORMAT </w:instrText>
    </w:r>
    <w:r>
      <w:fldChar w:fldCharType="separate"/>
    </w:r>
    <w:r w:rsidR="00210B8F">
      <w:rPr>
        <w:noProof/>
      </w:rPr>
      <w:t>14</w:t>
    </w:r>
    <w:r>
      <w:rPr>
        <w:noProof/>
      </w:rPr>
      <w:fldChar w:fldCharType="end"/>
    </w:r>
  </w:p>
  <w:p w:rsidR="006D67E1" w:rsidRDefault="006D67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6D6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A9" w:rsidRDefault="00274BA9">
      <w:pPr>
        <w:spacing w:after="0" w:line="240" w:lineRule="auto"/>
      </w:pPr>
      <w:r>
        <w:separator/>
      </w:r>
    </w:p>
  </w:footnote>
  <w:footnote w:type="continuationSeparator" w:id="0">
    <w:p w:rsidR="00274BA9" w:rsidRDefault="00274BA9">
      <w:pPr>
        <w:spacing w:after="0" w:line="240" w:lineRule="auto"/>
      </w:pPr>
      <w:r>
        <w:continuationSeparator/>
      </w:r>
    </w:p>
  </w:footnote>
  <w:footnote w:id="1">
    <w:p w:rsidR="006D67E1" w:rsidRDefault="00274BA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In this report, the term ‘pesticides’ refers to plant protection products which include herbicides, fungicides and insecticides used for plant protection.</w:t>
      </w:r>
    </w:p>
  </w:footnote>
  <w:footnote w:id="2">
    <w:p w:rsidR="006D67E1" w:rsidRDefault="00274BA9">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hyperlink r:id="rId1" w:history="1">
        <w:r>
          <w:rPr>
            <w:rStyle w:val="Hyperlink"/>
            <w:rFonts w:ascii="Times New Roman" w:hAnsi="Times New Roman"/>
            <w:sz w:val="20"/>
            <w:szCs w:val="20"/>
          </w:rPr>
          <w:t>http://ec.europa.eu/europeaid/file/50450/download_en?token=KLkUmH5y</w:t>
        </w:r>
      </w:hyperlink>
      <w:r>
        <w:rPr>
          <w:rFonts w:ascii="Times New Roman" w:hAnsi="Times New Roman" w:cs="Times New Roman"/>
          <w:sz w:val="20"/>
          <w:szCs w:val="20"/>
        </w:rPr>
        <w:t xml:space="preserve"> </w:t>
      </w:r>
    </w:p>
  </w:footnote>
  <w:footnote w:id="3">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COM/2006/0372 </w:t>
      </w:r>
      <w:r>
        <w:rPr>
          <w:rStyle w:val="Strong"/>
          <w:rFonts w:ascii="Times New Roman" w:hAnsi="Times New Roman" w:cs="Times New Roman"/>
          <w:b w:val="0"/>
          <w:lang w:val="en"/>
        </w:rPr>
        <w:t>Communication from the Commission to the Council, the European Parliament, the European E</w:t>
      </w:r>
      <w:r>
        <w:rPr>
          <w:rStyle w:val="Strong"/>
          <w:rFonts w:ascii="Times New Roman" w:hAnsi="Times New Roman" w:cs="Times New Roman"/>
          <w:b w:val="0"/>
          <w:lang w:val="en"/>
        </w:rPr>
        <w:t>conomic and Social Committee and the Committee of the Regions - A thematic strategy on the sustainable use of pesticides.</w:t>
      </w:r>
      <w:r>
        <w:rPr>
          <w:rStyle w:val="Strong"/>
          <w:rFonts w:ascii="Times New Roman" w:hAnsi="Times New Roman" w:cs="Times New Roman"/>
          <w:lang w:val="en"/>
        </w:rPr>
        <w:t xml:space="preserve"> </w:t>
      </w:r>
    </w:p>
  </w:footnote>
  <w:footnote w:id="4">
    <w:p w:rsidR="006D67E1" w:rsidRDefault="00274B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Pesticides are defined by Directive 2009/128/EC (Article 3) as including either plant protection products or biocidal products. Cur</w:t>
      </w:r>
      <w:r>
        <w:rPr>
          <w:rFonts w:ascii="Times New Roman" w:hAnsi="Times New Roman" w:cs="Times New Roman"/>
        </w:rPr>
        <w:t>rently the Directive applies to plant protection products only (Article 2). The term pesticides is used widely in this report as it is more commonly used but the report does not deal with biocidal products.</w:t>
      </w:r>
    </w:p>
  </w:footnote>
  <w:footnote w:id="5">
    <w:p w:rsidR="006D67E1" w:rsidRDefault="00274BA9">
      <w:pPr>
        <w:pStyle w:val="FootnoteText"/>
        <w:jc w:val="both"/>
        <w:rPr>
          <w:rFonts w:ascii="Times New Roman" w:hAnsi="Times New Roman" w:cs="Times New Roman"/>
          <w:b/>
          <w:bCs/>
          <w:lang w:val="e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Strong"/>
          <w:rFonts w:ascii="Times New Roman" w:hAnsi="Times New Roman" w:cs="Times New Roman"/>
          <w:b w:val="0"/>
          <w:lang w:val="en"/>
        </w:rPr>
        <w:t>Regulation (EC) No 1107/2009 of the European Pa</w:t>
      </w:r>
      <w:r>
        <w:rPr>
          <w:rStyle w:val="Strong"/>
          <w:rFonts w:ascii="Times New Roman" w:hAnsi="Times New Roman" w:cs="Times New Roman"/>
          <w:b w:val="0"/>
          <w:lang w:val="en"/>
        </w:rPr>
        <w:t>rliament and of the Council of 21 October 2009 concerning the placing of plant protection products on the market and repealing Council Directives 79/117/EEC and 91/414/EEC, OJ L 309, 24.11.2009, p. 1–50</w:t>
      </w:r>
    </w:p>
  </w:footnote>
  <w:footnote w:id="6">
    <w:p w:rsidR="006D67E1" w:rsidRDefault="00274BA9">
      <w:pPr>
        <w:pStyle w:val="FootnoteText"/>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rPr>
          <w:t>http://ec.europa.eu/food/plant/pesticides/eu-pesticides-database/public/?event=homepage&amp;language=EN</w:t>
        </w:r>
      </w:hyperlink>
    </w:p>
  </w:footnote>
  <w:footnote w:id="7">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396/2005 of the European Parliament and the Council of 23 February 200</w:t>
      </w:r>
      <w:r>
        <w:rPr>
          <w:rFonts w:ascii="Times New Roman" w:hAnsi="Times New Roman" w:cs="Times New Roman"/>
        </w:rPr>
        <w:t>5 on maximum residue levels of pesticides in or on food and feed of plant and animal origin and amending Council Directive 91/414/EEC, OJ L 70, 16.3.2005, P1-16</w:t>
      </w:r>
    </w:p>
  </w:footnote>
  <w:footnote w:id="8">
    <w:p w:rsidR="006D67E1" w:rsidRDefault="00274BA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2009/128/EC of the European Parliament and of the Council of 21 October 2009 establishing a framework for Community action to achieve the sustainable use of pesticides, OJ L 309, 24.11.2009, p. 71–86.</w:t>
      </w:r>
    </w:p>
  </w:footnote>
  <w:footnote w:id="9">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rPr>
          <w:t>http://ec.europa.eu/food/audits-analysis/overview_reports/details.cfm?rep_id=79</w:t>
        </w:r>
      </w:hyperlink>
    </w:p>
  </w:footnote>
  <w:footnote w:id="10">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http://ec.europa.eu/food/audits-analysis/overview_reports/details.cfm?rep_id=109</w:t>
      </w:r>
    </w:p>
  </w:footnote>
  <w:footnote w:id="11">
    <w:p w:rsidR="006D67E1" w:rsidRDefault="00274BA9">
      <w:pPr>
        <w:pStyle w:val="FootnoteText"/>
        <w:ind w:left="227" w:hanging="22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information and data provided in </w:t>
      </w:r>
      <w:r>
        <w:rPr>
          <w:rFonts w:ascii="Times New Roman" w:hAnsi="Times New Roman" w:cs="Times New Roman"/>
        </w:rPr>
        <w:t>response to this survey were incomplete and results need further   exploration with Member States. The UK did not provide a response to the questionnaire, but provided information on some of the topics later on. There were   data gaps in the responses prov</w:t>
      </w:r>
      <w:r>
        <w:rPr>
          <w:rFonts w:ascii="Times New Roman" w:hAnsi="Times New Roman" w:cs="Times New Roman"/>
        </w:rPr>
        <w:t xml:space="preserve">ided by Bulgaria, Romania, Greece and France. </w:t>
      </w:r>
    </w:p>
  </w:footnote>
  <w:footnote w:id="12">
    <w:p w:rsidR="006D67E1" w:rsidRDefault="00274BA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Germany, Netherlands, Italy, Denmark, Poland, Sweden</w:t>
      </w:r>
    </w:p>
  </w:footnote>
  <w:footnote w:id="13">
    <w:p w:rsidR="006D67E1" w:rsidRDefault="00274BA9">
      <w:pPr>
        <w:pStyle w:val="FootnoteText"/>
        <w:jc w:val="both"/>
      </w:pPr>
      <w:r>
        <w:rPr>
          <w:rStyle w:val="FootnoteReference"/>
        </w:rPr>
        <w:footnoteRef/>
      </w:r>
      <w:r>
        <w:t xml:space="preserve"> </w:t>
      </w:r>
      <w:r>
        <w:rPr>
          <w:rFonts w:ascii="Times New Roman" w:hAnsi="Times New Roman" w:cs="Times New Roman"/>
        </w:rPr>
        <w:t>The Directive does not prescribe a format for National Action Plans and for this reason, the plans communicated to the Commission are not fully comparab</w:t>
      </w:r>
      <w:r>
        <w:rPr>
          <w:rFonts w:ascii="Times New Roman" w:hAnsi="Times New Roman" w:cs="Times New Roman"/>
        </w:rPr>
        <w:t>le. In some cases, they do not contain all national measures being taken to implement the Directive. The scope of the Commission’s assessment of the plans was limited to the plans themselves and any measures not included in these plans could not be taken i</w:t>
      </w:r>
      <w:r>
        <w:rPr>
          <w:rFonts w:ascii="Times New Roman" w:hAnsi="Times New Roman" w:cs="Times New Roman"/>
        </w:rPr>
        <w:t>nto account.</w:t>
      </w:r>
    </w:p>
  </w:footnote>
  <w:footnote w:id="14">
    <w:p w:rsidR="006D67E1" w:rsidRDefault="00274BA9">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rPr>
          <w:t>https://ec.europa.eu/food/plant/pesticides/sustainable_use_pesticides_en</w:t>
        </w:r>
      </w:hyperlink>
    </w:p>
  </w:footnote>
  <w:footnote w:id="15">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Spain, the Czech Republic, Cyprus, Estonia, Belgium, Sweden, Finland, Germany</w:t>
      </w:r>
      <w:r>
        <w:rPr>
          <w:rFonts w:ascii="Times New Roman" w:hAnsi="Times New Roman" w:cs="Times New Roman"/>
        </w:rPr>
        <w:t>, Hungary, Poland, Latvia, Italy, Portugal, Croatia, Austria, Denmark, Lithuania, Romania, Slovakia, Ireland and France.</w:t>
      </w:r>
    </w:p>
  </w:footnote>
  <w:footnote w:id="16">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Luxemburg, Slovenia, Cyprus, Belgium, Finland, Hungary, Poland, Germany and France</w:t>
      </w:r>
    </w:p>
  </w:footnote>
  <w:footnote w:id="17">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Belgium, Denmark, Greece and Germany</w:t>
      </w:r>
    </w:p>
  </w:footnote>
  <w:footnote w:id="18">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France</w:t>
      </w:r>
    </w:p>
  </w:footnote>
  <w:footnote w:id="19">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Netherlands, these were not included in the NAP.</w:t>
      </w:r>
    </w:p>
  </w:footnote>
  <w:footnote w:id="20">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plans of Belgium and Denmark have no reference or objectives for training and certification of operators.</w:t>
      </w:r>
    </w:p>
  </w:footnote>
  <w:footnote w:id="21">
    <w:p w:rsidR="006D67E1" w:rsidRDefault="00274BA9">
      <w:pPr>
        <w:pStyle w:val="FootnoteText"/>
        <w:ind w:left="227" w:hanging="227"/>
      </w:pPr>
      <w:r>
        <w:rPr>
          <w:rStyle w:val="FootnoteReference"/>
        </w:rPr>
        <w:footnoteRef/>
      </w:r>
      <w:r>
        <w:t xml:space="preserve"> </w:t>
      </w:r>
      <w:r>
        <w:rPr>
          <w:rFonts w:ascii="Times New Roman" w:hAnsi="Times New Roman" w:cs="Times New Roman"/>
        </w:rPr>
        <w:t>Austria, the Czech Republic, France, Germany, Greece, Latvia, Lithuania, the Netherla</w:t>
      </w:r>
      <w:r>
        <w:rPr>
          <w:rFonts w:ascii="Times New Roman" w:hAnsi="Times New Roman" w:cs="Times New Roman"/>
        </w:rPr>
        <w:t>nds, Romania, Slovakia and Slovenia.</w:t>
      </w:r>
    </w:p>
  </w:footnote>
  <w:footnote w:id="22">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Italy, the Czech Republic, Estonia, Lithuania, Slovakia and Malta. </w:t>
      </w:r>
    </w:p>
  </w:footnote>
  <w:footnote w:id="23">
    <w:p w:rsidR="006D67E1" w:rsidRDefault="00274BA9">
      <w:pPr>
        <w:pStyle w:val="FootnoteText"/>
      </w:pPr>
      <w:r>
        <w:rPr>
          <w:rStyle w:val="FootnoteReference"/>
        </w:rPr>
        <w:footnoteRef/>
      </w:r>
      <w:r>
        <w:t xml:space="preserve"> </w:t>
      </w:r>
      <w:r>
        <w:rPr>
          <w:rFonts w:ascii="Times New Roman" w:hAnsi="Times New Roman" w:cs="Times New Roman"/>
        </w:rPr>
        <w:t>Bulgaria, Hungary and Romania</w:t>
      </w:r>
    </w:p>
  </w:footnote>
  <w:footnote w:id="24">
    <w:p w:rsidR="006D67E1" w:rsidRDefault="00274BA9">
      <w:pPr>
        <w:pStyle w:val="FootnoteText"/>
        <w:ind w:left="227" w:hanging="22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anchor="Agricultural_holdings" w:history="1">
        <w:r>
          <w:rPr>
            <w:rStyle w:val="Hyperlink"/>
            <w:rFonts w:ascii="Times New Roman" w:hAnsi="Times New Roman"/>
          </w:rPr>
          <w:t>http://ec.europa.eu/eurostat/statistics-explained/index.php/Farm_structure_survey_2013_-_main_results#Agricultural_holdings</w:t>
        </w:r>
      </w:hyperlink>
      <w:r>
        <w:rPr>
          <w:rFonts w:ascii="Times New Roman" w:hAnsi="Times New Roman" w:cs="Times New Roman"/>
        </w:rPr>
        <w:t xml:space="preserve"> </w:t>
      </w:r>
    </w:p>
  </w:footnote>
  <w:footnote w:id="25">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Denmark, Germany, the Netherlands, Poland, Sweden</w:t>
      </w:r>
    </w:p>
  </w:footnote>
  <w:footnote w:id="26">
    <w:p w:rsidR="006D67E1" w:rsidRDefault="00274BA9">
      <w:pPr>
        <w:pStyle w:val="FootnoteText"/>
      </w:pPr>
      <w:r>
        <w:rPr>
          <w:rStyle w:val="FootnoteReference"/>
        </w:rPr>
        <w:footnoteRef/>
      </w:r>
      <w:r>
        <w:t xml:space="preserve"> </w:t>
      </w:r>
      <w:r>
        <w:rPr>
          <w:rFonts w:ascii="Times New Roman" w:hAnsi="Times New Roman" w:cs="Times New Roman"/>
        </w:rPr>
        <w:t>Denmark, Finland, Hungary, Sweden and the UK</w:t>
      </w:r>
    </w:p>
  </w:footnote>
  <w:footnote w:id="27">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rPr>
          <w:t>https://ec.europa.eu/food/safety/btsf_en</w:t>
        </w:r>
      </w:hyperlink>
      <w:r>
        <w:rPr>
          <w:rFonts w:ascii="Times New Roman" w:hAnsi="Times New Roman" w:cs="Times New Roman"/>
        </w:rPr>
        <w:t xml:space="preserve"> </w:t>
      </w:r>
    </w:p>
    <w:p w:rsidR="006D67E1" w:rsidRDefault="006D67E1">
      <w:pPr>
        <w:pStyle w:val="FootnoteText"/>
      </w:pPr>
    </w:p>
  </w:footnote>
  <w:footnote w:id="28">
    <w:p w:rsidR="006D67E1" w:rsidRDefault="00274BA9">
      <w:pPr>
        <w:pStyle w:val="FootnoteText"/>
        <w:ind w:left="227" w:hanging="22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Czech Republic, Estonia, Lithuania, the Netherlands, Slovakia, Hungary, Poland, Germany, France and Bulgaria</w:t>
      </w:r>
    </w:p>
  </w:footnote>
  <w:footnote w:id="29">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Plans of Denmark and Sweden did not contain such an objective</w:t>
      </w:r>
    </w:p>
  </w:footnote>
  <w:footnote w:id="30">
    <w:p w:rsidR="006D67E1" w:rsidRDefault="00274BA9">
      <w:pPr>
        <w:pStyle w:val="FootnoteText"/>
        <w:ind w:left="227" w:hanging="22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communication in the framework of the implementation of Directive 2009/128/EC of the European Parliament and of the Council of 21 October 2009 establishing a framework for Communit</w:t>
      </w:r>
      <w:r>
        <w:rPr>
          <w:rFonts w:ascii="Times New Roman" w:hAnsi="Times New Roman" w:cs="Times New Roman"/>
        </w:rPr>
        <w:t>y action to achieve the sustainable use of pesticides, OJ C 196, 12.6.2015, p. 4–5</w:t>
      </w:r>
    </w:p>
  </w:footnote>
  <w:footnote w:id="31">
    <w:p w:rsidR="006D67E1" w:rsidRDefault="00274BA9">
      <w:pPr>
        <w:pStyle w:val="FootnoteText"/>
        <w:ind w:left="227" w:hanging="227"/>
        <w:rPr>
          <w:rFonts w:ascii="Times New Roman" w:hAnsi="Times New Roman" w:cs="Times New Roman"/>
          <w:lang w:val="en-IE"/>
        </w:rPr>
      </w:pPr>
      <w:r>
        <w:rPr>
          <w:rStyle w:val="FootnoteReference"/>
        </w:rPr>
        <w:footnoteRef/>
      </w:r>
      <w:r>
        <w:t xml:space="preserve"> </w:t>
      </w:r>
      <w:r>
        <w:rPr>
          <w:rFonts w:ascii="Times New Roman" w:hAnsi="Times New Roman" w:cs="Times New Roman"/>
          <w:lang w:val="en-IE"/>
        </w:rPr>
        <w:t>Belgium, Bulgaria, Croatia, Cyprus, Czech Republic, Denmark, France, Germany, Hungary, Italy, Latvia, Lithuania, the Netherlands, Luxembourg, Poland, Portugal, Romania, Sl</w:t>
      </w:r>
      <w:r>
        <w:rPr>
          <w:rFonts w:ascii="Times New Roman" w:hAnsi="Times New Roman" w:cs="Times New Roman"/>
          <w:lang w:val="en-IE"/>
        </w:rPr>
        <w:t>ovakia, Spain, Sweden, United Kingdom.</w:t>
      </w:r>
    </w:p>
  </w:footnote>
  <w:footnote w:id="32">
    <w:p w:rsidR="006D67E1" w:rsidRDefault="00274BA9">
      <w:pPr>
        <w:pStyle w:val="FootnoteText"/>
        <w:ind w:left="227" w:hanging="227"/>
      </w:pPr>
      <w:r>
        <w:rPr>
          <w:rStyle w:val="FootnoteReference"/>
          <w:rFonts w:ascii="Times New Roman" w:hAnsi="Times New Roman" w:cs="Times New Roman"/>
        </w:rPr>
        <w:footnoteRef/>
      </w:r>
      <w:r>
        <w:rPr>
          <w:rFonts w:ascii="Times New Roman" w:hAnsi="Times New Roman" w:cs="Times New Roman"/>
        </w:rPr>
        <w:t xml:space="preserve"> Bulgaria, Czech Republic, Croatia, Cyprus, France, Germany, Hungary, Italy, Luxembourg,  Poland, Portugal, Slovakia, Spain, United Kingdom. Greece provided no information on aerial spraying, Bulgaria, the Czech Repu</w:t>
      </w:r>
      <w:r>
        <w:rPr>
          <w:rFonts w:ascii="Times New Roman" w:hAnsi="Times New Roman" w:cs="Times New Roman"/>
        </w:rPr>
        <w:t>blic and France provided no data on the area treated.</w:t>
      </w:r>
    </w:p>
  </w:footnote>
  <w:footnote w:id="33">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Spain, Croatia, Sweden, Netherlands, Hungary, Malta</w:t>
      </w:r>
    </w:p>
  </w:footnote>
  <w:footnote w:id="34">
    <w:p w:rsidR="006D67E1" w:rsidRDefault="00274BA9">
      <w:pPr>
        <w:pStyle w:val="FootnoteText"/>
        <w:ind w:left="227" w:hanging="22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lang w:eastAsia="en-GB"/>
        </w:rPr>
        <w:t>SWD(2017) 153 final:,</w:t>
      </w:r>
      <w:r>
        <w:rPr>
          <w:rFonts w:ascii="Times New Roman" w:hAnsi="Times New Roman" w:cs="Times New Roman"/>
        </w:rPr>
        <w:t xml:space="preserve"> </w:t>
      </w:r>
      <w:r>
        <w:rPr>
          <w:rFonts w:ascii="Times New Roman" w:eastAsia="Times New Roman" w:hAnsi="Times New Roman" w:cs="Times New Roman"/>
          <w:color w:val="000000"/>
          <w:lang w:eastAsia="en-GB"/>
        </w:rPr>
        <w:t xml:space="preserve">https://circabc.europa.eu/sd/a/abff972e-203a-4b4e-b42e-a0f291d3fdf9/SWD_2017_EN_V4_P1_885057.pdf </w:t>
      </w:r>
    </w:p>
  </w:footnote>
  <w:footnote w:id="35">
    <w:p w:rsidR="006D67E1" w:rsidRDefault="00274BA9">
      <w:pPr>
        <w:pStyle w:val="FootnoteText"/>
        <w:ind w:left="170" w:hanging="17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2000/60/EC of </w:t>
      </w:r>
      <w:r>
        <w:rPr>
          <w:rFonts w:ascii="Times New Roman" w:hAnsi="Times New Roman" w:cs="Times New Roman"/>
        </w:rPr>
        <w:t>the European Parliament and of the Council of 23 October 2000 establishing a framework for Community action in the field of water policy, OJ L 327 , 22.12.2000, p 1 - 73</w:t>
      </w:r>
    </w:p>
  </w:footnote>
  <w:footnote w:id="36">
    <w:p w:rsidR="006D67E1" w:rsidRDefault="00274BA9">
      <w:pPr>
        <w:pStyle w:val="FootnoteText"/>
        <w:ind w:left="159" w:hanging="17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2006/118/EC of the European Parliament and of the Council of 12 December 2</w:t>
      </w:r>
      <w:r>
        <w:rPr>
          <w:rFonts w:ascii="Times New Roman" w:hAnsi="Times New Roman" w:cs="Times New Roman"/>
        </w:rPr>
        <w:t>006 on the protection of groundwater against pollution and deterioration, OJ L 372, 27.12.2006, p. 19–31</w:t>
      </w:r>
    </w:p>
  </w:footnote>
  <w:footnote w:id="37">
    <w:p w:rsidR="006D67E1" w:rsidRDefault="00274BA9">
      <w:pPr>
        <w:spacing w:after="0"/>
        <w:ind w:left="170" w:hanging="170"/>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Directive 2008/105/EC of the European Parliament and of the Council of 16 December 2008 on environmental quality standards in the field of water poli</w:t>
      </w:r>
      <w:r>
        <w:rPr>
          <w:rFonts w:ascii="Times New Roman" w:hAnsi="Times New Roman" w:cs="Times New Roman"/>
          <w:sz w:val="20"/>
          <w:szCs w:val="20"/>
        </w:rPr>
        <w:t>cy, amending and subsequently repealing Council Directives 82/176/EEC, 83/513/EEC, 84/156/EEC, 84/491/EEC, 86/280/EEC and amending Directive 2000/60/EC of the European Parliament and the Council, OJ L 348, 24.12.2008, p. 84-97</w:t>
      </w:r>
    </w:p>
  </w:footnote>
  <w:footnote w:id="38">
    <w:p w:rsidR="006D67E1" w:rsidRDefault="00274BA9">
      <w:pPr>
        <w:pStyle w:val="FootnoteText"/>
        <w:ind w:left="284" w:hanging="284"/>
        <w:rPr>
          <w:rFonts w:ascii="Times New Roman" w:hAnsi="Times New Roman" w:cs="Times New Roman"/>
        </w:rPr>
      </w:pPr>
      <w:r>
        <w:rPr>
          <w:rStyle w:val="FootnoteReference"/>
        </w:rPr>
        <w:footnoteRef/>
      </w:r>
      <w:r>
        <w:t xml:space="preserve"> </w:t>
      </w:r>
      <w:r>
        <w:rPr>
          <w:rFonts w:ascii="Times New Roman" w:hAnsi="Times New Roman" w:cs="Times New Roman"/>
        </w:rPr>
        <w:t xml:space="preserve">Council Directive 98/83/EC </w:t>
      </w:r>
      <w:r>
        <w:rPr>
          <w:rFonts w:ascii="Times New Roman" w:hAnsi="Times New Roman" w:cs="Times New Roman"/>
        </w:rPr>
        <w:t>of 3 November 1998 on the quality of water intended for human consumption, OJ L 330, 05.12.1998, p. 32 - 54</w:t>
      </w:r>
    </w:p>
  </w:footnote>
  <w:footnote w:id="39">
    <w:p w:rsidR="006D67E1" w:rsidRDefault="00274BA9">
      <w:pPr>
        <w:pStyle w:val="FootnoteText"/>
      </w:pPr>
      <w:r>
        <w:rPr>
          <w:rStyle w:val="FootnoteReference"/>
        </w:rPr>
        <w:footnoteRef/>
      </w:r>
      <w:r>
        <w:t xml:space="preserve"> </w:t>
      </w:r>
      <w:hyperlink r:id="rId7" w:history="1">
        <w:r>
          <w:rPr>
            <w:rStyle w:val="Hyperlink"/>
            <w:rFonts w:ascii="Times New Roman" w:eastAsia="Times New Roman" w:hAnsi="Times New Roman"/>
            <w:lang w:eastAsia="en-GB"/>
          </w:rPr>
          <w:t>https://www.eea.europa.eu/publications/european-waters-asse</w:t>
        </w:r>
        <w:r>
          <w:rPr>
            <w:rStyle w:val="Hyperlink"/>
            <w:rFonts w:ascii="Times New Roman" w:eastAsia="Times New Roman" w:hAnsi="Times New Roman"/>
            <w:lang w:eastAsia="en-GB"/>
          </w:rPr>
          <w:t>ssment-2012</w:t>
        </w:r>
      </w:hyperlink>
    </w:p>
  </w:footnote>
  <w:footnote w:id="40">
    <w:p w:rsidR="006D67E1" w:rsidRDefault="00274BA9">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figures probably underestimate the proportion of river and transitional waterbodies at risk because of pesticides, Because of the way the first reporting of the River Basin Management plans was done, it was not possible at the time to determine prec</w:t>
      </w:r>
      <w:r>
        <w:rPr>
          <w:rFonts w:ascii="Times New Roman" w:hAnsi="Times New Roman" w:cs="Times New Roman"/>
        </w:rPr>
        <w:t xml:space="preserve">isely the proportion of surface waterbodies in which pesticides identified as specific pollutants posed a risk. The Commission's assessment of the second River Basin Management Plans (2016-2021) is currently on-going, and updated figures will be available </w:t>
      </w:r>
      <w:r>
        <w:rPr>
          <w:rFonts w:ascii="Times New Roman" w:hAnsi="Times New Roman" w:cs="Times New Roman"/>
        </w:rPr>
        <w:t>in the course of 2018.</w:t>
      </w:r>
    </w:p>
  </w:footnote>
  <w:footnote w:id="41">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plans of Romania and Portugal do not make any reference to such measures</w:t>
      </w:r>
    </w:p>
  </w:footnote>
  <w:footnote w:id="42">
    <w:p w:rsidR="006D67E1" w:rsidRDefault="00274BA9">
      <w:pPr>
        <w:pStyle w:val="FootnoteText"/>
      </w:pPr>
      <w:r>
        <w:rPr>
          <w:rStyle w:val="FootnoteReference"/>
        </w:rPr>
        <w:footnoteRef/>
      </w:r>
      <w:r>
        <w:t xml:space="preserve"> </w:t>
      </w:r>
      <w:r>
        <w:rPr>
          <w:rFonts w:ascii="Times New Roman" w:hAnsi="Times New Roman" w:cs="Times New Roman"/>
        </w:rPr>
        <w:t>Ireland and the UK did not provide a response</w:t>
      </w:r>
    </w:p>
  </w:footnote>
  <w:footnote w:id="43">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79/409/EEC of 2 April 1979 on the conservation of wild birds, OJ L 103, 25.4.1979, p. 1–18</w:t>
      </w:r>
    </w:p>
  </w:footnote>
  <w:footnote w:id="44">
    <w:p w:rsidR="006D67E1" w:rsidRDefault="00274BA9">
      <w:pPr>
        <w:ind w:left="170" w:hanging="170"/>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Council Directive 92/43/EEC of 21 May 1992 on the conservation of natural habitats and of wild fauna and flora, OJ L 206, 22.7.1992, p. 7–50</w:t>
      </w:r>
    </w:p>
    <w:p w:rsidR="006D67E1" w:rsidRDefault="00274BA9">
      <w:pPr>
        <w:pStyle w:val="FootnoteText"/>
        <w:tabs>
          <w:tab w:val="left" w:pos="24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footnote>
  <w:footnote w:id="45">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Greece, there is no system in place for collection of empty packages and containers, and Bulgaria and the </w:t>
      </w:r>
    </w:p>
    <w:p w:rsidR="006D67E1" w:rsidRDefault="00274BA9">
      <w:pPr>
        <w:pStyle w:val="FootnoteText"/>
        <w:rPr>
          <w:rFonts w:ascii="Times New Roman" w:hAnsi="Times New Roman" w:cs="Times New Roman"/>
        </w:rPr>
      </w:pPr>
      <w:r>
        <w:rPr>
          <w:rFonts w:ascii="Times New Roman" w:hAnsi="Times New Roman" w:cs="Times New Roman"/>
        </w:rPr>
        <w:t xml:space="preserve">   UK did not provide a response</w:t>
      </w:r>
    </w:p>
  </w:footnote>
  <w:footnote w:id="46">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UK did not provide a reply, and there were no publicly funded systems in place in the Netherlands, </w:t>
      </w:r>
    </w:p>
    <w:p w:rsidR="006D67E1" w:rsidRDefault="00274BA9">
      <w:pPr>
        <w:pStyle w:val="FootnoteText"/>
        <w:rPr>
          <w:rFonts w:ascii="Times New Roman" w:hAnsi="Times New Roman" w:cs="Times New Roman"/>
        </w:rPr>
      </w:pPr>
      <w:r>
        <w:rPr>
          <w:rFonts w:ascii="Times New Roman" w:hAnsi="Times New Roman" w:cs="Times New Roman"/>
        </w:rPr>
        <w:t xml:space="preserve">    C</w:t>
      </w:r>
      <w:r>
        <w:rPr>
          <w:rFonts w:ascii="Times New Roman" w:hAnsi="Times New Roman" w:cs="Times New Roman"/>
        </w:rPr>
        <w:t>yprus and Malta</w:t>
      </w:r>
    </w:p>
  </w:footnote>
  <w:footnote w:id="47">
    <w:p w:rsidR="006D67E1" w:rsidRDefault="00274BA9">
      <w:pPr>
        <w:pStyle w:val="FootnoteText"/>
        <w:ind w:left="170" w:hanging="17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1306/2013 of the European Parliament and of the Council of 17 December 2013 on the financing, management and monitoring of the common agricultural policy and repealing Council Regulations (EEC) No 352/78, (EC) No 165/94</w:t>
      </w:r>
      <w:r>
        <w:rPr>
          <w:rFonts w:ascii="Times New Roman" w:hAnsi="Times New Roman" w:cs="Times New Roman"/>
        </w:rPr>
        <w:t>, (EC) No 2799/98, (EC) No 814/2000, (EC) No 1290/2005 and (EC) No 485/2008, OJ L 347, 20.12.2013, p. 549–607.</w:t>
      </w:r>
    </w:p>
  </w:footnote>
  <w:footnote w:id="48">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rPr>
          <w:t>http://www.endure-network.eu/endure</w:t>
        </w:r>
      </w:hyperlink>
      <w:r>
        <w:rPr>
          <w:rFonts w:ascii="Times New Roman" w:hAnsi="Times New Roman" w:cs="Times New Roman"/>
        </w:rPr>
        <w:t xml:space="preserve"> </w:t>
      </w:r>
    </w:p>
  </w:footnote>
  <w:footnote w:id="49">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rPr>
          <w:t>http://c-ipm.org/</w:t>
        </w:r>
      </w:hyperlink>
      <w:r>
        <w:rPr>
          <w:rFonts w:ascii="Times New Roman" w:hAnsi="Times New Roman" w:cs="Times New Roman"/>
        </w:rPr>
        <w:t xml:space="preserve"> </w:t>
      </w:r>
    </w:p>
  </w:footnote>
  <w:footnote w:id="50">
    <w:p w:rsidR="006D67E1" w:rsidRDefault="00274BA9">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Seventh framework programme: CO-FREE, TEAMPEST, BIOCOMES, SharCo, DROPSA, Fruit Breedomics, EU-Berry, INNOVINE, MARS EUPHOROS, VALORAM, PRATIQUE, ISEFOR, QBOL, Q-Detect, TESTA; Horizon 2020: EUCLID, EMPHASIS, BLOSTER: http://cordis.europa.eu/projects/ho</w:t>
      </w:r>
      <w:r>
        <w:rPr>
          <w:rFonts w:ascii="Times New Roman" w:hAnsi="Times New Roman" w:cs="Times New Roman"/>
        </w:rPr>
        <w:t>me_en.html</w:t>
      </w:r>
    </w:p>
  </w:footnote>
  <w:footnote w:id="51">
    <w:p w:rsidR="006D67E1" w:rsidRDefault="00274BA9">
      <w:pPr>
        <w:pStyle w:val="FootnoteText"/>
        <w:tabs>
          <w:tab w:val="left" w:pos="5780"/>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Austria, Italy and Sweden</w:t>
      </w:r>
      <w:r>
        <w:rPr>
          <w:rFonts w:ascii="Times New Roman" w:hAnsi="Times New Roman" w:cs="Times New Roman"/>
        </w:rPr>
        <w:tab/>
      </w:r>
    </w:p>
  </w:footnote>
  <w:footnote w:id="52">
    <w:p w:rsidR="006D67E1" w:rsidRDefault="00274BA9">
      <w:pPr>
        <w:pStyle w:val="FootnoteText"/>
        <w:ind w:left="227" w:hanging="22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implementation of Regulation (EC) No 1185/2009 of the European Parliament and of the Council of 25 November 2009 concerning statistics on</w:t>
      </w:r>
      <w:r>
        <w:rPr>
          <w:rFonts w:ascii="Times New Roman" w:hAnsi="Times New Roman" w:cs="Times New Roman"/>
        </w:rPr>
        <w:t xml:space="preserve"> pesticides,  COM(2017) 109 final</w:t>
      </w:r>
    </w:p>
  </w:footnote>
  <w:footnote w:id="53">
    <w:p w:rsidR="006D67E1" w:rsidRDefault="00274BA9">
      <w:pPr>
        <w:tabs>
          <w:tab w:val="left" w:pos="871"/>
        </w:tabs>
        <w:autoSpaceDE w:val="0"/>
        <w:autoSpaceDN w:val="0"/>
        <w:adjustRightInd w:val="0"/>
        <w:spacing w:after="0" w:line="240" w:lineRule="auto"/>
        <w:jc w:val="both"/>
        <w:rPr>
          <w:rFonts w:ascii="Calibri" w:hAnsi="Calibri"/>
          <w:sz w:val="20"/>
          <w:szCs w:val="20"/>
        </w:rPr>
      </w:pPr>
      <w:r>
        <w:rPr>
          <w:rStyle w:val="FootnoteReference"/>
        </w:rPr>
        <w:footnoteRef/>
      </w:r>
      <w:r>
        <w:t xml:space="preserve"> </w:t>
      </w:r>
      <w:r>
        <w:rPr>
          <w:rFonts w:ascii="Times New Roman" w:hAnsi="Times New Roman"/>
          <w:color w:val="000000"/>
          <w:sz w:val="20"/>
          <w:szCs w:val="20"/>
          <w:lang w:eastAsia="en-GB"/>
        </w:rPr>
        <w:t>Commission Implementing Decision of 28 September 2016 on the establishment of a work programme for the assessment of applications for the renewal of approvals of active substances expiring in 2019, 2020 and 2021 in accor</w:t>
      </w:r>
      <w:r>
        <w:rPr>
          <w:rFonts w:ascii="Times New Roman" w:hAnsi="Times New Roman"/>
          <w:color w:val="000000"/>
          <w:sz w:val="20"/>
          <w:szCs w:val="20"/>
          <w:lang w:eastAsia="en-GB"/>
        </w:rPr>
        <w:t>dance with Regulation (EC) No 1107/2009 of the European Parliament and of the Council,  OJ C 357 of 29.09.2016  p 9-11</w:t>
      </w:r>
    </w:p>
  </w:footnote>
  <w:footnote w:id="54">
    <w:p w:rsidR="006D67E1" w:rsidRDefault="00274BA9">
      <w:pPr>
        <w:pStyle w:val="FootnoteText"/>
        <w:jc w:val="both"/>
      </w:pPr>
      <w:r>
        <w:rPr>
          <w:rStyle w:val="FootnoteReference"/>
        </w:rPr>
        <w:footnoteRef/>
      </w:r>
      <w:r>
        <w:t xml:space="preserve"> </w:t>
      </w:r>
      <w:r>
        <w:rPr>
          <w:rFonts w:ascii="Times New Roman" w:hAnsi="Times New Roman"/>
          <w:color w:val="000000"/>
          <w:lang w:eastAsia="en-GB"/>
        </w:rPr>
        <w:t xml:space="preserve">Commission Regulation (EU) 2017/1432 of 7 August 2017 amending Regulation (EC) No 1107/2009 of the European Parliament and the Council </w:t>
      </w:r>
      <w:r>
        <w:rPr>
          <w:rFonts w:ascii="Times New Roman" w:hAnsi="Times New Roman"/>
          <w:color w:val="000000"/>
          <w:lang w:eastAsia="en-GB"/>
        </w:rPr>
        <w:t>concerning the placing of plant protection products on the market as regards the criteria for the approval of low-risk active substances, OJ L 205 of 8.8.2017, p. 59–62.</w:t>
      </w:r>
    </w:p>
  </w:footnote>
  <w:footnote w:id="55">
    <w:p w:rsidR="006D67E1" w:rsidRDefault="00274B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the following Seventh Framework Programme projects:</w:t>
      </w:r>
    </w:p>
    <w:p w:rsidR="006D67E1" w:rsidRDefault="00274BA9">
      <w:pPr>
        <w:pStyle w:val="FootnoteText"/>
        <w:rPr>
          <w:rFonts w:ascii="Times New Roman" w:hAnsi="Times New Roman" w:cs="Times New Roman"/>
          <w:lang w:val="pt-PT"/>
        </w:rPr>
      </w:pPr>
      <w:hyperlink r:id="rId10" w:history="1">
        <w:r>
          <w:rPr>
            <w:rStyle w:val="Hyperlink"/>
            <w:rFonts w:ascii="Times New Roman" w:hAnsi="Times New Roman"/>
            <w:lang w:val="pt-PT"/>
          </w:rPr>
          <w:t>AGROCOS</w:t>
        </w:r>
      </w:hyperlink>
      <w:r>
        <w:rPr>
          <w:rFonts w:ascii="Times New Roman" w:hAnsi="Times New Roman" w:cs="Times New Roman"/>
          <w:u w:val="single"/>
          <w:lang w:val="pt-PT"/>
        </w:rPr>
        <w:t xml:space="preserve"> (http://cordis.europa.eu/project/rcn/94701_en.html)</w:t>
      </w:r>
      <w:r>
        <w:rPr>
          <w:rFonts w:ascii="Times New Roman" w:hAnsi="Times New Roman" w:cs="Times New Roman"/>
          <w:lang w:val="pt-PT"/>
        </w:rPr>
        <w:t xml:space="preserve">, </w:t>
      </w:r>
    </w:p>
    <w:p w:rsidR="006D67E1" w:rsidRDefault="00274BA9">
      <w:pPr>
        <w:pStyle w:val="FootnoteText"/>
        <w:rPr>
          <w:rFonts w:ascii="Times New Roman" w:hAnsi="Times New Roman" w:cs="Times New Roman"/>
          <w:lang w:val="it-IT"/>
        </w:rPr>
      </w:pPr>
      <w:hyperlink r:id="rId11" w:history="1">
        <w:r>
          <w:rPr>
            <w:rStyle w:val="Hyperlink"/>
            <w:rFonts w:ascii="Times New Roman" w:hAnsi="Times New Roman"/>
            <w:lang w:val="it-IT"/>
          </w:rPr>
          <w:t>PURE</w:t>
        </w:r>
      </w:hyperlink>
      <w:r>
        <w:rPr>
          <w:rFonts w:ascii="Times New Roman" w:hAnsi="Times New Roman" w:cs="Times New Roman"/>
          <w:u w:val="single"/>
          <w:lang w:val="it-IT"/>
        </w:rPr>
        <w:t xml:space="preserve"> (</w:t>
      </w:r>
      <w:hyperlink r:id="rId12" w:history="1">
        <w:r>
          <w:rPr>
            <w:rStyle w:val="Hyperlink"/>
            <w:rFonts w:ascii="Times New Roman" w:hAnsi="Times New Roman"/>
            <w:lang w:val="it-IT"/>
          </w:rPr>
          <w:t>http://cordis.europa.eu/project/rcn/98869_en.html</w:t>
        </w:r>
      </w:hyperlink>
      <w:r>
        <w:rPr>
          <w:rFonts w:ascii="Times New Roman" w:hAnsi="Times New Roman" w:cs="Times New Roman"/>
          <w:u w:val="single"/>
          <w:lang w:val="it-IT"/>
        </w:rPr>
        <w:t>)</w:t>
      </w:r>
      <w:r>
        <w:rPr>
          <w:rFonts w:ascii="Times New Roman" w:hAnsi="Times New Roman" w:cs="Times New Roman"/>
          <w:lang w:val="it-IT"/>
        </w:rPr>
        <w:t xml:space="preserve">, </w:t>
      </w:r>
    </w:p>
    <w:p w:rsidR="006D67E1" w:rsidRDefault="00274BA9">
      <w:pPr>
        <w:pStyle w:val="FootnoteText"/>
        <w:rPr>
          <w:rFonts w:ascii="Times New Roman" w:hAnsi="Times New Roman" w:cs="Times New Roman"/>
        </w:rPr>
      </w:pPr>
      <w:hyperlink r:id="rId13" w:history="1">
        <w:r>
          <w:rPr>
            <w:rStyle w:val="Hyperlink"/>
            <w:rFonts w:ascii="Times New Roman" w:hAnsi="Times New Roman"/>
          </w:rPr>
          <w:t>CO-FREE</w:t>
        </w:r>
      </w:hyperlink>
      <w:r>
        <w:rPr>
          <w:rFonts w:ascii="Times New Roman" w:hAnsi="Times New Roman" w:cs="Times New Roman"/>
          <w:u w:val="single"/>
        </w:rPr>
        <w:t xml:space="preserve"> (</w:t>
      </w:r>
      <w:hyperlink r:id="rId14" w:history="1">
        <w:r>
          <w:rPr>
            <w:rStyle w:val="Hyperlink"/>
            <w:rFonts w:ascii="Times New Roman" w:hAnsi="Times New Roman"/>
          </w:rPr>
          <w:t>http://cordis.europa.eu/project/rcn/101750_en.html</w:t>
        </w:r>
      </w:hyperlink>
      <w:r>
        <w:rPr>
          <w:rFonts w:ascii="Times New Roman" w:hAnsi="Times New Roman" w:cs="Times New Roman"/>
          <w:u w:val="single"/>
        </w:rPr>
        <w:t>)</w:t>
      </w:r>
      <w:r>
        <w:rPr>
          <w:rFonts w:ascii="Times New Roman" w:hAnsi="Times New Roman" w:cs="Times New Roman"/>
        </w:rPr>
        <w:t xml:space="preserve">, </w:t>
      </w:r>
    </w:p>
    <w:p w:rsidR="006D67E1" w:rsidRDefault="00274BA9">
      <w:pPr>
        <w:pStyle w:val="FootnoteText"/>
        <w:rPr>
          <w:rFonts w:ascii="Times New Roman" w:hAnsi="Times New Roman" w:cs="Times New Roman"/>
        </w:rPr>
      </w:pPr>
      <w:r>
        <w:rPr>
          <w:rFonts w:ascii="Times New Roman" w:hAnsi="Times New Roman" w:cs="Times New Roman"/>
        </w:rPr>
        <w:t>BIOCOMES</w:t>
      </w:r>
      <w:r>
        <w:rPr>
          <w:rFonts w:ascii="Times New Roman" w:hAnsi="Times New Roman" w:cs="Times New Roman"/>
          <w:u w:val="single"/>
        </w:rPr>
        <w:t xml:space="preserve"> (</w:t>
      </w:r>
      <w:hyperlink r:id="rId15" w:history="1">
        <w:r>
          <w:rPr>
            <w:rStyle w:val="Hyperlink"/>
            <w:rFonts w:ascii="Times New Roman" w:hAnsi="Times New Roman"/>
          </w:rPr>
          <w:t>http://cordis.europa.eu/project/rcn/111189_en.html</w:t>
        </w:r>
      </w:hyperlink>
      <w:r>
        <w:rPr>
          <w:rFonts w:ascii="Times New Roman" w:hAnsi="Times New Roman" w:cs="Times New Roman"/>
          <w:u w:val="single"/>
        </w:rPr>
        <w:t>)</w:t>
      </w:r>
      <w:r>
        <w:rPr>
          <w:rFonts w:ascii="Times New Roman" w:hAnsi="Times New Roman" w:cs="Times New Roman"/>
        </w:rPr>
        <w:t xml:space="preserve">, </w:t>
      </w:r>
    </w:p>
    <w:p w:rsidR="006D67E1" w:rsidRDefault="00274BA9">
      <w:pPr>
        <w:pStyle w:val="FootnoteText"/>
      </w:pPr>
      <w:hyperlink r:id="rId16" w:history="1">
        <w:r>
          <w:rPr>
            <w:rStyle w:val="Hyperlink"/>
            <w:rFonts w:ascii="Times New Roman" w:hAnsi="Times New Roman"/>
          </w:rPr>
          <w:t>Prolarix</w:t>
        </w:r>
      </w:hyperlink>
      <w:r>
        <w:rPr>
          <w:rFonts w:ascii="Times New Roman" w:hAnsi="Times New Roman" w:cs="Times New Roman"/>
        </w:rPr>
        <w:t xml:space="preserve"> (http://cordis.europa.eu/project/rcn/110948_en.html).</w:t>
      </w:r>
    </w:p>
  </w:footnote>
  <w:footnote w:id="56">
    <w:p w:rsidR="006D67E1" w:rsidRDefault="00274BA9">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sz w:val="18"/>
            <w:szCs w:val="18"/>
          </w:rPr>
          <w:t>http://www.consilium.europa.eu/register/en/content/out/?&amp;typ=ENTRY&amp;i=ADV&amp;</w:t>
        </w:r>
        <w:r>
          <w:rPr>
            <w:rStyle w:val="Hyperlink"/>
            <w:rFonts w:ascii="Times New Roman" w:hAnsi="Times New Roman"/>
            <w:sz w:val="18"/>
            <w:szCs w:val="18"/>
          </w:rPr>
          <w:t>DOC_ID=ST-10041-2016-ADD-1</w:t>
        </w:r>
      </w:hyperlink>
    </w:p>
  </w:footnote>
  <w:footnote w:id="57">
    <w:p w:rsidR="006D67E1" w:rsidRDefault="00274BA9">
      <w:pPr>
        <w:pStyle w:val="CM1"/>
        <w:spacing w:before="200" w:after="200"/>
        <w:rPr>
          <w:rFonts w:ascii="Times New Roman" w:hAnsi="Times New Roman"/>
          <w:sz w:val="20"/>
          <w:szCs w:val="20"/>
          <w:lang w:eastAsia="en-US"/>
        </w:rPr>
      </w:pPr>
      <w:r>
        <w:rPr>
          <w:rStyle w:val="FootnoteReference"/>
        </w:rPr>
        <w:footnoteRef/>
      </w:r>
      <w:r>
        <w:t xml:space="preserve"> </w:t>
      </w:r>
      <w:r>
        <w:rPr>
          <w:rFonts w:ascii="Times New Roman" w:hAnsi="Times New Roman"/>
          <w:sz w:val="20"/>
          <w:szCs w:val="20"/>
          <w:lang w:eastAsia="en-US"/>
        </w:rPr>
        <w:t>Regulation (EU) No 1306/2013 of the European Parliament and of the Council of 17 December 2013  on the financing, management and monitoring of the common agricultural policy and repealing Council Regulations (EEC) No 352/78, (E</w:t>
      </w:r>
      <w:r>
        <w:rPr>
          <w:rFonts w:ascii="Times New Roman" w:hAnsi="Times New Roman"/>
          <w:sz w:val="20"/>
          <w:szCs w:val="20"/>
          <w:lang w:eastAsia="en-US"/>
        </w:rPr>
        <w:t>C) No 165/94, (EC) No 2799/98, (EC) No 814/2000, (EC) No 1290/2005 and (EC) No 485/2008, OJ L 347/549; 20.12.2010, p.59</w:t>
      </w:r>
    </w:p>
    <w:p w:rsidR="006D67E1" w:rsidRDefault="006D67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8F" w:rsidRDefault="00210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6D67E1" w:rsidP="00210B8F">
    <w:pPr>
      <w:pStyle w:val="HeaderCoverPage"/>
      <w:numPr>
        <w:ilvl w:val="0"/>
        <w:numId w:val="0"/>
      </w:numPr>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8F" w:rsidRDefault="00210B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6D67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6D67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E1" w:rsidRDefault="006D6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F71"/>
    <w:multiLevelType w:val="multilevel"/>
    <w:tmpl w:val="C22CA53C"/>
    <w:lvl w:ilvl="0">
      <w:start w:val="1"/>
      <w:numFmt w:val="decimal"/>
      <w:pStyle w:val="HeaderCoverPage"/>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D1DB7B51A844A77AEBF662F989E2B77"/>
    <w:docVar w:name="LW_CROSSREFERENCE" w:val="&lt;UNUSED&gt;"/>
    <w:docVar w:name="LW_DocType" w:val="NORMAL"/>
    <w:docVar w:name="LW_EMISSION" w:val="10.10.2017"/>
    <w:docVar w:name="LW_EMISSION_ISODATE" w:val="2017-10-1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87"/>
    <w:docVar w:name="LW_REF.INTERNE" w:val="&lt;UNUSED&gt;"/>
    <w:docVar w:name="LW_SOUS.TITRE.OBJ.CP" w:val="&lt;UNUSED&gt;"/>
    <w:docVar w:name="LW_SUPERTITRE" w:val="&lt;UNUSED&gt;"/>
    <w:docVar w:name="LW_TITRE.OBJ.CP" w:val="On Member State National Action Plans and on progress in the implementation of Directive 2009/128/EC on the sustainable use of pesticides"/>
    <w:docVar w:name="LW_TYPE.DOC.CP" w:val="REPORT FROM THE COMMISSION TO THE EUROPEAN PARLIAMENT AND THE COUNCIL"/>
  </w:docVars>
  <w:rsids>
    <w:rsidRoot w:val="006D67E1"/>
    <w:rsid w:val="00210B8F"/>
    <w:rsid w:val="00274BA9"/>
    <w:rsid w:val="006D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lang w:eastAsia="en-GB"/>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lang w:eastAsia="en-GB"/>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so.org/standard/56721.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food/plant/pesticides/sustainable_use_pesticides_en" TargetMode="External"/><Relationship Id="rId20" Type="http://schemas.openxmlformats.org/officeDocument/2006/relationships/image" Target="cid:image002.png@01D2F66F.1F5AC1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ndure-network.eu/endure" TargetMode="External"/><Relationship Id="rId13" Type="http://schemas.openxmlformats.org/officeDocument/2006/relationships/hyperlink" Target="http://cordis.europa.eu/project/rcn/101750_en.html" TargetMode="External"/><Relationship Id="rId3" Type="http://schemas.openxmlformats.org/officeDocument/2006/relationships/hyperlink" Target="http://ec.europa.eu/food/audits-analysis/overview_reports/details.cfm?rep_id=79" TargetMode="External"/><Relationship Id="rId7" Type="http://schemas.openxmlformats.org/officeDocument/2006/relationships/hyperlink" Target="https://www.eea.europa.eu/publications/european-waters-assessment-2012" TargetMode="External"/><Relationship Id="rId12" Type="http://schemas.openxmlformats.org/officeDocument/2006/relationships/hyperlink" Target="http://cordis.europa.eu/project/rcn/98869_en.html" TargetMode="External"/><Relationship Id="rId17" Type="http://schemas.openxmlformats.org/officeDocument/2006/relationships/hyperlink" Target="http://www.consilium.europa.eu/register/en/content/out/?&amp;typ=ENTRY&amp;i=ADV&amp;DOC_ID=ST-10041-2016-ADD-1" TargetMode="External"/><Relationship Id="rId2" Type="http://schemas.openxmlformats.org/officeDocument/2006/relationships/hyperlink" Target="http://ec.europa.eu/food/plant/pesticides/eu-pesticides-database/public/?event=homepage&amp;language=EN" TargetMode="External"/><Relationship Id="rId16" Type="http://schemas.openxmlformats.org/officeDocument/2006/relationships/hyperlink" Target="http://cordis.europa.eu/project/rcn/110948_en.html" TargetMode="External"/><Relationship Id="rId1" Type="http://schemas.openxmlformats.org/officeDocument/2006/relationships/hyperlink" Target="http://ec.europa.eu/europeaid/file/50450/download_en?token=KLkUmH5y" TargetMode="External"/><Relationship Id="rId6" Type="http://schemas.openxmlformats.org/officeDocument/2006/relationships/hyperlink" Target="https://ec.europa.eu/food/safety/btsf_en" TargetMode="External"/><Relationship Id="rId11" Type="http://schemas.openxmlformats.org/officeDocument/2006/relationships/hyperlink" Target="http://cordis.europa.eu/project/rcn/98869_en.html" TargetMode="External"/><Relationship Id="rId5" Type="http://schemas.openxmlformats.org/officeDocument/2006/relationships/hyperlink" Target="http://ec.europa.eu/eurostat/statistics-explained/index.php/Farm_structure_survey_2013_-_main_results" TargetMode="External"/><Relationship Id="rId15" Type="http://schemas.openxmlformats.org/officeDocument/2006/relationships/hyperlink" Target="http://cordis.europa.eu/project/rcn/111189_en.html" TargetMode="External"/><Relationship Id="rId10" Type="http://schemas.openxmlformats.org/officeDocument/2006/relationships/hyperlink" Target="http://cordis.europa.eu/project/rcn/94701_en.html" TargetMode="External"/><Relationship Id="rId4" Type="http://schemas.openxmlformats.org/officeDocument/2006/relationships/hyperlink" Target="https://ec.europa.eu/food/plant/pesticides/sustainable_use_pesticides_en" TargetMode="External"/><Relationship Id="rId9" Type="http://schemas.openxmlformats.org/officeDocument/2006/relationships/hyperlink" Target="http://c-ipm.org/" TargetMode="External"/><Relationship Id="rId14" Type="http://schemas.openxmlformats.org/officeDocument/2006/relationships/hyperlink" Target="http://cordis.europa.eu/project/rcn/101750_en.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Sheet1!$B$13</c:f>
              <c:strCache>
                <c:ptCount val="1"/>
                <c:pt idx="0">
                  <c:v>Micro-organisms </c:v>
                </c:pt>
              </c:strCache>
            </c:strRef>
          </c:tx>
          <c:invertIfNegative val="0"/>
          <c:cat>
            <c:numRef>
              <c:f>Sheet1!$A$15:$A$24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Sheet1!$B$15:$B$24</c:f>
              <c:numCache>
                <c:formatCode>General</c:formatCode>
                <c:ptCount val="10"/>
                <c:pt idx="0">
                  <c:v>8</c:v>
                </c:pt>
                <c:pt idx="1">
                  <c:v>25</c:v>
                </c:pt>
                <c:pt idx="2">
                  <c:v>25</c:v>
                </c:pt>
                <c:pt idx="3">
                  <c:v>25</c:v>
                </c:pt>
                <c:pt idx="4">
                  <c:v>25</c:v>
                </c:pt>
                <c:pt idx="5">
                  <c:v>34</c:v>
                </c:pt>
                <c:pt idx="6">
                  <c:v>37</c:v>
                </c:pt>
                <c:pt idx="7">
                  <c:v>39</c:v>
                </c:pt>
                <c:pt idx="8">
                  <c:v>40</c:v>
                </c:pt>
                <c:pt idx="9">
                  <c:v>41</c:v>
                </c:pt>
              </c:numCache>
            </c:numRef>
          </c:val>
        </c:ser>
        <c:ser>
          <c:idx val="1"/>
          <c:order val="1"/>
          <c:tx>
            <c:strRef>
              <c:f>Sheet1!$C$13</c:f>
              <c:strCache>
                <c:ptCount val="1"/>
                <c:pt idx="0">
                  <c:v>Plant-extracts</c:v>
                </c:pt>
              </c:strCache>
            </c:strRef>
          </c:tx>
          <c:invertIfNegative val="0"/>
          <c:cat>
            <c:numRef>
              <c:f>Sheet1!$A$15:$A$24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Sheet1!$C$15:$C$24</c:f>
              <c:numCache>
                <c:formatCode>General</c:formatCode>
                <c:ptCount val="10"/>
                <c:pt idx="0">
                  <c:v>2</c:v>
                </c:pt>
                <c:pt idx="1">
                  <c:v>12</c:v>
                </c:pt>
                <c:pt idx="2">
                  <c:v>14</c:v>
                </c:pt>
                <c:pt idx="3">
                  <c:v>16</c:v>
                </c:pt>
                <c:pt idx="4">
                  <c:v>17</c:v>
                </c:pt>
                <c:pt idx="5">
                  <c:v>20</c:v>
                </c:pt>
                <c:pt idx="6">
                  <c:v>21</c:v>
                </c:pt>
                <c:pt idx="7">
                  <c:v>19</c:v>
                </c:pt>
                <c:pt idx="8">
                  <c:v>19</c:v>
                </c:pt>
                <c:pt idx="9">
                  <c:v>19</c:v>
                </c:pt>
              </c:numCache>
            </c:numRef>
          </c:val>
        </c:ser>
        <c:ser>
          <c:idx val="2"/>
          <c:order val="2"/>
          <c:tx>
            <c:strRef>
              <c:f>Sheet1!$D$13</c:f>
              <c:strCache>
                <c:ptCount val="1"/>
                <c:pt idx="0">
                  <c:v>Others ( semiochemicals, salts, fatty acids..)</c:v>
                </c:pt>
              </c:strCache>
            </c:strRef>
          </c:tx>
          <c:invertIfNegative val="0"/>
          <c:cat>
            <c:numRef>
              <c:f>Sheet1!$A$15:$A$24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Sheet1!$D$15:$D$24</c:f>
              <c:numCache>
                <c:formatCode>General</c:formatCode>
                <c:ptCount val="10"/>
                <c:pt idx="1">
                  <c:v>16</c:v>
                </c:pt>
                <c:pt idx="2">
                  <c:v>19</c:v>
                </c:pt>
                <c:pt idx="3">
                  <c:v>20</c:v>
                </c:pt>
                <c:pt idx="4">
                  <c:v>20</c:v>
                </c:pt>
                <c:pt idx="5">
                  <c:v>20</c:v>
                </c:pt>
                <c:pt idx="6">
                  <c:v>20</c:v>
                </c:pt>
                <c:pt idx="7">
                  <c:v>20</c:v>
                </c:pt>
                <c:pt idx="8">
                  <c:v>19</c:v>
                </c:pt>
                <c:pt idx="9">
                  <c:v>19</c:v>
                </c:pt>
              </c:numCache>
            </c:numRef>
          </c:val>
        </c:ser>
        <c:ser>
          <c:idx val="3"/>
          <c:order val="3"/>
          <c:tx>
            <c:strRef>
              <c:f>Sheet1!$E$13</c:f>
              <c:strCache>
                <c:ptCount val="1"/>
                <c:pt idx="0">
                  <c:v>Basic</c:v>
                </c:pt>
              </c:strCache>
            </c:strRef>
          </c:tx>
          <c:invertIfNegative val="0"/>
          <c:cat>
            <c:numRef>
              <c:f>Sheet1!$A$15:$A$24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Sheet1!$E$15:$E$24</c:f>
              <c:numCache>
                <c:formatCode>General</c:formatCode>
                <c:ptCount val="10"/>
                <c:pt idx="7">
                  <c:v>9</c:v>
                </c:pt>
                <c:pt idx="8">
                  <c:v>12</c:v>
                </c:pt>
                <c:pt idx="9">
                  <c:v>15</c:v>
                </c:pt>
              </c:numCache>
            </c:numRef>
          </c:val>
        </c:ser>
        <c:ser>
          <c:idx val="4"/>
          <c:order val="4"/>
          <c:tx>
            <c:strRef>
              <c:f>Sheet1!$F$13</c:f>
              <c:strCache>
                <c:ptCount val="1"/>
                <c:pt idx="0">
                  <c:v>Low risk </c:v>
                </c:pt>
              </c:strCache>
            </c:strRef>
          </c:tx>
          <c:invertIfNegative val="0"/>
          <c:cat>
            <c:numRef>
              <c:f>Sheet1!$A$15:$A$24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Sheet1!$F$15:$F$24</c:f>
              <c:numCache>
                <c:formatCode>General</c:formatCode>
                <c:ptCount val="10"/>
                <c:pt idx="7">
                  <c:v>3</c:v>
                </c:pt>
                <c:pt idx="8">
                  <c:v>7</c:v>
                </c:pt>
                <c:pt idx="9">
                  <c:v>10</c:v>
                </c:pt>
              </c:numCache>
            </c:numRef>
          </c:val>
        </c:ser>
        <c:dLbls>
          <c:showLegendKey val="0"/>
          <c:showVal val="0"/>
          <c:showCatName val="0"/>
          <c:showSerName val="0"/>
          <c:showPercent val="0"/>
          <c:showBubbleSize val="0"/>
        </c:dLbls>
        <c:gapWidth val="150"/>
        <c:overlap val="100"/>
        <c:axId val="383031552"/>
        <c:axId val="502707328"/>
      </c:barChart>
      <c:catAx>
        <c:axId val="383031552"/>
        <c:scaling>
          <c:orientation val="minMax"/>
        </c:scaling>
        <c:delete val="0"/>
        <c:axPos val="b"/>
        <c:numFmt formatCode="General" sourceLinked="1"/>
        <c:majorTickMark val="out"/>
        <c:minorTickMark val="none"/>
        <c:tickLblPos val="nextTo"/>
        <c:crossAx val="502707328"/>
        <c:crosses val="autoZero"/>
        <c:auto val="1"/>
        <c:lblAlgn val="ctr"/>
        <c:lblOffset val="100"/>
        <c:noMultiLvlLbl val="0"/>
      </c:catAx>
      <c:valAx>
        <c:axId val="502707328"/>
        <c:scaling>
          <c:orientation val="minMax"/>
        </c:scaling>
        <c:delete val="0"/>
        <c:axPos val="l"/>
        <c:majorGridlines/>
        <c:numFmt formatCode="General" sourceLinked="1"/>
        <c:majorTickMark val="out"/>
        <c:minorTickMark val="none"/>
        <c:tickLblPos val="nextTo"/>
        <c:crossAx val="38303155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B937-BB9B-40FF-919B-0BBDF2E9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SANTE/11319/2017-EN CIS</vt:lpstr>
    </vt:vector>
  </TitlesOfParts>
  <Manager/>
  <Company/>
  <LinksUpToDate>false</LinksUpToDate>
  <CharactersWithSpaces>47674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
  <cp:keywords>11319</cp:keywords>
  <dc:description>OUTLOOK - 28.7.2017    
no layout, no time - just general check</dc:description>
  <cp:lastModifiedBy>LAGES CARVALHO Patrick (SG)</cp:lastModifiedBy>
  <cp:revision>17</cp:revision>
  <cp:lastPrinted>2017-09-21T11:18:00Z</cp:lastPrinted>
  <dcterms:created xsi:type="dcterms:W3CDTF">2017-09-27T14:38:00Z</dcterms:created>
  <dcterms:modified xsi:type="dcterms:W3CDTF">2017-10-02T12:05:00Z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