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12F" w:rsidRDefault="001B50F5">
      <w:pPr>
        <w:pStyle w:val="Pagedecouverture"/>
        <w:rPr>
          <w:noProof/>
        </w:rPr>
      </w:pPr>
      <w:bookmarkStart w:id="0" w:name="LW_BM_COVERPAGE"/>
      <w:bookmarkStart w:id="1" w:name="_Toc42732914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35A0DAD049542BAA11C83FD2B139AD7" style="width:450pt;height:321pt">
            <v:imagedata r:id="rId9" o:title=""/>
          </v:shape>
        </w:pict>
      </w:r>
    </w:p>
    <w:bookmarkEnd w:id="0"/>
    <w:p w:rsidR="0082212F" w:rsidRDefault="0082212F">
      <w:pPr>
        <w:rPr>
          <w:noProof/>
        </w:rPr>
        <w:sectPr w:rsidR="0082212F">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82212F" w:rsidRDefault="001B50F5">
      <w:pPr>
        <w:keepNext/>
        <w:numPr>
          <w:ilvl w:val="0"/>
          <w:numId w:val="1"/>
        </w:numPr>
        <w:spacing w:before="360" w:after="120" w:line="240" w:lineRule="auto"/>
        <w:jc w:val="both"/>
        <w:outlineLvl w:val="0"/>
        <w:rPr>
          <w:rFonts w:ascii="Times New Roman" w:eastAsia="Times New Roman" w:hAnsi="Times New Roman" w:cs="Times New Roman"/>
          <w:b/>
          <w:bCs/>
          <w:caps/>
          <w:smallCaps/>
          <w:noProof/>
          <w:sz w:val="24"/>
          <w:szCs w:val="24"/>
        </w:rPr>
      </w:pPr>
      <w:r>
        <w:rPr>
          <w:rFonts w:ascii="Times New Roman" w:hAnsi="Times New Roman"/>
          <w:b/>
          <w:caps/>
          <w:smallCaps/>
          <w:noProof/>
          <w:sz w:val="24"/>
        </w:rPr>
        <w:lastRenderedPageBreak/>
        <w:t>Въведение</w:t>
      </w:r>
      <w:bookmarkEnd w:id="1"/>
    </w:p>
    <w:p w:rsidR="0082212F" w:rsidRDefault="001B50F5">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Европейският съюз прилага най-строгата система за одобрение и контрол на пестициди в </w:t>
      </w:r>
      <w:r>
        <w:rPr>
          <w:rFonts w:ascii="Times New Roman" w:hAnsi="Times New Roman"/>
          <w:noProof/>
          <w:color w:val="000000"/>
          <w:sz w:val="24"/>
        </w:rPr>
        <w:t>света</w:t>
      </w:r>
      <w:r>
        <w:rPr>
          <w:rStyle w:val="FootnoteReference"/>
          <w:rFonts w:ascii="Times New Roman" w:hAnsi="Times New Roman"/>
          <w:noProof/>
          <w:color w:val="000000"/>
          <w:sz w:val="24"/>
        </w:rPr>
        <w:footnoteReference w:id="1"/>
      </w:r>
      <w:r>
        <w:rPr>
          <w:rFonts w:ascii="Times New Roman" w:hAnsi="Times New Roman"/>
          <w:noProof/>
          <w:color w:val="000000"/>
          <w:sz w:val="24"/>
        </w:rPr>
        <w:t>. Въпреки това в обществото се наблюдава силно желание за преминаване към устойчиво производство на храни и намаляване и дори забрана на употребата на пестициди. В този контекст и като елемент на съвременните системи за производство, устойчивото земе</w:t>
      </w:r>
      <w:r>
        <w:rPr>
          <w:rFonts w:ascii="Times New Roman" w:hAnsi="Times New Roman"/>
          <w:noProof/>
          <w:color w:val="000000"/>
          <w:sz w:val="24"/>
        </w:rPr>
        <w:t>делие е една от Целите на хилядолетието за развитие на ООН, а насърчаването на устойчивата употреба на пестициди е сред важните действия, които ЕС предприема в подкрепа на изпълнението на Програмата на ООН до 2030 г. за устойчиво развитие</w:t>
      </w:r>
      <w:r>
        <w:rPr>
          <w:rFonts w:ascii="Times New Roman" w:hAnsi="Times New Roman"/>
          <w:noProof/>
          <w:color w:val="000000"/>
          <w:sz w:val="24"/>
          <w:vertAlign w:val="superscript"/>
        </w:rPr>
        <w:footnoteReference w:id="2"/>
      </w:r>
      <w:r>
        <w:rPr>
          <w:rFonts w:ascii="Times New Roman" w:hAnsi="Times New Roman"/>
          <w:noProof/>
          <w:color w:val="000000"/>
          <w:sz w:val="24"/>
        </w:rPr>
        <w:t>.</w:t>
      </w:r>
    </w:p>
    <w:p w:rsidR="0082212F" w:rsidRDefault="0082212F">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Тематичната ст</w:t>
      </w:r>
      <w:r>
        <w:rPr>
          <w:rFonts w:ascii="Times New Roman" w:hAnsi="Times New Roman"/>
          <w:noProof/>
          <w:color w:val="000000"/>
          <w:sz w:val="24"/>
        </w:rPr>
        <w:t>ратегия за устойчива употреба на пестициди от 2006 г.</w:t>
      </w:r>
      <w:r>
        <w:rPr>
          <w:rFonts w:ascii="Times New Roman" w:hAnsi="Times New Roman"/>
          <w:noProof/>
          <w:color w:val="000000"/>
          <w:sz w:val="24"/>
          <w:vertAlign w:val="superscript"/>
        </w:rPr>
        <w:footnoteReference w:id="3"/>
      </w:r>
      <w:r>
        <w:rPr>
          <w:rFonts w:ascii="Times New Roman" w:hAnsi="Times New Roman"/>
          <w:noProof/>
          <w:color w:val="000000"/>
          <w:sz w:val="24"/>
        </w:rPr>
        <w:t xml:space="preserve"> доведе до приемането на нова законодателна уредба за одобряването и употреба на пестициди</w:t>
      </w:r>
      <w:r>
        <w:rPr>
          <w:rFonts w:ascii="Times New Roman" w:hAnsi="Times New Roman"/>
          <w:noProof/>
          <w:color w:val="000000"/>
          <w:sz w:val="24"/>
          <w:vertAlign w:val="superscript"/>
        </w:rPr>
        <w:footnoteReference w:id="4"/>
      </w:r>
      <w:r>
        <w:rPr>
          <w:rFonts w:ascii="Times New Roman" w:hAnsi="Times New Roman"/>
          <w:noProof/>
          <w:color w:val="000000"/>
          <w:sz w:val="24"/>
        </w:rPr>
        <w:t>. Тази рамка включва строги правила за одобряването на активни вещества от Европейската комисия и разрешаването</w:t>
      </w:r>
      <w:r>
        <w:rPr>
          <w:rFonts w:ascii="Times New Roman" w:hAnsi="Times New Roman"/>
          <w:noProof/>
          <w:color w:val="000000"/>
          <w:sz w:val="24"/>
        </w:rPr>
        <w:t xml:space="preserve"> на продукти за растителна защита от държавите членки, които, ако бъдат използвани съгласно разрешените условия за употреба, нямат установено вредно въздействие върху здравето на човека и на животните и неприемливи въздействия върху околната среда</w:t>
      </w:r>
      <w:r>
        <w:rPr>
          <w:rFonts w:ascii="Times New Roman" w:hAnsi="Times New Roman"/>
          <w:noProof/>
          <w:color w:val="000000"/>
          <w:sz w:val="24"/>
          <w:vertAlign w:val="superscript"/>
        </w:rPr>
        <w:footnoteReference w:id="5"/>
      </w:r>
      <w:r>
        <w:rPr>
          <w:rFonts w:ascii="Times New Roman" w:hAnsi="Times New Roman"/>
          <w:noProof/>
          <w:color w:val="000000"/>
          <w:sz w:val="24"/>
        </w:rPr>
        <w:t>. Тази с</w:t>
      </w:r>
      <w:r>
        <w:rPr>
          <w:rFonts w:ascii="Times New Roman" w:hAnsi="Times New Roman"/>
          <w:noProof/>
          <w:color w:val="000000"/>
          <w:sz w:val="24"/>
        </w:rPr>
        <w:t>трога система за пускане на пазара доведе до спад с близо 50 % на броя на одобрените активни вещества</w:t>
      </w:r>
      <w:r>
        <w:rPr>
          <w:rStyle w:val="FootnoteReference"/>
          <w:rFonts w:ascii="Times New Roman" w:hAnsi="Times New Roman"/>
          <w:noProof/>
          <w:color w:val="000000"/>
          <w:sz w:val="24"/>
        </w:rPr>
        <w:footnoteReference w:id="6"/>
      </w:r>
      <w:r>
        <w:rPr>
          <w:rFonts w:ascii="Times New Roman" w:hAnsi="Times New Roman"/>
          <w:noProof/>
          <w:color w:val="000000"/>
          <w:sz w:val="24"/>
        </w:rPr>
        <w:t>. Надзорът върху пускането на пазара и употребата на пестициди цели да гарантира, че разрешените пестициди се пускат на пазара и употребяват съгласно тези</w:t>
      </w:r>
      <w:r>
        <w:rPr>
          <w:rFonts w:ascii="Times New Roman" w:hAnsi="Times New Roman"/>
          <w:noProof/>
          <w:color w:val="000000"/>
          <w:sz w:val="24"/>
        </w:rPr>
        <w:t xml:space="preserve"> условия. Растенията, третирани с одобрени пестициди съгласно указанията на етикета на продуктите, могат да бъдат предлагани на пазара и консумирани като безопасни храни, съдържащи остатъчни вещества от пестициди в рамките на максимално допустимите граници</w:t>
      </w:r>
      <w:r>
        <w:rPr>
          <w:rFonts w:ascii="Times New Roman" w:hAnsi="Times New Roman"/>
          <w:noProof/>
          <w:color w:val="000000"/>
          <w:sz w:val="24"/>
        </w:rPr>
        <w:t xml:space="preserve"> на остатъчни вещества (МДГОВ)</w:t>
      </w:r>
      <w:r>
        <w:rPr>
          <w:rStyle w:val="FootnoteReference"/>
          <w:rFonts w:ascii="Times New Roman" w:hAnsi="Times New Roman"/>
          <w:noProof/>
          <w:color w:val="000000"/>
          <w:sz w:val="24"/>
        </w:rPr>
        <w:footnoteReference w:id="7"/>
      </w:r>
      <w:r>
        <w:rPr>
          <w:rFonts w:ascii="Times New Roman" w:hAnsi="Times New Roman"/>
          <w:noProof/>
          <w:color w:val="000000"/>
          <w:sz w:val="24"/>
        </w:rPr>
        <w:t>.</w:t>
      </w:r>
    </w:p>
    <w:p w:rsidR="0082212F" w:rsidRDefault="0082212F">
      <w:pPr>
        <w:tabs>
          <w:tab w:val="left" w:pos="1665"/>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Директива 2009/128/ЕО на Европейския парламент и на Съвета за устойчивата употреба на пестициди</w:t>
      </w:r>
      <w:r>
        <w:rPr>
          <w:rFonts w:ascii="Times New Roman" w:hAnsi="Times New Roman"/>
          <w:noProof/>
          <w:color w:val="000000"/>
          <w:sz w:val="24"/>
          <w:vertAlign w:val="superscript"/>
        </w:rPr>
        <w:footnoteReference w:id="8"/>
      </w:r>
      <w:r>
        <w:rPr>
          <w:rFonts w:ascii="Times New Roman" w:hAnsi="Times New Roman"/>
          <w:noProof/>
          <w:color w:val="000000"/>
          <w:sz w:val="24"/>
        </w:rPr>
        <w:t xml:space="preserve"> („Директивата“) от 21 октомври 2009 г., приета като част от тази стратегия, определя набор от действия за постигането на устойчива употреба на пестициди в ЕС чрез намаляване на рисковете и въздействията от употребата на пестициди върху човешкото здраве и </w:t>
      </w:r>
      <w:r>
        <w:rPr>
          <w:rFonts w:ascii="Times New Roman" w:hAnsi="Times New Roman"/>
          <w:noProof/>
          <w:color w:val="000000"/>
          <w:sz w:val="24"/>
        </w:rPr>
        <w:t>околната среда и насърчаване на прилагането на подхода на интегрирано управление на вредителите (ИУВ) и на алтернативни подходи или техники, като нехимични алтернативи на пестициди.</w:t>
      </w:r>
    </w:p>
    <w:p w:rsidR="0082212F" w:rsidRDefault="0082212F">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Държавите членки трябваше да приемат Национални планове за действие (НПД)</w:t>
      </w:r>
      <w:r>
        <w:rPr>
          <w:rFonts w:ascii="Times New Roman" w:hAnsi="Times New Roman"/>
          <w:noProof/>
          <w:color w:val="000000"/>
          <w:sz w:val="24"/>
        </w:rPr>
        <w:t xml:space="preserve">, за да приведат Директивата в изпълнение до месец ноември 2012 г. Тези планове следва да съдържат количествени цели, общи цели, мерки и срокове за намаляване на рисковете и въздействието на употребата на пестициди. Регламентът относно пускането на пазара </w:t>
      </w:r>
      <w:r>
        <w:rPr>
          <w:rFonts w:ascii="Times New Roman" w:hAnsi="Times New Roman"/>
          <w:noProof/>
          <w:color w:val="000000"/>
          <w:sz w:val="24"/>
        </w:rPr>
        <w:t>на продукти за растителна защита включва и редица свързани с Директивата разпоредби, включително за улесняване на бързото одобряване на вещества с нисък риск и употребата на тези продукти съгласно принципите на ИУВ.</w:t>
      </w:r>
    </w:p>
    <w:p w:rsidR="0082212F" w:rsidRDefault="0082212F">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Директивата определя конкретни мерки, к</w:t>
      </w:r>
      <w:r>
        <w:rPr>
          <w:rFonts w:ascii="Times New Roman" w:hAnsi="Times New Roman"/>
          <w:noProof/>
          <w:color w:val="000000"/>
          <w:sz w:val="24"/>
        </w:rPr>
        <w:t>оито държавите членки трябва да включат в своите планове като гаранция за добро изпълнение. Основните действия са свързани с обучение на потребителите, консултантите и дистрибуторите, проверки на оборудването за прилагане на пестициди, забрана на въздушнот</w:t>
      </w:r>
      <w:r>
        <w:rPr>
          <w:rFonts w:ascii="Times New Roman" w:hAnsi="Times New Roman"/>
          <w:noProof/>
          <w:color w:val="000000"/>
          <w:sz w:val="24"/>
        </w:rPr>
        <w:t>о пръскане, ограничаване на употребата на пестициди в чувствителни зони и предоставяне на информация и повишаване на информираността относно рисковете от пестициди. Крайъгълен камък на Директивата е насърчаването на ИУВ, чиито принципи са формулирани в при</w:t>
      </w:r>
      <w:r>
        <w:rPr>
          <w:rFonts w:ascii="Times New Roman" w:hAnsi="Times New Roman"/>
          <w:noProof/>
          <w:color w:val="000000"/>
          <w:sz w:val="24"/>
        </w:rPr>
        <w:t>ложение III към Директивата. Всички горепосочени мерки бяха въведени поетапно в рамките на установените в Директивата срокове в периода от ноември 2011 до ноември 2016 г. От ноември 2016 г. (когато проверките на оборудването за прилагане на пестициди стана</w:t>
      </w:r>
      <w:r>
        <w:rPr>
          <w:rFonts w:ascii="Times New Roman" w:hAnsi="Times New Roman"/>
          <w:noProof/>
          <w:color w:val="000000"/>
          <w:sz w:val="24"/>
        </w:rPr>
        <w:t xml:space="preserve">ха задължителни) държавите членки са задължени да прилагат всички предвидени в Директивата мерки. </w:t>
      </w:r>
    </w:p>
    <w:p w:rsidR="0082212F" w:rsidRDefault="0082212F">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autoSpaceDE w:val="0"/>
        <w:autoSpaceDN w:val="0"/>
        <w:adjustRightInd w:val="0"/>
        <w:spacing w:after="0" w:line="240" w:lineRule="auto"/>
        <w:jc w:val="both"/>
        <w:rPr>
          <w:noProof/>
        </w:rPr>
      </w:pPr>
      <w:r>
        <w:rPr>
          <w:rFonts w:ascii="Times New Roman" w:hAnsi="Times New Roman"/>
          <w:noProof/>
          <w:color w:val="000000"/>
          <w:sz w:val="24"/>
        </w:rPr>
        <w:t>Комисията създаде работна група с държавите членки, която провежда редовни срещи за обсъждане на прилагането на Директивата и обмен на добри практики</w:t>
      </w:r>
      <w:r>
        <w:rPr>
          <w:noProof/>
        </w:rPr>
        <w:t xml:space="preserve">. </w:t>
      </w:r>
    </w:p>
    <w:p w:rsidR="0082212F" w:rsidRDefault="0082212F">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autoSpaceDE w:val="0"/>
        <w:autoSpaceDN w:val="0"/>
        <w:adjustRightInd w:val="0"/>
        <w:spacing w:after="0" w:line="240" w:lineRule="auto"/>
        <w:jc w:val="both"/>
        <w:rPr>
          <w:rFonts w:ascii="Times New Roman" w:eastAsia="Times New Roman" w:hAnsi="Times New Roman" w:cs="Times New Roman"/>
          <w:noProof/>
          <w:color w:val="FF0000"/>
          <w:sz w:val="24"/>
          <w:szCs w:val="24"/>
        </w:rPr>
      </w:pPr>
      <w:r>
        <w:rPr>
          <w:rFonts w:ascii="Times New Roman" w:hAnsi="Times New Roman"/>
          <w:noProof/>
          <w:color w:val="000000"/>
          <w:sz w:val="24"/>
        </w:rPr>
        <w:t>Нас</w:t>
      </w:r>
      <w:r>
        <w:rPr>
          <w:rFonts w:ascii="Times New Roman" w:hAnsi="Times New Roman"/>
          <w:noProof/>
          <w:color w:val="000000"/>
          <w:sz w:val="24"/>
        </w:rPr>
        <w:t>тоящият доклад е изготвен съгласно изискванията за докладване по реда на член 4, параграф 3 и член 16 от Директивата. Член 4, параграф 3 изисква от Комисията да предоставя на Европейския парламент и на Съвета доклади относно информацията, съобщена от държа</w:t>
      </w:r>
      <w:r>
        <w:rPr>
          <w:rFonts w:ascii="Times New Roman" w:hAnsi="Times New Roman"/>
          <w:noProof/>
          <w:color w:val="000000"/>
          <w:sz w:val="24"/>
        </w:rPr>
        <w:t>вите членки във връзка с националните планове за действие, а член 16 — да докладва за постигнатия напредък в прилагането на Директивата</w:t>
      </w:r>
      <w:r>
        <w:rPr>
          <w:rFonts w:ascii="Times New Roman" w:hAnsi="Times New Roman"/>
          <w:noProof/>
          <w:sz w:val="24"/>
        </w:rPr>
        <w:t>.</w:t>
      </w:r>
    </w:p>
    <w:p w:rsidR="0082212F" w:rsidRDefault="0082212F">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Настоящият доклад се базира на четири източника на информация:</w:t>
      </w:r>
    </w:p>
    <w:p w:rsidR="0082212F" w:rsidRDefault="001B50F5">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Оценка на Комисията на одобрените през 2015 г. Национал</w:t>
      </w:r>
      <w:r>
        <w:rPr>
          <w:rFonts w:ascii="Times New Roman" w:hAnsi="Times New Roman"/>
          <w:noProof/>
          <w:color w:val="000000"/>
          <w:sz w:val="24"/>
        </w:rPr>
        <w:t>ни планове за действие.</w:t>
      </w:r>
    </w:p>
    <w:p w:rsidR="0082212F" w:rsidRDefault="001B50F5">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Две серии одити на употребата на пестициди, проведени в периодите 2012—2014 г. и 2015—2016 г. — съответно на контрола на продуктите за растителна защита</w:t>
      </w:r>
      <w:r>
        <w:rPr>
          <w:noProof/>
          <w:vertAlign w:val="superscript"/>
        </w:rPr>
        <w:footnoteReference w:id="9"/>
      </w:r>
      <w:r>
        <w:rPr>
          <w:rFonts w:ascii="Times New Roman" w:hAnsi="Times New Roman"/>
          <w:noProof/>
          <w:color w:val="000000"/>
          <w:sz w:val="24"/>
        </w:rPr>
        <w:t xml:space="preserve"> и на пускането на пазара и употребата на пестициди</w:t>
      </w:r>
      <w:r>
        <w:rPr>
          <w:noProof/>
          <w:vertAlign w:val="superscript"/>
        </w:rPr>
        <w:footnoteReference w:id="10"/>
      </w:r>
      <w:r>
        <w:rPr>
          <w:rFonts w:ascii="Times New Roman" w:hAnsi="Times New Roman"/>
          <w:noProof/>
          <w:color w:val="000000"/>
          <w:sz w:val="24"/>
        </w:rPr>
        <w:t xml:space="preserve"> — и включващи някои аспект</w:t>
      </w:r>
      <w:r>
        <w:rPr>
          <w:rFonts w:ascii="Times New Roman" w:hAnsi="Times New Roman"/>
          <w:noProof/>
          <w:color w:val="000000"/>
          <w:sz w:val="24"/>
        </w:rPr>
        <w:t>и на прилагането на Директивата.</w:t>
      </w:r>
    </w:p>
    <w:p w:rsidR="0082212F" w:rsidRDefault="001B50F5">
      <w:pPr>
        <w:pStyle w:val="ListParagraph"/>
        <w:numPr>
          <w:ilvl w:val="0"/>
          <w:numId w:val="3"/>
        </w:numPr>
        <w:autoSpaceDE w:val="0"/>
        <w:autoSpaceDN w:val="0"/>
        <w:adjustRightInd w:val="0"/>
        <w:spacing w:after="0" w:line="240" w:lineRule="auto"/>
        <w:jc w:val="both"/>
        <w:rPr>
          <w:noProof/>
        </w:rPr>
      </w:pPr>
      <w:r>
        <w:rPr>
          <w:rFonts w:ascii="Times New Roman" w:hAnsi="Times New Roman"/>
          <w:noProof/>
          <w:color w:val="000000"/>
          <w:sz w:val="24"/>
        </w:rPr>
        <w:t>През 2016 г. до всички държави членки бяха изпратени проучване и въпросник</w:t>
      </w:r>
      <w:r>
        <w:rPr>
          <w:rStyle w:val="FootnoteReference"/>
          <w:rFonts w:ascii="Times New Roman" w:hAnsi="Times New Roman"/>
          <w:noProof/>
          <w:color w:val="000000"/>
          <w:sz w:val="24"/>
        </w:rPr>
        <w:footnoteReference w:id="11"/>
      </w:r>
      <w:r>
        <w:rPr>
          <w:rFonts w:ascii="Times New Roman" w:hAnsi="Times New Roman"/>
          <w:noProof/>
          <w:color w:val="000000"/>
          <w:sz w:val="24"/>
        </w:rPr>
        <w:t>, за да бъде получена актуализирана информация за напредъка в изпълнението на плановете за действие.</w:t>
      </w:r>
    </w:p>
    <w:p w:rsidR="0082212F" w:rsidRDefault="001B50F5">
      <w:pPr>
        <w:pStyle w:val="ListParagraph"/>
        <w:numPr>
          <w:ilvl w:val="0"/>
          <w:numId w:val="3"/>
        </w:numPr>
        <w:autoSpaceDE w:val="0"/>
        <w:autoSpaceDN w:val="0"/>
        <w:adjustRightInd w:val="0"/>
        <w:spacing w:after="0" w:line="240" w:lineRule="auto"/>
        <w:jc w:val="both"/>
        <w:rPr>
          <w:noProof/>
        </w:rPr>
      </w:pPr>
      <w:r>
        <w:rPr>
          <w:rFonts w:ascii="Times New Roman" w:hAnsi="Times New Roman"/>
          <w:noProof/>
          <w:color w:val="000000"/>
          <w:sz w:val="24"/>
        </w:rPr>
        <w:t>Проучвателни посещения в шест държави членки пр</w:t>
      </w:r>
      <w:r>
        <w:rPr>
          <w:rFonts w:ascii="Times New Roman" w:hAnsi="Times New Roman"/>
          <w:noProof/>
          <w:color w:val="000000"/>
          <w:sz w:val="24"/>
        </w:rPr>
        <w:t>ез 2017 г.</w:t>
      </w:r>
      <w:r>
        <w:rPr>
          <w:rStyle w:val="FootnoteReference"/>
          <w:rFonts w:ascii="Times New Roman" w:hAnsi="Times New Roman"/>
          <w:noProof/>
          <w:color w:val="000000"/>
          <w:sz w:val="24"/>
        </w:rPr>
        <w:footnoteReference w:id="12"/>
      </w:r>
      <w:r>
        <w:rPr>
          <w:rFonts w:ascii="Times New Roman" w:hAnsi="Times New Roman"/>
          <w:noProof/>
          <w:color w:val="000000"/>
          <w:sz w:val="24"/>
        </w:rPr>
        <w:t xml:space="preserve"> специално за проучване на цялостния напредък в прилагането на Директивата. Изборът на тези държави членки имаше за цел да осигури представителност на различни като профил държави членки и географски региони. Освен докладите за отделните мисии п</w:t>
      </w:r>
      <w:r>
        <w:rPr>
          <w:rFonts w:ascii="Times New Roman" w:hAnsi="Times New Roman"/>
          <w:noProof/>
          <w:color w:val="000000"/>
          <w:sz w:val="24"/>
        </w:rPr>
        <w:t>о-късно тази година ще бъдат публикувани и ключовите констатации от шестте мисии в рамките на обобщен доклад, който ще съдържа по-подробен анализ на резултатите от въпросниците, включително примери за посочени от държавите членки добри практики в прилагане</w:t>
      </w:r>
      <w:r>
        <w:rPr>
          <w:rFonts w:ascii="Times New Roman" w:hAnsi="Times New Roman"/>
          <w:noProof/>
          <w:color w:val="000000"/>
          <w:sz w:val="24"/>
        </w:rPr>
        <w:t xml:space="preserve">то на Директивата. </w:t>
      </w:r>
    </w:p>
    <w:p w:rsidR="0082212F" w:rsidRDefault="0082212F">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pStyle w:val="FootnoteText"/>
        <w:jc w:val="both"/>
        <w:rPr>
          <w:noProof/>
          <w:sz w:val="24"/>
          <w:szCs w:val="24"/>
        </w:rPr>
      </w:pPr>
      <w:r>
        <w:rPr>
          <w:rFonts w:ascii="Times New Roman" w:hAnsi="Times New Roman"/>
          <w:noProof/>
          <w:color w:val="000000"/>
          <w:sz w:val="24"/>
        </w:rPr>
        <w:t xml:space="preserve">Националните планове за действие, докладите на Комисията, включително одитните доклади и обобщаващите доклади, са публикувани на уебстраницата на Комисията за устойчивост на употребата на пестициди на адрес: </w:t>
      </w:r>
      <w:hyperlink r:id="rId16">
        <w:r>
          <w:rPr>
            <w:rStyle w:val="Hyperlink"/>
            <w:rFonts w:ascii="Times New Roman" w:hAnsi="Times New Roman"/>
            <w:noProof/>
            <w:sz w:val="24"/>
          </w:rPr>
          <w:t>https://ec.europa.eu/food/plant/pesticides/sustainable_use_pesticides_en</w:t>
        </w:r>
      </w:hyperlink>
    </w:p>
    <w:p w:rsidR="0082212F" w:rsidRDefault="001B50F5">
      <w:pPr>
        <w:keepNext/>
        <w:numPr>
          <w:ilvl w:val="0"/>
          <w:numId w:val="1"/>
        </w:numPr>
        <w:spacing w:before="360" w:after="120" w:line="240" w:lineRule="auto"/>
        <w:jc w:val="both"/>
        <w:outlineLvl w:val="0"/>
        <w:rPr>
          <w:rFonts w:ascii="Times New Roman" w:eastAsia="Times New Roman" w:hAnsi="Times New Roman" w:cs="Times New Roman"/>
          <w:b/>
          <w:bCs/>
          <w:caps/>
          <w:smallCaps/>
          <w:noProof/>
          <w:sz w:val="24"/>
          <w:szCs w:val="24"/>
        </w:rPr>
      </w:pPr>
      <w:bookmarkStart w:id="2" w:name="_Toc427329152"/>
      <w:r>
        <w:rPr>
          <w:rFonts w:ascii="Times New Roman" w:hAnsi="Times New Roman"/>
          <w:b/>
          <w:caps/>
          <w:smallCaps/>
          <w:noProof/>
          <w:sz w:val="24"/>
        </w:rPr>
        <w:t xml:space="preserve">Национални планове за действие </w:t>
      </w:r>
    </w:p>
    <w:p w:rsidR="0082212F" w:rsidRDefault="001B50F5">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Член 4 от Директивата изисква от държавите членки да приемат първите национални </w:t>
      </w:r>
      <w:r>
        <w:rPr>
          <w:rFonts w:ascii="Times New Roman" w:hAnsi="Times New Roman"/>
          <w:noProof/>
          <w:color w:val="000000"/>
          <w:sz w:val="24"/>
        </w:rPr>
        <w:t>планове за действие и да ги представят на Комисията и останалите държави членки до 26 ноември 2012 г. Тези планове следва да бъдат преразглеждани най-малко на всеки пет години. Те трябва да определят количествени цели, общи цели, мерки и срокове за намаляв</w:t>
      </w:r>
      <w:r>
        <w:rPr>
          <w:rFonts w:ascii="Times New Roman" w:hAnsi="Times New Roman"/>
          <w:noProof/>
          <w:color w:val="000000"/>
          <w:sz w:val="24"/>
        </w:rPr>
        <w:t>ане на рисковете и въздействието на употребата на пестициди върху здравето на хората и околната среда. Макар и със значително закъснение в редица случаи, такива планове бяха приети от всички държави членки</w:t>
      </w:r>
      <w:r>
        <w:rPr>
          <w:rStyle w:val="FootnoteReference"/>
          <w:rFonts w:ascii="Times New Roman" w:hAnsi="Times New Roman"/>
          <w:noProof/>
          <w:color w:val="000000"/>
          <w:sz w:val="24"/>
        </w:rPr>
        <w:footnoteReference w:id="13"/>
      </w:r>
      <w:r>
        <w:rPr>
          <w:rFonts w:ascii="Times New Roman" w:hAnsi="Times New Roman"/>
          <w:noProof/>
          <w:color w:val="000000"/>
          <w:sz w:val="24"/>
        </w:rPr>
        <w:t>. Те бяха представени на Комисията и са публикуван</w:t>
      </w:r>
      <w:r>
        <w:rPr>
          <w:rFonts w:ascii="Times New Roman" w:hAnsi="Times New Roman"/>
          <w:noProof/>
          <w:color w:val="000000"/>
          <w:sz w:val="24"/>
        </w:rPr>
        <w:t>и на уебстраницата ѝ на английски език</w:t>
      </w:r>
      <w:r>
        <w:rPr>
          <w:rFonts w:ascii="Times New Roman" w:hAnsi="Times New Roman"/>
          <w:noProof/>
          <w:color w:val="000000"/>
          <w:sz w:val="24"/>
          <w:vertAlign w:val="superscript"/>
        </w:rPr>
        <w:footnoteReference w:id="14"/>
      </w:r>
      <w:r>
        <w:rPr>
          <w:rFonts w:ascii="Times New Roman" w:hAnsi="Times New Roman"/>
          <w:noProof/>
          <w:color w:val="000000"/>
          <w:sz w:val="24"/>
        </w:rPr>
        <w:t>.</w:t>
      </w:r>
    </w:p>
    <w:p w:rsidR="0082212F" w:rsidRDefault="0082212F">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82212F">
        <w:tc>
          <w:tcPr>
            <w:tcW w:w="9072" w:type="dxa"/>
            <w:shd w:val="clear" w:color="auto" w:fill="C7C7C7" w:themeFill="background1" w:themeFillShade="D9"/>
          </w:tcPr>
          <w:p w:rsidR="0082212F" w:rsidRDefault="001B50F5">
            <w:pPr>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Въпреки че националните планове за действие са основата за контрола, който държавите членки осъществяват съгласно Директивата, по своя обхват и пълнота те са изключително нееднородни. За да преодолеят посочените по</w:t>
            </w:r>
            <w:r>
              <w:rPr>
                <w:rFonts w:ascii="Times New Roman" w:hAnsi="Times New Roman"/>
                <w:noProof/>
                <w:color w:val="000000"/>
                <w:sz w:val="24"/>
              </w:rPr>
              <w:t>-долу слабости и да формулират по-ясни и измерими цели, държавите членки трябва значително да подобрят своите планове.</w:t>
            </w:r>
          </w:p>
        </w:tc>
      </w:tr>
    </w:tbl>
    <w:p w:rsidR="0082212F" w:rsidRDefault="0082212F">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Разлики имаше и в изходното положение, с което всяка от държавите членки трябваше да се съобрази при разработването на своя НПД. Седем </w:t>
      </w:r>
      <w:r>
        <w:rPr>
          <w:rFonts w:ascii="Times New Roman" w:hAnsi="Times New Roman"/>
          <w:noProof/>
          <w:color w:val="000000"/>
          <w:sz w:val="24"/>
        </w:rPr>
        <w:t xml:space="preserve">държави членки имаха предходен опит в разработването на планове за действие, а за останалите това беше първият план. До момента единствено Франция и Литва са представили преразгледан НПД. Ще има по-голяма яснота относно степента на изпълнение на плановете </w:t>
      </w:r>
      <w:r>
        <w:rPr>
          <w:rFonts w:ascii="Times New Roman" w:hAnsi="Times New Roman"/>
          <w:noProof/>
          <w:color w:val="000000"/>
          <w:sz w:val="24"/>
        </w:rPr>
        <w:t>за действие, след като всички държави членки приключат текущите прегледи и ги докладват на Комисията.</w:t>
      </w:r>
    </w:p>
    <w:p w:rsidR="0082212F" w:rsidRDefault="0082212F">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Националните планове за действие са положителен резултат от усилията на държавите членки за тяхното разработване. Между тях обаче има значителни различия</w:t>
      </w:r>
      <w:r>
        <w:rPr>
          <w:rFonts w:ascii="Times New Roman" w:hAnsi="Times New Roman"/>
          <w:noProof/>
          <w:color w:val="000000"/>
          <w:sz w:val="24"/>
        </w:rPr>
        <w:t xml:space="preserve"> що се отнася до начините за изпълнение на предвидени в членове 5—15 от Директивата мерки. В повечето случая плановете за действие не обхващат всички аспекти на тези членове. Плановете разглеждат подробно някои области, например изпитването на оборудването</w:t>
      </w:r>
      <w:r>
        <w:rPr>
          <w:rFonts w:ascii="Times New Roman" w:hAnsi="Times New Roman"/>
          <w:noProof/>
          <w:color w:val="000000"/>
          <w:sz w:val="24"/>
        </w:rPr>
        <w:t xml:space="preserve"> за прилагане на пестициди и обучението на потребителите на пестициди, но голяма част от тях не са достатъчно изчерпателни в други области, например по отношение на въздушното пръскане, информирането на обществеността и събирането на информация за случаи н</w:t>
      </w:r>
      <w:r>
        <w:rPr>
          <w:rFonts w:ascii="Times New Roman" w:hAnsi="Times New Roman"/>
          <w:noProof/>
          <w:color w:val="000000"/>
          <w:sz w:val="24"/>
        </w:rPr>
        <w:t>а натравяне.</w:t>
      </w:r>
    </w:p>
    <w:p w:rsidR="0082212F" w:rsidRDefault="0082212F">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Националните планове за действие са непоследователни и при определянето на количествени цели, общи цели, мерки и срокове за различните области на действие. В някои области, например техническите изпитвания на оборудването за прилагане на пест</w:t>
      </w:r>
      <w:r>
        <w:rPr>
          <w:rFonts w:ascii="Times New Roman" w:hAnsi="Times New Roman"/>
          <w:noProof/>
          <w:color w:val="000000"/>
          <w:sz w:val="24"/>
        </w:rPr>
        <w:t>ициди, плановете са отлични и с малки изключения определят конкретни цели за постигането на пълно съответствие. От друга страна, повечето държави членки не са определили цели и срокове за изпълнението на мерки за защита от пестициди на водната околна среда</w:t>
      </w:r>
      <w:r>
        <w:rPr>
          <w:rFonts w:ascii="Times New Roman" w:hAnsi="Times New Roman"/>
          <w:noProof/>
          <w:color w:val="000000"/>
          <w:sz w:val="24"/>
        </w:rPr>
        <w:t>.</w:t>
      </w:r>
    </w:p>
    <w:p w:rsidR="0082212F" w:rsidRDefault="0082212F">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Освен това в около 80 % от случаите плановете за действие не уточняват начините за постигане и измерване на целите. Отсъствието на ясни и измерими цели затруднява оценката на напредъка в изпълнението и набелязването на области, в които са необходими доп</w:t>
      </w:r>
      <w:r>
        <w:rPr>
          <w:rFonts w:ascii="Times New Roman" w:hAnsi="Times New Roman"/>
          <w:noProof/>
          <w:color w:val="000000"/>
          <w:sz w:val="24"/>
        </w:rPr>
        <w:t>ълнителни действия.</w:t>
      </w:r>
    </w:p>
    <w:p w:rsidR="0082212F" w:rsidRDefault="0082212F">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Двадесет и една държави членки</w:t>
      </w:r>
      <w:r>
        <w:rPr>
          <w:rStyle w:val="FootnoteReference"/>
          <w:rFonts w:ascii="Times New Roman" w:hAnsi="Times New Roman"/>
          <w:noProof/>
          <w:color w:val="000000"/>
          <w:sz w:val="24"/>
        </w:rPr>
        <w:footnoteReference w:id="15"/>
      </w:r>
      <w:r>
        <w:rPr>
          <w:rFonts w:ascii="Times New Roman" w:hAnsi="Times New Roman"/>
          <w:noProof/>
          <w:color w:val="000000"/>
          <w:sz w:val="24"/>
        </w:rPr>
        <w:t xml:space="preserve"> докладваха цели за намаляване на риска, а 9</w:t>
      </w:r>
      <w:r>
        <w:rPr>
          <w:rStyle w:val="FootnoteReference"/>
          <w:rFonts w:ascii="Times New Roman" w:hAnsi="Times New Roman"/>
          <w:noProof/>
          <w:color w:val="000000"/>
          <w:sz w:val="24"/>
        </w:rPr>
        <w:footnoteReference w:id="16"/>
      </w:r>
      <w:r>
        <w:rPr>
          <w:rFonts w:ascii="Times New Roman" w:hAnsi="Times New Roman"/>
          <w:noProof/>
          <w:color w:val="000000"/>
          <w:sz w:val="24"/>
        </w:rPr>
        <w:t xml:space="preserve"> — за намаляване на употребата на пестициди. Само пет държави членки са определили измерими цели, от които четири</w:t>
      </w:r>
      <w:r>
        <w:rPr>
          <w:rStyle w:val="FootnoteReference"/>
          <w:rFonts w:ascii="Times New Roman" w:hAnsi="Times New Roman"/>
          <w:noProof/>
          <w:color w:val="000000"/>
          <w:sz w:val="24"/>
        </w:rPr>
        <w:footnoteReference w:id="17"/>
      </w:r>
      <w:r>
        <w:rPr>
          <w:rFonts w:ascii="Times New Roman" w:hAnsi="Times New Roman"/>
          <w:noProof/>
          <w:color w:val="000000"/>
          <w:sz w:val="24"/>
        </w:rPr>
        <w:t xml:space="preserve"> имат за цел намаляване на риска, а една</w:t>
      </w:r>
      <w:r>
        <w:rPr>
          <w:rStyle w:val="FootnoteReference"/>
          <w:rFonts w:ascii="Times New Roman" w:hAnsi="Times New Roman"/>
          <w:noProof/>
          <w:color w:val="000000"/>
          <w:sz w:val="24"/>
        </w:rPr>
        <w:footnoteReference w:id="18"/>
      </w:r>
      <w:r>
        <w:rPr>
          <w:rFonts w:ascii="Times New Roman" w:hAnsi="Times New Roman"/>
          <w:noProof/>
          <w:color w:val="000000"/>
          <w:sz w:val="24"/>
        </w:rPr>
        <w:t xml:space="preserve"> — н</w:t>
      </w:r>
      <w:r>
        <w:rPr>
          <w:rFonts w:ascii="Times New Roman" w:hAnsi="Times New Roman"/>
          <w:noProof/>
          <w:color w:val="000000"/>
          <w:sz w:val="24"/>
        </w:rPr>
        <w:t>амаляване на употребата. Основната цел на френския национален план за действие е намаляването на употребата на пестициди с 50 % до 2025 г., с първоначална цел за намаление с 25 % до 2020 г</w:t>
      </w:r>
      <w:r>
        <w:rPr>
          <w:rFonts w:ascii="Times New Roman" w:hAnsi="Times New Roman"/>
          <w:noProof/>
          <w:sz w:val="24"/>
        </w:rPr>
        <w:t>. Добри примери за определянето на цели за намаляване на риска се от</w:t>
      </w:r>
      <w:r>
        <w:rPr>
          <w:rFonts w:ascii="Times New Roman" w:hAnsi="Times New Roman"/>
          <w:noProof/>
          <w:sz w:val="24"/>
        </w:rPr>
        <w:t>криват в Германия, Нидерландия</w:t>
      </w:r>
      <w:r>
        <w:rPr>
          <w:rStyle w:val="FootnoteReference"/>
          <w:rFonts w:ascii="Times New Roman" w:hAnsi="Times New Roman"/>
          <w:noProof/>
          <w:sz w:val="24"/>
        </w:rPr>
        <w:footnoteReference w:id="19"/>
      </w:r>
      <w:r>
        <w:rPr>
          <w:rFonts w:ascii="Times New Roman" w:hAnsi="Times New Roman"/>
          <w:noProof/>
          <w:sz w:val="24"/>
        </w:rPr>
        <w:t>, Финландия и Дания, които са разработили показатели за намаляване на риска въз основа на класификация на пестицидите според степента им на опасност, при която тези с по-висок риск имат по-високо тегло.</w:t>
      </w:r>
    </w:p>
    <w:p w:rsidR="0082212F" w:rsidRDefault="0082212F">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Всички НПД включват н</w:t>
      </w:r>
      <w:r>
        <w:rPr>
          <w:rFonts w:ascii="Times New Roman" w:hAnsi="Times New Roman"/>
          <w:noProof/>
          <w:color w:val="000000"/>
          <w:sz w:val="24"/>
        </w:rPr>
        <w:t>якои мерки за насърчаване на ИБВ, и по-конкретно наличието на насоки за ИБВ, осигуряването на обучение или изграждането демонстрационни (образцови) земеделски стопанства. Плановете обаче не съдържат нито показатели за измерване на прилагането на принципите</w:t>
      </w:r>
      <w:r>
        <w:rPr>
          <w:rFonts w:ascii="Times New Roman" w:hAnsi="Times New Roman"/>
          <w:noProof/>
          <w:color w:val="000000"/>
          <w:sz w:val="24"/>
        </w:rPr>
        <w:t xml:space="preserve"> на ИУВ от земеделските стопани, нито цели или начини, които осигуряват тяхното прилагане. Интегрираното управление на вредители е крайъгълен камък на Директивата, а прилагането на принципите на ИУВ е предвиденото средство за понижаване на зависимостта от </w:t>
      </w:r>
      <w:r>
        <w:rPr>
          <w:rFonts w:ascii="Times New Roman" w:hAnsi="Times New Roman"/>
          <w:noProof/>
          <w:color w:val="000000"/>
          <w:sz w:val="24"/>
        </w:rPr>
        <w:t>употребата на пестициди в устойчивото земеделие, поради което липсата на ясни, измерими и изпълними стъпки е важна сфера на усъвършенстване в рамките на текущото преразглеждане на националните планове за действие от държавите членки.</w:t>
      </w:r>
    </w:p>
    <w:p w:rsidR="0082212F" w:rsidRDefault="001B50F5">
      <w:pPr>
        <w:keepNext/>
        <w:numPr>
          <w:ilvl w:val="0"/>
          <w:numId w:val="1"/>
        </w:numPr>
        <w:spacing w:before="360" w:after="120" w:line="240" w:lineRule="auto"/>
        <w:jc w:val="both"/>
        <w:outlineLvl w:val="0"/>
        <w:rPr>
          <w:rFonts w:ascii="Times New Roman" w:eastAsia="Times New Roman" w:hAnsi="Times New Roman" w:cs="Times New Roman"/>
          <w:b/>
          <w:bCs/>
          <w:caps/>
          <w:smallCaps/>
          <w:noProof/>
          <w:sz w:val="24"/>
          <w:szCs w:val="24"/>
        </w:rPr>
      </w:pPr>
      <w:r>
        <w:rPr>
          <w:rFonts w:ascii="Times New Roman" w:hAnsi="Times New Roman"/>
          <w:b/>
          <w:caps/>
          <w:smallCaps/>
          <w:noProof/>
          <w:sz w:val="24"/>
        </w:rPr>
        <w:t>Прилагане на Директива</w:t>
      </w:r>
      <w:r>
        <w:rPr>
          <w:rFonts w:ascii="Times New Roman" w:hAnsi="Times New Roman"/>
          <w:b/>
          <w:caps/>
          <w:smallCaps/>
          <w:noProof/>
          <w:sz w:val="24"/>
        </w:rPr>
        <w:t>та</w:t>
      </w:r>
    </w:p>
    <w:p w:rsidR="0082212F" w:rsidRDefault="001B50F5">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t>Обучение и сертифициране</w:t>
      </w:r>
    </w:p>
    <w:p w:rsidR="0082212F" w:rsidRDefault="001B50F5">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Член 5 от Директивата изисква от държавите членки да осигурят обучение и да установят системи за сертифициране на всички професионални потребители, дистрибутори и консултанти по употребата на пестициди. На следващо място член 6 </w:t>
      </w:r>
      <w:r>
        <w:rPr>
          <w:rFonts w:ascii="Times New Roman" w:hAnsi="Times New Roman"/>
          <w:noProof/>
          <w:color w:val="000000"/>
          <w:sz w:val="24"/>
        </w:rPr>
        <w:t>изисква от държавите членки да гарантират, че дистрибуторите разполагат в рамките на своя персонал с достатъчно служители, притежаващи посочения в член 5 сертификат. Държавите членки също така се задължават да ограничат продажбите на разрешени за професион</w:t>
      </w:r>
      <w:r>
        <w:rPr>
          <w:rFonts w:ascii="Times New Roman" w:hAnsi="Times New Roman"/>
          <w:noProof/>
          <w:color w:val="000000"/>
          <w:sz w:val="24"/>
        </w:rPr>
        <w:t>ална употреба пестициди до лица, притежаващи посочения в член 5 сертификат. На последно място член 6 гласи, че държавите членки изискват от дистрибуторите, продаващи пестициди на непрофесионални потребители, да осигурят обща информация относно рисковете за</w:t>
      </w:r>
      <w:r>
        <w:rPr>
          <w:rFonts w:ascii="Times New Roman" w:hAnsi="Times New Roman"/>
          <w:noProof/>
          <w:color w:val="000000"/>
          <w:sz w:val="24"/>
        </w:rPr>
        <w:t xml:space="preserve"> здравето на хората и околната среда, свързани с употребата на пестициди.</w:t>
      </w:r>
    </w:p>
    <w:p w:rsidR="0082212F" w:rsidRDefault="0082212F">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ckThinSmallGap" w:sz="12" w:space="0" w:color="auto"/>
          <w:right w:val="thickThinSmallGap" w:sz="12" w:space="0" w:color="auto"/>
          <w:insideH w:val="none" w:sz="0" w:space="0" w:color="auto"/>
          <w:insideV w:val="none" w:sz="0" w:space="0" w:color="auto"/>
        </w:tblBorders>
        <w:tblLook w:val="04A0" w:firstRow="1" w:lastRow="0" w:firstColumn="1" w:lastColumn="0" w:noHBand="0" w:noVBand="1"/>
      </w:tblPr>
      <w:tblGrid>
        <w:gridCol w:w="9072"/>
      </w:tblGrid>
      <w:tr w:rsidR="0082212F">
        <w:tc>
          <w:tcPr>
            <w:tcW w:w="9072" w:type="dxa"/>
            <w:shd w:val="clear" w:color="auto" w:fill="C7C7C7" w:themeFill="background1" w:themeFillShade="D9"/>
          </w:tcPr>
          <w:p w:rsidR="0082212F" w:rsidRDefault="001B50F5">
            <w:pPr>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Като цяло съществува високо ниво на съответствие в сферата на обучението и сертифицирането на професионални потребители, дистрибутори и консултанти. Тъй като обаче липсват точни </w:t>
            </w:r>
            <w:r>
              <w:rPr>
                <w:rFonts w:ascii="Times New Roman" w:hAnsi="Times New Roman"/>
                <w:noProof/>
                <w:color w:val="000000"/>
                <w:sz w:val="24"/>
              </w:rPr>
              <w:t>данни за броя на професионалните оператори в тази област, не могат да се изключат случаи на непреминали обучение оператори.</w:t>
            </w:r>
          </w:p>
        </w:tc>
      </w:tr>
    </w:tbl>
    <w:p w:rsidR="0082212F" w:rsidRDefault="0082212F">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Двадесет и шест</w:t>
      </w:r>
      <w:r>
        <w:rPr>
          <w:rStyle w:val="FootnoteReference"/>
          <w:rFonts w:ascii="Times New Roman" w:hAnsi="Times New Roman"/>
          <w:noProof/>
          <w:color w:val="000000"/>
          <w:sz w:val="24"/>
        </w:rPr>
        <w:footnoteReference w:id="20"/>
      </w:r>
      <w:r>
        <w:rPr>
          <w:rFonts w:ascii="Times New Roman" w:hAnsi="Times New Roman"/>
          <w:noProof/>
          <w:color w:val="000000"/>
          <w:sz w:val="24"/>
        </w:rPr>
        <w:t xml:space="preserve"> национални плана за действие предвиждат предоставянето на обучение, но единадесет от тях не са достатъчно подробн</w:t>
      </w:r>
      <w:r>
        <w:rPr>
          <w:rFonts w:ascii="Times New Roman" w:hAnsi="Times New Roman"/>
          <w:noProof/>
          <w:color w:val="000000"/>
          <w:sz w:val="24"/>
        </w:rPr>
        <w:t>и</w:t>
      </w:r>
      <w:r>
        <w:rPr>
          <w:rStyle w:val="FootnoteReference"/>
          <w:rFonts w:ascii="Times New Roman" w:hAnsi="Times New Roman"/>
          <w:noProof/>
          <w:color w:val="000000"/>
          <w:sz w:val="24"/>
        </w:rPr>
        <w:footnoteReference w:id="21"/>
      </w:r>
      <w:r>
        <w:rPr>
          <w:noProof/>
        </w:rPr>
        <w:t>.</w:t>
      </w:r>
    </w:p>
    <w:p w:rsidR="0082212F" w:rsidRDefault="0082212F">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В рамките на своите одити в 19 държави членки в периода 2012—2014 г. и на проучвателните си посещения в шест държави членки през 2017 г. Комисията направи оценка на изпълнението на изискванията за обучение (5 държави членки бяха посетени и в двата слу</w:t>
      </w:r>
      <w:r>
        <w:rPr>
          <w:rFonts w:ascii="Times New Roman" w:hAnsi="Times New Roman"/>
          <w:noProof/>
          <w:color w:val="000000"/>
          <w:sz w:val="24"/>
        </w:rPr>
        <w:t xml:space="preserve">чая). Три от общо 20-те посетени държави членки разполагаха с изградени преди приемането на Директивата системи за обучение на земеделски стопани, които след нейното влизане в сила са разширени, за да обхванат и други групи, като например дистрибуторите. </w:t>
      </w:r>
    </w:p>
    <w:p w:rsidR="0082212F" w:rsidRDefault="0082212F">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До крайния срок — 26 ноември 2013 г., всички държави членки (с изключение на Люксембург) бяха установили системи за обучение и сертифициране, а в отговор на въпросника от 2016 г. докладваха, че са били обучени почти четири милиона професионални потребител</w:t>
      </w:r>
      <w:r>
        <w:rPr>
          <w:rFonts w:ascii="Times New Roman" w:hAnsi="Times New Roman"/>
          <w:noProof/>
          <w:color w:val="000000"/>
          <w:sz w:val="24"/>
        </w:rPr>
        <w:t>и. Шест държави членки отчетоха закъснения в обучението и сертифицирането</w:t>
      </w:r>
      <w:r>
        <w:rPr>
          <w:rStyle w:val="FootnoteReference"/>
          <w:rFonts w:ascii="Times New Roman" w:hAnsi="Times New Roman"/>
          <w:noProof/>
          <w:color w:val="000000"/>
          <w:sz w:val="24"/>
        </w:rPr>
        <w:footnoteReference w:id="22"/>
      </w:r>
      <w:r>
        <w:rPr>
          <w:rFonts w:ascii="Times New Roman" w:hAnsi="Times New Roman"/>
          <w:noProof/>
          <w:color w:val="000000"/>
          <w:sz w:val="24"/>
        </w:rPr>
        <w:t>, а три не предоставиха данни</w:t>
      </w:r>
      <w:r>
        <w:rPr>
          <w:rStyle w:val="FootnoteReference"/>
          <w:rFonts w:ascii="Times New Roman" w:hAnsi="Times New Roman"/>
          <w:noProof/>
          <w:color w:val="000000"/>
          <w:sz w:val="24"/>
        </w:rPr>
        <w:footnoteReference w:id="23"/>
      </w:r>
      <w:r>
        <w:rPr>
          <w:rFonts w:ascii="Times New Roman" w:hAnsi="Times New Roman"/>
          <w:noProof/>
          <w:color w:val="000000"/>
          <w:sz w:val="24"/>
        </w:rPr>
        <w:t>. Според изследване на структурата на земеделските стопанства</w:t>
      </w:r>
      <w:r>
        <w:rPr>
          <w:rStyle w:val="FootnoteReference"/>
          <w:rFonts w:ascii="Times New Roman" w:hAnsi="Times New Roman"/>
          <w:noProof/>
          <w:color w:val="000000"/>
          <w:sz w:val="24"/>
        </w:rPr>
        <w:footnoteReference w:id="24"/>
      </w:r>
      <w:r>
        <w:rPr>
          <w:rFonts w:ascii="Times New Roman" w:hAnsi="Times New Roman"/>
          <w:noProof/>
          <w:color w:val="000000"/>
          <w:sz w:val="24"/>
        </w:rPr>
        <w:t xml:space="preserve"> техният брой в Европа е почти 10 милиона, в това число 0,3 милиона големи оператори, обра</w:t>
      </w:r>
      <w:r>
        <w:rPr>
          <w:rFonts w:ascii="Times New Roman" w:hAnsi="Times New Roman"/>
          <w:noProof/>
          <w:color w:val="000000"/>
          <w:sz w:val="24"/>
        </w:rPr>
        <w:t>ботващи 50 % от общата обработваема земеделска площ. Курсовете за обучение са с обичайна продължителност от 2 до 4 дни в зависимост от вида на оператора и предишните познания на служителите, като обучените оператори получават сертификат, който се изисква з</w:t>
      </w:r>
      <w:r>
        <w:rPr>
          <w:rFonts w:ascii="Times New Roman" w:hAnsi="Times New Roman"/>
          <w:noProof/>
          <w:color w:val="000000"/>
          <w:sz w:val="24"/>
        </w:rPr>
        <w:t xml:space="preserve">а закупуването на пестициди за професионална употреба. </w:t>
      </w:r>
    </w:p>
    <w:p w:rsidR="0082212F" w:rsidRDefault="0082212F">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В шестте държави членки, посетени от Комисията през 2017 г., това изискване беше включено в обхвата на официалните проверки на земеделските стопанства от компетентните органи, като в пет от общо шест</w:t>
      </w:r>
      <w:r>
        <w:rPr>
          <w:rFonts w:ascii="Times New Roman" w:hAnsi="Times New Roman"/>
          <w:noProof/>
          <w:color w:val="000000"/>
          <w:sz w:val="24"/>
        </w:rPr>
        <w:t xml:space="preserve"> от тях нивото на съответствие беше над 95 %</w:t>
      </w:r>
      <w:r>
        <w:rPr>
          <w:rStyle w:val="FootnoteReference"/>
          <w:rFonts w:ascii="Times New Roman" w:hAnsi="Times New Roman"/>
          <w:noProof/>
          <w:color w:val="000000"/>
          <w:sz w:val="24"/>
        </w:rPr>
        <w:footnoteReference w:id="25"/>
      </w:r>
      <w:r>
        <w:rPr>
          <w:rFonts w:ascii="Times New Roman" w:hAnsi="Times New Roman"/>
          <w:noProof/>
          <w:color w:val="000000"/>
          <w:sz w:val="24"/>
        </w:rPr>
        <w:t>. Въз основа на отговорите на въпросника обаче беше установено, че в пет държави членки</w:t>
      </w:r>
      <w:r>
        <w:rPr>
          <w:rStyle w:val="FootnoteReference"/>
          <w:rFonts w:ascii="Times New Roman" w:hAnsi="Times New Roman"/>
          <w:noProof/>
          <w:color w:val="000000"/>
          <w:sz w:val="24"/>
        </w:rPr>
        <w:footnoteReference w:id="26"/>
      </w:r>
      <w:r>
        <w:rPr>
          <w:rFonts w:ascii="Times New Roman" w:hAnsi="Times New Roman"/>
          <w:noProof/>
          <w:color w:val="000000"/>
          <w:sz w:val="24"/>
        </w:rPr>
        <w:t xml:space="preserve"> консултантите по борба с вредителите не са включени в обхвата на системите за сертифициране. Освен това в Нидерландия не с</w:t>
      </w:r>
      <w:r>
        <w:rPr>
          <w:rFonts w:ascii="Times New Roman" w:hAnsi="Times New Roman"/>
          <w:noProof/>
          <w:color w:val="000000"/>
          <w:sz w:val="24"/>
        </w:rPr>
        <w:t xml:space="preserve">е изисква сертифициране за консултантите, които не се занимават пряко с продажбата на пестициди, но държавата планира да преразгледа националното си законодателство, за да го приведе в съответствие с Директивата. </w:t>
      </w:r>
    </w:p>
    <w:p w:rsidR="0082212F" w:rsidRDefault="0082212F">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Всички държави членки са наложили огранич</w:t>
      </w:r>
      <w:r>
        <w:rPr>
          <w:rFonts w:ascii="Times New Roman" w:hAnsi="Times New Roman"/>
          <w:noProof/>
          <w:color w:val="000000"/>
          <w:sz w:val="24"/>
        </w:rPr>
        <w:t>ения върху продажбата на пестициди на непрофесионални потребители като например лицата, отглеждащи дворни насаждения. В някои държави членки например пестицидите, предназначени за непрофесионални потребители, не са налични за свободна продажба, а в обектит</w:t>
      </w:r>
      <w:r>
        <w:rPr>
          <w:rFonts w:ascii="Times New Roman" w:hAnsi="Times New Roman"/>
          <w:noProof/>
          <w:color w:val="000000"/>
          <w:sz w:val="24"/>
        </w:rPr>
        <w:t>е за търговия на дребно трябва да бъдат съхранявани без пряк достъп на потребителите до тях.</w:t>
      </w:r>
    </w:p>
    <w:p w:rsidR="0082212F" w:rsidRDefault="0082212F">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През 2015 и 2016 г. Комисията организира дванадесет курса „По-добро обучение за по-безопасни храни“</w:t>
      </w:r>
      <w:r>
        <w:rPr>
          <w:rFonts w:ascii="Times New Roman" w:hAnsi="Times New Roman"/>
          <w:noProof/>
          <w:color w:val="000000"/>
          <w:sz w:val="24"/>
          <w:vertAlign w:val="superscript"/>
        </w:rPr>
        <w:footnoteReference w:id="27"/>
      </w:r>
      <w:r>
        <w:rPr>
          <w:rFonts w:ascii="Times New Roman" w:hAnsi="Times New Roman"/>
          <w:noProof/>
          <w:color w:val="000000"/>
          <w:sz w:val="24"/>
        </w:rPr>
        <w:t xml:space="preserve"> за експерти от държавите членки, които включваха няколко елем</w:t>
      </w:r>
      <w:r>
        <w:rPr>
          <w:rFonts w:ascii="Times New Roman" w:hAnsi="Times New Roman"/>
          <w:noProof/>
          <w:color w:val="000000"/>
          <w:sz w:val="24"/>
        </w:rPr>
        <w:t>ента на Директивата, в това число обучението на оператори. Курсът имаше за цел да осигури последователно и всестранно разбиране на начините за прилагане и да предостави възможност за обмен на най-добри практики.  В обученията взеха участие всички 28 държав</w:t>
      </w:r>
      <w:r>
        <w:rPr>
          <w:rFonts w:ascii="Times New Roman" w:hAnsi="Times New Roman"/>
          <w:noProof/>
          <w:color w:val="000000"/>
          <w:sz w:val="24"/>
        </w:rPr>
        <w:t>и членки, като бяха обучени 338 служители.</w:t>
      </w:r>
    </w:p>
    <w:p w:rsidR="0082212F" w:rsidRDefault="001B50F5">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t>Натравяне с пестициди</w:t>
      </w: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Член 7, параграф 2 от Директивата изисква държавите членки да въведат системи за събиране на информация относно случаите на остро натравяне с пестициди, както и на развитие на хронично </w:t>
      </w:r>
      <w:r>
        <w:rPr>
          <w:rFonts w:ascii="Times New Roman" w:hAnsi="Times New Roman"/>
          <w:noProof/>
          <w:color w:val="000000"/>
          <w:sz w:val="24"/>
        </w:rPr>
        <w:t>натравяне, ако има такива, сред групи, които могат да бъдат излагани редовно на пестициди, като например оператори, селскостопански работници или хора, които живеят в близост до зони, в които се използват пестициди.</w:t>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82212F">
        <w:tc>
          <w:tcPr>
            <w:tcW w:w="9072" w:type="dxa"/>
            <w:shd w:val="clear" w:color="auto" w:fill="C7C7C7" w:themeFill="background1" w:themeFillShade="D9"/>
          </w:tcPr>
          <w:p w:rsidR="0082212F" w:rsidRDefault="001B50F5">
            <w:pPr>
              <w:tabs>
                <w:tab w:val="left" w:pos="871"/>
              </w:tabs>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Въпреки че като цяло държавите членки р</w:t>
            </w:r>
            <w:r>
              <w:rPr>
                <w:rFonts w:ascii="Times New Roman" w:hAnsi="Times New Roman"/>
                <w:noProof/>
                <w:color w:val="000000"/>
                <w:sz w:val="24"/>
              </w:rPr>
              <w:t>азполагат със системи за събиране на информация относно случаи на остро натравяне с пестициди, точността на тези данни и тяхното използване бяха поставени под въпрос. Системите за събиране на информация относно случаи на хронично натравяне също не са широк</w:t>
            </w:r>
            <w:r>
              <w:rPr>
                <w:rFonts w:ascii="Times New Roman" w:hAnsi="Times New Roman"/>
                <w:noProof/>
                <w:color w:val="000000"/>
                <w:sz w:val="24"/>
              </w:rPr>
              <w:t>о разпространени.</w:t>
            </w:r>
          </w:p>
        </w:tc>
      </w:tr>
    </w:tbl>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Осемнадесет НПД съдържат описания на системите за събиране на информация относно случаите на остро натравяне с пестициди в съответните държави членки, но едва четири разглеждат събирането на данни относно случаи на хронично натравяне. О</w:t>
      </w:r>
      <w:r>
        <w:rPr>
          <w:rFonts w:ascii="Times New Roman" w:hAnsi="Times New Roman"/>
          <w:noProof/>
          <w:color w:val="000000"/>
          <w:sz w:val="24"/>
        </w:rPr>
        <w:t>станалите планове не съдържат специфични подробности в тази област.</w:t>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Този въпрос не беше разгледан при одитите на Комисията в 19 държави членки в периода 2012—2014 г. Наличната информация се базира на отговорите на въпросник, изпратен на държавите членки о</w:t>
      </w:r>
      <w:r>
        <w:rPr>
          <w:rFonts w:ascii="Times New Roman" w:hAnsi="Times New Roman"/>
          <w:noProof/>
          <w:color w:val="000000"/>
          <w:sz w:val="24"/>
        </w:rPr>
        <w:t>т Комисията през 2016 г., и на проведените през 2017 г. проучвателни посещения в шест държави членки.</w:t>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Според отговорите на въпросника от 2016 г. всички, с изключение на пет държави членки, събират специфична информация относно случаите на остро натравяне </w:t>
      </w:r>
      <w:r>
        <w:rPr>
          <w:rFonts w:ascii="Times New Roman" w:hAnsi="Times New Roman"/>
          <w:noProof/>
          <w:color w:val="000000"/>
          <w:sz w:val="24"/>
        </w:rPr>
        <w:t>с пестициди. Поради значителните разлики в броя на докладваните случаи на остро натравяне с пестициди в отделните държави членки, органите изразиха съмнение относно точността на данните. В Швеция например се регистрират броят на отправените запитвания, а н</w:t>
      </w:r>
      <w:r>
        <w:rPr>
          <w:rFonts w:ascii="Times New Roman" w:hAnsi="Times New Roman"/>
          <w:noProof/>
          <w:color w:val="000000"/>
          <w:sz w:val="24"/>
        </w:rPr>
        <w:t>е този на действителните случаи на натравяне. Десет държави членки</w:t>
      </w:r>
      <w:r>
        <w:rPr>
          <w:rStyle w:val="FootnoteReference"/>
          <w:rFonts w:ascii="Times New Roman" w:hAnsi="Times New Roman"/>
          <w:noProof/>
          <w:color w:val="000000"/>
          <w:sz w:val="24"/>
        </w:rPr>
        <w:footnoteReference w:id="28"/>
      </w:r>
      <w:r>
        <w:rPr>
          <w:rFonts w:ascii="Times New Roman" w:hAnsi="Times New Roman"/>
          <w:noProof/>
          <w:color w:val="000000"/>
          <w:sz w:val="24"/>
        </w:rPr>
        <w:t xml:space="preserve"> разполагат със специални системи за събиране на данни за хронични натравяния. В останалите 17 държави членки не се осъществява систематично наблюдение на случаите на хронично натравяне. Дъ</w:t>
      </w:r>
      <w:r>
        <w:rPr>
          <w:rFonts w:ascii="Times New Roman" w:hAnsi="Times New Roman"/>
          <w:noProof/>
          <w:color w:val="000000"/>
          <w:sz w:val="24"/>
        </w:rPr>
        <w:t>ржавите членки изтъкнаха, че събирането на данни за случаи на развитие на хронично натравяне е особено предизвикателство поради изключително трудното установяване на връзка между клиничните симптоми и излагането на пестициди, което може да е настъпило пред</w:t>
      </w:r>
      <w:r>
        <w:rPr>
          <w:rFonts w:ascii="Times New Roman" w:hAnsi="Times New Roman"/>
          <w:noProof/>
          <w:color w:val="000000"/>
          <w:sz w:val="24"/>
        </w:rPr>
        <w:t>и много години.</w:t>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За да се повиши сравнимостта на информацията, член 7, параграф 3 от Директивата изисква Комисията, в сътрудничество с държавите членки, да изготви стратегически документ с насоки относно наблюдението и проучванията на въздействието от упот</w:t>
      </w:r>
      <w:r>
        <w:rPr>
          <w:rFonts w:ascii="Times New Roman" w:hAnsi="Times New Roman"/>
          <w:noProof/>
          <w:color w:val="000000"/>
          <w:sz w:val="24"/>
        </w:rPr>
        <w:t>ребата на пестициди за здравето на хората и околната среда. Комисията планира да финализира тези насоки до края на 2017 г. Ще бъде обмислена и възможност за създаването на системи за събиране на информация относно случаите на предполагаеми отравяния с пест</w:t>
      </w:r>
      <w:r>
        <w:rPr>
          <w:rFonts w:ascii="Times New Roman" w:hAnsi="Times New Roman"/>
          <w:noProof/>
          <w:color w:val="000000"/>
          <w:sz w:val="24"/>
        </w:rPr>
        <w:t>ициди съгласно член 24, параграф 4, точка б) от Регламент (ЕС) 2017/625.</w:t>
      </w:r>
    </w:p>
    <w:p w:rsidR="0082212F" w:rsidRDefault="001B50F5">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t>Оборудване за прилагане на пестициди</w:t>
      </w: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Член 8 изисква държавите членки да гарантират, че използваното оборудване за прилагане на пестициди, например градински пръскачки, подлежи на редо</w:t>
      </w:r>
      <w:r>
        <w:rPr>
          <w:rFonts w:ascii="Times New Roman" w:hAnsi="Times New Roman"/>
          <w:noProof/>
          <w:color w:val="000000"/>
          <w:sz w:val="24"/>
        </w:rPr>
        <w:t>вни проверки, както и провеждането на най-малко една проверка на използваното оборудване до 26 ноември 2016 г. От държавите членки също така се изисква да установят системи за сертифициране, които дават възможност за  контрол на проверките.</w:t>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82212F">
        <w:tc>
          <w:tcPr>
            <w:tcW w:w="9072" w:type="dxa"/>
            <w:shd w:val="clear" w:color="auto" w:fill="C7C7C7" w:themeFill="background1" w:themeFillShade="D9"/>
          </w:tcPr>
          <w:p w:rsidR="0082212F" w:rsidRDefault="001B50F5">
            <w:pPr>
              <w:tabs>
                <w:tab w:val="left" w:pos="871"/>
              </w:tabs>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Въпреки че </w:t>
            </w:r>
            <w:r>
              <w:rPr>
                <w:rFonts w:ascii="Times New Roman" w:hAnsi="Times New Roman"/>
                <w:noProof/>
                <w:color w:val="000000"/>
                <w:sz w:val="24"/>
              </w:rPr>
              <w:t>като цяло държавите членки са въвели системи съгласно изискванията, общата картина по отношение на степента на съответствие остава непълна и се характеризира с големи различия между отделните държави членки. Понастоящем Комисията оценява развитието на ситу</w:t>
            </w:r>
            <w:r>
              <w:rPr>
                <w:rFonts w:ascii="Times New Roman" w:hAnsi="Times New Roman"/>
                <w:noProof/>
                <w:color w:val="000000"/>
                <w:sz w:val="24"/>
              </w:rPr>
              <w:t>ацията от месец ноември 2016 г.насам.</w:t>
            </w:r>
          </w:p>
        </w:tc>
      </w:tr>
    </w:tbl>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Двадесет и шест</w:t>
      </w:r>
      <w:r>
        <w:rPr>
          <w:rStyle w:val="FootnoteReference"/>
          <w:rFonts w:ascii="Times New Roman" w:hAnsi="Times New Roman"/>
          <w:noProof/>
          <w:color w:val="000000"/>
          <w:sz w:val="24"/>
        </w:rPr>
        <w:footnoteReference w:id="29"/>
      </w:r>
      <w:r>
        <w:rPr>
          <w:rFonts w:ascii="Times New Roman" w:hAnsi="Times New Roman"/>
          <w:noProof/>
          <w:color w:val="000000"/>
          <w:sz w:val="24"/>
        </w:rPr>
        <w:t xml:space="preserve"> НПД съдържат цел за технически проверки на оборудването за прилагане на пестици съгласно Директивата. В петнадесет плана се отбелязва, че програми за технически проверки на пръскачки под различни фор</w:t>
      </w:r>
      <w:r>
        <w:rPr>
          <w:rFonts w:ascii="Times New Roman" w:hAnsi="Times New Roman"/>
          <w:noProof/>
          <w:color w:val="000000"/>
          <w:sz w:val="24"/>
        </w:rPr>
        <w:t>ми са прилагани и преди приемането на Директивата.</w:t>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С цел да подпомогнат държавите членки в тази област и съгласно член 20 от Директивата, през 2015 г. беше публикуван нов хармонизиран стандарт EN ISO 16122 за проверка на оборудването за прилагане на пести</w:t>
      </w:r>
      <w:r>
        <w:rPr>
          <w:rFonts w:ascii="Times New Roman" w:hAnsi="Times New Roman"/>
          <w:noProof/>
          <w:color w:val="000000"/>
          <w:sz w:val="24"/>
        </w:rPr>
        <w:t>циди</w:t>
      </w:r>
      <w:r>
        <w:rPr>
          <w:rFonts w:ascii="Times New Roman" w:hAnsi="Times New Roman"/>
          <w:noProof/>
          <w:color w:val="000000"/>
          <w:sz w:val="24"/>
          <w:vertAlign w:val="superscript"/>
        </w:rPr>
        <w:footnoteReference w:id="30"/>
      </w:r>
      <w:hyperlink r:id="rId17"/>
      <w:r>
        <w:rPr>
          <w:rFonts w:ascii="Times New Roman" w:hAnsi="Times New Roman"/>
          <w:noProof/>
          <w:color w:val="000000"/>
          <w:sz w:val="24"/>
        </w:rPr>
        <w:t>. Стандартът се прилага за хоризонтални щангови пръскачки, пръскачки за храсти и дървета видове и стационарни и частично подвижни пръскачки. В него се посочват съществените изисквания за здрав</w:t>
      </w:r>
      <w:r>
        <w:rPr>
          <w:rFonts w:ascii="Times New Roman" w:hAnsi="Times New Roman"/>
          <w:noProof/>
          <w:color w:val="000000"/>
          <w:sz w:val="24"/>
        </w:rPr>
        <w:t>ословни и безопасни условия на труд и за околната среда, които влизат в обхвата на проверките. Този хармонизиран стандарт следва да улесни усилията на държавите членки за признаване на сертификатите, издадени в други държави членки, съгласно изискването по</w:t>
      </w:r>
      <w:r>
        <w:rPr>
          <w:rFonts w:ascii="Times New Roman" w:hAnsi="Times New Roman"/>
          <w:noProof/>
          <w:color w:val="000000"/>
          <w:sz w:val="24"/>
        </w:rPr>
        <w:t xml:space="preserve"> член 8, параграф 6 от Директивата. </w:t>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От въпросника от 2016 г. е видно, че двадесет и шест държави членки са установили системи за проверка, като до изтичането на крайния срок на 26 ноември 2016 г. през техническа проверка са преминали около 900 000 пръска</w:t>
      </w:r>
      <w:r>
        <w:rPr>
          <w:rFonts w:ascii="Times New Roman" w:hAnsi="Times New Roman"/>
          <w:noProof/>
          <w:color w:val="000000"/>
          <w:sz w:val="24"/>
        </w:rPr>
        <w:t>чки. Малта и Кипър са единствените страни, в които такива проверки все още не извършват. Държавите членки не разполагат с надеждни данни за общия брой пръскачки в употреба, но според собствените им оценки до 50 % от пръскачките в ЕС не са преминали през те</w:t>
      </w:r>
      <w:r>
        <w:rPr>
          <w:rFonts w:ascii="Times New Roman" w:hAnsi="Times New Roman"/>
          <w:noProof/>
          <w:color w:val="000000"/>
          <w:sz w:val="24"/>
        </w:rPr>
        <w:t>хническа проверка до изтичането на крайния срок, като в Латвия и Гърция предполагаемият брой на непреминалите техническа проверка пръскачки е над 95 %, а в Италия — 70 % от общия брой пръскачки.  Белгия, Нидерландия и Финландия докладваха почти стопроценто</w:t>
      </w:r>
      <w:r>
        <w:rPr>
          <w:rFonts w:ascii="Times New Roman" w:hAnsi="Times New Roman"/>
          <w:noProof/>
          <w:color w:val="000000"/>
          <w:sz w:val="24"/>
        </w:rPr>
        <w:t>во ниво на съответствие с изискването за извършване на технически проверки.</w:t>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През 2015 и 2016 г. Комисията организира шест обучения по теми, свързани с оборудването за прилагане на пестициди, по линия на инициативата „По-добро обучение за по-безопасни хран</w:t>
      </w:r>
      <w:r>
        <w:rPr>
          <w:rFonts w:ascii="Times New Roman" w:hAnsi="Times New Roman"/>
          <w:noProof/>
          <w:color w:val="000000"/>
          <w:sz w:val="24"/>
        </w:rPr>
        <w:t>и“, в които взеха участие 102 инспектори от 25 държави членки, като през 2017 и 2018 г. ще бъдат проведени още 6 обучения. Това ще допринесе за преодоляване на очертаната по-горе слабост и ще улесни уеднаквяването в по-висока степен на извършваните от държ</w:t>
      </w:r>
      <w:r>
        <w:rPr>
          <w:rFonts w:ascii="Times New Roman" w:hAnsi="Times New Roman"/>
          <w:noProof/>
          <w:color w:val="000000"/>
          <w:sz w:val="24"/>
        </w:rPr>
        <w:t>авите членки технически проверки.</w:t>
      </w:r>
    </w:p>
    <w:p w:rsidR="0082212F" w:rsidRDefault="001B50F5">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t>Въздушно пръскане</w:t>
      </w: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Член 9 от Директивата забранява въздушното пръскане на пестициди, освен по силата на дерогация.</w:t>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82212F">
        <w:tc>
          <w:tcPr>
            <w:tcW w:w="9072" w:type="dxa"/>
            <w:shd w:val="clear" w:color="auto" w:fill="C7C7C7" w:themeFill="background1" w:themeFillShade="D9"/>
          </w:tcPr>
          <w:p w:rsidR="0082212F" w:rsidRDefault="001B50F5">
            <w:pPr>
              <w:tabs>
                <w:tab w:val="left" w:pos="871"/>
              </w:tabs>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Въздушното пръскане е забранено при строги условия за разрешаването на дерогации. Пръсканите площи са с мал</w:t>
            </w:r>
            <w:r>
              <w:rPr>
                <w:rFonts w:ascii="Times New Roman" w:hAnsi="Times New Roman"/>
                <w:noProof/>
                <w:color w:val="000000"/>
                <w:sz w:val="24"/>
              </w:rPr>
              <w:t>ък размер, който с времето намалява, а процесът се контролира ефективно.</w:t>
            </w:r>
          </w:p>
        </w:tc>
      </w:tr>
    </w:tbl>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 </w:t>
      </w: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Всички държави членки са въвели забрана за въздушно пръскане в националните си законодателства, дори когато това не е изрично посочено в националните им планове за действие. </w:t>
      </w:r>
      <w:r>
        <w:rPr>
          <w:rFonts w:ascii="Times New Roman" w:hAnsi="Times New Roman"/>
          <w:noProof/>
          <w:color w:val="000000"/>
          <w:sz w:val="24"/>
        </w:rPr>
        <w:t>Въпреки че от правна гледна точка разрешаването на дерогации е възможно в двадесет и една държави членки</w:t>
      </w:r>
      <w:r>
        <w:rPr>
          <w:rStyle w:val="FootnoteReference"/>
          <w:rFonts w:ascii="Times New Roman" w:hAnsi="Times New Roman"/>
          <w:noProof/>
          <w:color w:val="000000"/>
          <w:sz w:val="24"/>
        </w:rPr>
        <w:footnoteReference w:id="31"/>
      </w:r>
      <w:r>
        <w:rPr>
          <w:rFonts w:ascii="Times New Roman" w:hAnsi="Times New Roman"/>
          <w:noProof/>
          <w:color w:val="000000"/>
          <w:sz w:val="24"/>
        </w:rPr>
        <w:t>, през 2014 и 2015 г. дерогации са били предоставени в едва 14 държави членки</w:t>
      </w:r>
      <w:r>
        <w:rPr>
          <w:rStyle w:val="FootnoteReference"/>
          <w:rFonts w:ascii="Times New Roman" w:hAnsi="Times New Roman"/>
          <w:noProof/>
          <w:color w:val="000000"/>
          <w:sz w:val="24"/>
        </w:rPr>
        <w:footnoteReference w:id="32"/>
      </w:r>
      <w:r>
        <w:rPr>
          <w:rFonts w:ascii="Times New Roman" w:hAnsi="Times New Roman"/>
          <w:noProof/>
          <w:color w:val="000000"/>
          <w:sz w:val="24"/>
        </w:rPr>
        <w:t>. По силата на тези дерогации пестициди са били приложени на площ с разме</w:t>
      </w:r>
      <w:r>
        <w:rPr>
          <w:rFonts w:ascii="Times New Roman" w:hAnsi="Times New Roman"/>
          <w:noProof/>
          <w:color w:val="000000"/>
          <w:sz w:val="24"/>
        </w:rPr>
        <w:t>р 1,1 милиона хектара, в това число 70 % земеделска земя и 30 % горски площи, равняващи се на приблизително 0,2 % и 0,1 % от общия размер на съответните видове площи.</w:t>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През 2015 г. над 95 % от въздушното пръскане се дължи само на две държави членки — Испан</w:t>
      </w:r>
      <w:r>
        <w:rPr>
          <w:rFonts w:ascii="Times New Roman" w:hAnsi="Times New Roman"/>
          <w:noProof/>
          <w:color w:val="000000"/>
          <w:sz w:val="24"/>
        </w:rPr>
        <w:t>ия с 339 000 хектара и Унгария с 88 000 хектара, равняващи се съответно на 0,7 % и 0,9 % от общата площ на тези две държави членки.</w:t>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tabs>
          <w:tab w:val="left" w:pos="871"/>
        </w:tabs>
        <w:autoSpaceDE w:val="0"/>
        <w:autoSpaceDN w:val="0"/>
        <w:adjustRightInd w:val="0"/>
        <w:spacing w:after="0" w:line="240" w:lineRule="auto"/>
        <w:jc w:val="cente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lang w:val="en-GB" w:eastAsia="en-GB" w:bidi="ar-SA"/>
        </w:rPr>
        <w:drawing>
          <wp:inline distT="0" distB="0" distL="0" distR="0">
            <wp:extent cx="2571484" cy="1585519"/>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2204" cy="1585963"/>
                    </a:xfrm>
                    <a:prstGeom prst="rect">
                      <a:avLst/>
                    </a:prstGeom>
                    <a:noFill/>
                  </pic:spPr>
                </pic:pic>
              </a:graphicData>
            </a:graphic>
          </wp:inline>
        </w:drawing>
      </w:r>
      <w:r>
        <w:rPr>
          <w:rFonts w:ascii="Times New Roman" w:eastAsia="Times New Roman" w:hAnsi="Times New Roman" w:cs="Times New Roman"/>
          <w:noProof/>
          <w:color w:val="000000"/>
          <w:sz w:val="24"/>
          <w:szCs w:val="24"/>
          <w:lang w:val="en-GB" w:eastAsia="en-GB" w:bidi="ar-SA"/>
        </w:rPr>
        <w:drawing>
          <wp:inline distT="0" distB="0" distL="0" distR="0">
            <wp:extent cx="2571226" cy="158536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2804" cy="1586333"/>
                    </a:xfrm>
                    <a:prstGeom prst="rect">
                      <a:avLst/>
                    </a:prstGeom>
                    <a:noFill/>
                  </pic:spPr>
                </pic:pic>
              </a:graphicData>
            </a:graphic>
          </wp:inline>
        </w:drawing>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Фигура 1: Намаляване на прилагането на пестициди с въздушни средства в две държави членки</w:t>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Комисията проучи този въпрос</w:t>
      </w:r>
      <w:r>
        <w:rPr>
          <w:rFonts w:ascii="Times New Roman" w:hAnsi="Times New Roman"/>
          <w:noProof/>
          <w:color w:val="000000"/>
          <w:sz w:val="24"/>
        </w:rPr>
        <w:t xml:space="preserve"> в хода на извършените одити в единадесет държави членки през 2015 и 2016 г. и проучвателните посещения в шест държави членки през 2017 г. Във всички случаи на разрешени дерогации въздушното пръскане е извършено при спазване на строгите условия за дерогаци</w:t>
      </w:r>
      <w:r>
        <w:rPr>
          <w:rFonts w:ascii="Times New Roman" w:hAnsi="Times New Roman"/>
          <w:noProof/>
          <w:color w:val="000000"/>
          <w:sz w:val="24"/>
        </w:rPr>
        <w:t>и, посочени в Директивата. На последно място, през последните години обработваните по силата на дерогации площи значително намаляват, както е видно от диаграмите по-горе.</w:t>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Въпреки това Комисията ще продължи да оценява начина, по който държавите членки </w:t>
      </w:r>
      <w:r>
        <w:rPr>
          <w:rFonts w:ascii="Times New Roman" w:hAnsi="Times New Roman"/>
          <w:noProof/>
          <w:color w:val="000000"/>
          <w:sz w:val="24"/>
        </w:rPr>
        <w:t>оценяват исканията за дерогации, включително чрез одити, за да гарантира спазване на строгите условия за разрешаване на съответните дерогации и техния надлежен контрол.</w:t>
      </w:r>
    </w:p>
    <w:p w:rsidR="0082212F" w:rsidRDefault="001B50F5">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t>Информация и дейности за повишаване на осведомеността</w:t>
      </w: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Съгласно член 7, параграф 1 от Ди</w:t>
      </w:r>
      <w:r>
        <w:rPr>
          <w:rFonts w:ascii="Times New Roman" w:hAnsi="Times New Roman"/>
          <w:noProof/>
          <w:color w:val="000000"/>
          <w:sz w:val="24"/>
        </w:rPr>
        <w:t>рективата държавите членки предприемат мерки за информиране на широката общественост, както и за насърчаване и улесняване на информационни и осведомителни програми и предоставяне на точна и балансирана информация относно пестицидите на обществеността. Съгл</w:t>
      </w:r>
      <w:r>
        <w:rPr>
          <w:rFonts w:ascii="Times New Roman" w:hAnsi="Times New Roman"/>
          <w:noProof/>
          <w:color w:val="000000"/>
          <w:sz w:val="24"/>
        </w:rPr>
        <w:t>асно член 10 държавите членки могат да включат в своите национални планове за действие разпоредби относно информирането на лица, които биха могли да бъдат изложени на отнасянето на струята.</w:t>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82212F">
        <w:tc>
          <w:tcPr>
            <w:tcW w:w="9072" w:type="dxa"/>
            <w:shd w:val="clear" w:color="auto" w:fill="C7C7C7" w:themeFill="background1" w:themeFillShade="D9"/>
          </w:tcPr>
          <w:p w:rsidR="0082212F" w:rsidRDefault="001B50F5">
            <w:pPr>
              <w:tabs>
                <w:tab w:val="left" w:pos="871"/>
              </w:tabs>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Тази разпоредба се прилага всеобхватно в някои държави членки и о</w:t>
            </w:r>
            <w:r>
              <w:rPr>
                <w:rFonts w:ascii="Times New Roman" w:hAnsi="Times New Roman"/>
                <w:noProof/>
                <w:color w:val="000000"/>
                <w:sz w:val="24"/>
              </w:rPr>
              <w:t>пределени области, но съществува потенциал за разпространение на добри практики и за тяхното по-широко използване с цел информиране на обществеността и заинтересованите страни.</w:t>
            </w:r>
          </w:p>
        </w:tc>
      </w:tr>
    </w:tbl>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Всички НПД включват планирани мерки за информиране на обществеността. Испания</w:t>
      </w:r>
      <w:r>
        <w:rPr>
          <w:rFonts w:ascii="Times New Roman" w:hAnsi="Times New Roman"/>
          <w:noProof/>
          <w:color w:val="000000"/>
          <w:sz w:val="24"/>
        </w:rPr>
        <w:t xml:space="preserve"> и Румъния са единствените страни, определили конкретни цели в тази област.</w:t>
      </w:r>
    </w:p>
    <w:p w:rsidR="0082212F" w:rsidRDefault="0082212F">
      <w:pPr>
        <w:tabs>
          <w:tab w:val="left" w:pos="871"/>
        </w:tabs>
        <w:autoSpaceDE w:val="0"/>
        <w:autoSpaceDN w:val="0"/>
        <w:adjustRightInd w:val="0"/>
        <w:spacing w:after="0" w:line="240" w:lineRule="auto"/>
        <w:jc w:val="both"/>
        <w:rPr>
          <w:rFonts w:ascii="Verdana" w:eastAsia="Times New Roman" w:hAnsi="Verdana" w:cs="EUAlbertina"/>
          <w:noProof/>
          <w:color w:val="000000"/>
          <w:sz w:val="19"/>
          <w:szCs w:val="19"/>
        </w:rPr>
      </w:pP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Основният инструмент, който органите на държавите членки използват за осведомяване на широката общественост и предоставяне на балансирана информация за устойчивата употреба на пес</w:t>
      </w:r>
      <w:r>
        <w:rPr>
          <w:rFonts w:ascii="Times New Roman" w:hAnsi="Times New Roman"/>
          <w:noProof/>
          <w:color w:val="000000"/>
          <w:sz w:val="24"/>
        </w:rPr>
        <w:t xml:space="preserve">тициди, са техните уебсайтове. Тези национални уебсайтове се допълват от специален уебсайт на Комисията, който в момента е в процес на трансформация в уеб портал с връзки към порталите на всички държави членки и други източници на информация. Така ще бъде </w:t>
      </w:r>
      <w:r>
        <w:rPr>
          <w:rFonts w:ascii="Times New Roman" w:hAnsi="Times New Roman"/>
          <w:noProof/>
          <w:color w:val="000000"/>
          <w:sz w:val="24"/>
        </w:rPr>
        <w:t>предоставено средство за споделяне на информация в рамките на държавите членки и помежду им по набор от теми, в това число насоки за ИУВ и системи за подпомагане вземането на решения.</w:t>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В своите отговори на въпросника от 2016 г. шест държави членки</w:t>
      </w:r>
      <w:r>
        <w:rPr>
          <w:rStyle w:val="FootnoteReference"/>
          <w:rFonts w:ascii="Times New Roman" w:hAnsi="Times New Roman"/>
          <w:noProof/>
          <w:color w:val="000000"/>
          <w:sz w:val="24"/>
        </w:rPr>
        <w:footnoteReference w:id="33"/>
      </w:r>
      <w:r>
        <w:rPr>
          <w:rFonts w:ascii="Times New Roman" w:hAnsi="Times New Roman"/>
          <w:noProof/>
          <w:color w:val="000000"/>
          <w:sz w:val="24"/>
        </w:rPr>
        <w:t xml:space="preserve"> информи</w:t>
      </w:r>
      <w:r>
        <w:rPr>
          <w:rFonts w:ascii="Times New Roman" w:hAnsi="Times New Roman"/>
          <w:noProof/>
          <w:color w:val="000000"/>
          <w:sz w:val="24"/>
        </w:rPr>
        <w:t>раха Комисията относно национални разпоредби, съгласно които земеделските производители се задължават да информират своите съседи и местните жители преди прилагането на пестициди, най-малкото при поискване. Така например, в Швеция и Нидерландия операторите</w:t>
      </w:r>
      <w:r>
        <w:rPr>
          <w:rFonts w:ascii="Times New Roman" w:hAnsi="Times New Roman"/>
          <w:noProof/>
          <w:color w:val="000000"/>
          <w:sz w:val="24"/>
        </w:rPr>
        <w:t>, които планират да използват пестициди в достъпни за широката общественост райони, трябва да поставят обозначителна табела с подробна информация поне една седмица преди прилагането на пестицидите. При проучвателните посещения на Комисията през 2017 г. дър</w:t>
      </w:r>
      <w:r>
        <w:rPr>
          <w:rFonts w:ascii="Times New Roman" w:hAnsi="Times New Roman"/>
          <w:noProof/>
          <w:color w:val="000000"/>
          <w:sz w:val="24"/>
        </w:rPr>
        <w:t>жавите членки приведоха примери за целенасочени информационни кампании, в това число за повишаване на осведомеността и информиране на стопаните на домашни градини относно рисковете от пестициди в Дания, Полша и Швеция и конкурси за познаване на тези рисков</w:t>
      </w:r>
      <w:r>
        <w:rPr>
          <w:rFonts w:ascii="Times New Roman" w:hAnsi="Times New Roman"/>
          <w:noProof/>
          <w:color w:val="000000"/>
          <w:sz w:val="24"/>
        </w:rPr>
        <w:t xml:space="preserve">е за ученици в Полша и Италия. </w:t>
      </w:r>
    </w:p>
    <w:p w:rsidR="0082212F" w:rsidRDefault="001B50F5">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t>ВОДНА СРЕДА И ПИТЕЙНА ВОДА</w:t>
      </w: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Член 11 от Директивата изисква от държавите членки да осигурят приемането на подходящи мерки за защита на водната среда и на питейната вода от въздействието на пестицидите.</w:t>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82212F">
        <w:tc>
          <w:tcPr>
            <w:tcW w:w="9072" w:type="dxa"/>
            <w:shd w:val="clear" w:color="auto" w:fill="C7C7C7" w:themeFill="background1" w:themeFillShade="D9"/>
          </w:tcPr>
          <w:p w:rsidR="0082212F" w:rsidRDefault="001B50F5">
            <w:pPr>
              <w:tabs>
                <w:tab w:val="left" w:pos="871"/>
              </w:tabs>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Държавите членки предпр</w:t>
            </w:r>
            <w:r>
              <w:rPr>
                <w:rFonts w:ascii="Times New Roman" w:hAnsi="Times New Roman"/>
                <w:noProof/>
                <w:color w:val="000000"/>
                <w:sz w:val="24"/>
              </w:rPr>
              <w:t>иемат набор от мерки за защита на водната среда от употребата на пестициди, но липсата на измерими цели в повечето национални планове за действие затруднява оценката на постигнатия напредък.</w:t>
            </w:r>
            <w:r>
              <w:rPr>
                <w:noProof/>
              </w:rPr>
              <w:t xml:space="preserve"> </w:t>
            </w:r>
          </w:p>
        </w:tc>
      </w:tr>
    </w:tbl>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Двадесет и седем национални плана за действие, с изключение на</w:t>
      </w:r>
      <w:r>
        <w:rPr>
          <w:rFonts w:ascii="Times New Roman" w:hAnsi="Times New Roman"/>
          <w:noProof/>
          <w:color w:val="000000"/>
          <w:sz w:val="24"/>
        </w:rPr>
        <w:t xml:space="preserve"> този на Франция, съдържат изключително подробни изложения в тази област. Наборът от действия обхваща няколко направления. По отношение на употребата на пестициди, мерките включват използването на технологии за намаляване на отнасянето на струята и забрана</w:t>
      </w:r>
      <w:r>
        <w:rPr>
          <w:rFonts w:ascii="Times New Roman" w:hAnsi="Times New Roman"/>
          <w:noProof/>
          <w:color w:val="000000"/>
          <w:sz w:val="24"/>
        </w:rPr>
        <w:t xml:space="preserve"> на пълненето на разпръсквачки от водни басейни. В рамките на агроекологични схеми са налични финансови стимули, в това число за граничещи с водни басейни буферни зони, субсидии за закупуването на дюзи за ниско разпръскване и изграждането на биологични лех</w:t>
      </w:r>
      <w:r>
        <w:rPr>
          <w:rFonts w:ascii="Times New Roman" w:hAnsi="Times New Roman"/>
          <w:noProof/>
          <w:color w:val="000000"/>
          <w:sz w:val="24"/>
        </w:rPr>
        <w:t>и за отвеждане на отпадни течности от измиването на пръскачки. Въпреки това обаче в повечето държави членки териториалното покритие на тези мерки е твърде ограничено. Други мерки са свързани с образованието и трансфера на знания. Въпреки че държавите членк</w:t>
      </w:r>
      <w:r>
        <w:rPr>
          <w:rFonts w:ascii="Times New Roman" w:hAnsi="Times New Roman"/>
          <w:noProof/>
          <w:color w:val="000000"/>
          <w:sz w:val="24"/>
        </w:rPr>
        <w:t xml:space="preserve">и предприемат редица мерки в тази област, както е посочено по-горе, определените цели и графици се отнасят или до изпълнението на дейности, като например създаването на граничещи с водни площи буферни зони, или до постигането на съответствие със стандарти </w:t>
      </w:r>
      <w:r>
        <w:rPr>
          <w:rFonts w:ascii="Times New Roman" w:hAnsi="Times New Roman"/>
          <w:noProof/>
          <w:color w:val="000000"/>
          <w:sz w:val="24"/>
        </w:rPr>
        <w:t>за качество на водите, установени по силата на други нормативни актове.</w:t>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Както се подчертава в работния документ на службите на Комисията „Селско стопанство и устойчиво управление на водите в Европа“, </w:t>
      </w:r>
      <w:r>
        <w:rPr>
          <w:rStyle w:val="FootnoteReference"/>
          <w:rFonts w:ascii="Times New Roman" w:hAnsi="Times New Roman"/>
          <w:noProof/>
          <w:color w:val="000000"/>
          <w:sz w:val="24"/>
        </w:rPr>
        <w:footnoteReference w:id="34"/>
      </w:r>
      <w:r>
        <w:rPr>
          <w:rFonts w:ascii="Times New Roman" w:hAnsi="Times New Roman"/>
          <w:noProof/>
          <w:color w:val="000000"/>
          <w:sz w:val="24"/>
        </w:rPr>
        <w:t xml:space="preserve">Директивата за устойчива употреба на пестициди се </w:t>
      </w:r>
      <w:r>
        <w:rPr>
          <w:rFonts w:ascii="Times New Roman" w:hAnsi="Times New Roman"/>
          <w:noProof/>
          <w:color w:val="000000"/>
          <w:sz w:val="24"/>
        </w:rPr>
        <w:t>явява важен инструмент за постигане на целите за добро състояние на водите, формулирани в Рамковата директива за водите 2000/60/ЕО</w:t>
      </w:r>
      <w:r>
        <w:rPr>
          <w:rFonts w:ascii="Times New Roman" w:hAnsi="Times New Roman"/>
          <w:noProof/>
          <w:color w:val="000000"/>
          <w:sz w:val="24"/>
          <w:vertAlign w:val="superscript"/>
        </w:rPr>
        <w:footnoteReference w:id="35"/>
      </w:r>
      <w:r>
        <w:rPr>
          <w:rFonts w:ascii="Times New Roman" w:hAnsi="Times New Roman"/>
          <w:noProof/>
          <w:color w:val="000000"/>
          <w:sz w:val="24"/>
        </w:rPr>
        <w:t>. Въпреки това целите и сроковете на държавите членки за опазване на морската среда не винаги са изрично обвързани с екологич</w:t>
      </w:r>
      <w:r>
        <w:rPr>
          <w:rFonts w:ascii="Times New Roman" w:hAnsi="Times New Roman"/>
          <w:noProof/>
          <w:color w:val="000000"/>
          <w:sz w:val="24"/>
        </w:rPr>
        <w:t>ните цели по Директива 2000/60/ЕО. Държавите членки изпълниха екологични мониторингови програми по Директива 2000/60/ЕО, Директива 2006/118/ЕО</w:t>
      </w:r>
      <w:r>
        <w:rPr>
          <w:rFonts w:ascii="Times New Roman" w:hAnsi="Times New Roman"/>
          <w:noProof/>
          <w:color w:val="000000"/>
          <w:sz w:val="24"/>
          <w:vertAlign w:val="superscript"/>
        </w:rPr>
        <w:footnoteReference w:id="36"/>
      </w:r>
      <w:r>
        <w:rPr>
          <w:rFonts w:ascii="Times New Roman" w:hAnsi="Times New Roman"/>
          <w:noProof/>
          <w:color w:val="000000"/>
          <w:sz w:val="24"/>
        </w:rPr>
        <w:t xml:space="preserve"> за подпочвените води, Директива 2008/105/ЕО</w:t>
      </w:r>
      <w:r>
        <w:rPr>
          <w:rFonts w:ascii="Times New Roman" w:hAnsi="Times New Roman"/>
          <w:noProof/>
          <w:color w:val="000000"/>
          <w:sz w:val="24"/>
          <w:vertAlign w:val="superscript"/>
        </w:rPr>
        <w:footnoteReference w:id="37"/>
      </w:r>
      <w:r>
        <w:rPr>
          <w:rFonts w:ascii="Times New Roman" w:hAnsi="Times New Roman"/>
          <w:noProof/>
          <w:color w:val="000000"/>
          <w:sz w:val="24"/>
        </w:rPr>
        <w:t xml:space="preserve"> за определяне на стандарти за качество на околната среда в областта</w:t>
      </w:r>
      <w:r>
        <w:rPr>
          <w:rFonts w:ascii="Times New Roman" w:hAnsi="Times New Roman"/>
          <w:noProof/>
          <w:color w:val="000000"/>
          <w:sz w:val="24"/>
        </w:rPr>
        <w:t xml:space="preserve"> на политиката за водите и Директива 1998/83/ЕО за питейната вода</w:t>
      </w:r>
      <w:r>
        <w:rPr>
          <w:rStyle w:val="FootnoteReference"/>
          <w:rFonts w:ascii="Times New Roman" w:hAnsi="Times New Roman"/>
          <w:noProof/>
          <w:color w:val="000000"/>
          <w:sz w:val="24"/>
        </w:rPr>
        <w:footnoteReference w:id="38"/>
      </w:r>
      <w:r>
        <w:rPr>
          <w:rFonts w:ascii="Times New Roman" w:hAnsi="Times New Roman"/>
          <w:noProof/>
          <w:color w:val="000000"/>
          <w:sz w:val="24"/>
        </w:rPr>
        <w:t>. Необходимо е мониторинговите програми и свързаните с тях показатели и цели да обхващат няколко направления, включително флората и фауната и/или седимента, с цел да се осигури адекватно пок</w:t>
      </w:r>
      <w:r>
        <w:rPr>
          <w:rFonts w:ascii="Times New Roman" w:hAnsi="Times New Roman"/>
          <w:noProof/>
          <w:color w:val="000000"/>
          <w:sz w:val="24"/>
        </w:rPr>
        <w:t>ритие на рисковете от биологично натрупване на съединения. Резултатите от мониторинга на водите показват, че пестицидите от различни източници допринасят за недоброто състояние на водните басейни в 16 държави членки, засягайки 20 % от подземните води и 16 </w:t>
      </w:r>
      <w:r>
        <w:rPr>
          <w:rFonts w:ascii="Times New Roman" w:hAnsi="Times New Roman"/>
          <w:noProof/>
          <w:color w:val="000000"/>
          <w:sz w:val="24"/>
        </w:rPr>
        <w:t>% от реките и преходните водни басейни, класифицирани като такива с лошо химично състояние съгласно Доклад на ЕАОС № 8/2012 „Европейските води — оценка на състоянието и натиска“</w:t>
      </w:r>
      <w:r>
        <w:rPr>
          <w:rStyle w:val="FootnoteReference"/>
          <w:rFonts w:ascii="Times New Roman" w:hAnsi="Times New Roman"/>
          <w:noProof/>
          <w:color w:val="000000"/>
          <w:sz w:val="24"/>
        </w:rPr>
        <w:footnoteReference w:id="39"/>
      </w:r>
      <w:r>
        <w:rPr>
          <w:rFonts w:ascii="Times New Roman" w:hAnsi="Times New Roman"/>
          <w:noProof/>
          <w:color w:val="000000"/>
          <w:sz w:val="24"/>
          <w:vertAlign w:val="superscript"/>
        </w:rPr>
        <w:t>,</w:t>
      </w:r>
      <w:r>
        <w:rPr>
          <w:rStyle w:val="FootnoteReference"/>
          <w:rFonts w:ascii="Times New Roman" w:hAnsi="Times New Roman"/>
          <w:noProof/>
          <w:color w:val="000000"/>
          <w:sz w:val="24"/>
        </w:rPr>
        <w:footnoteReference w:id="40"/>
      </w:r>
      <w:r>
        <w:rPr>
          <w:rFonts w:ascii="Times New Roman" w:hAnsi="Times New Roman"/>
          <w:noProof/>
          <w:color w:val="000000"/>
          <w:sz w:val="24"/>
        </w:rPr>
        <w:t>.</w:t>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В отговор на въпросника от 2016 г. държавите членки докладваха на </w:t>
      </w:r>
      <w:r>
        <w:rPr>
          <w:rFonts w:ascii="Times New Roman" w:hAnsi="Times New Roman"/>
          <w:noProof/>
          <w:color w:val="000000"/>
          <w:sz w:val="24"/>
        </w:rPr>
        <w:t>Комисията, че през 2014 и 2015 г. са взети и изследвани за остатъци от пестициди над един милион водни проби. За сравнение — през 2015 г. са взети 84 000 проби от храни, предназначени за официален контрол и анализирани за остатъци от пестициди. Водните про</w:t>
      </w:r>
      <w:r>
        <w:rPr>
          <w:rFonts w:ascii="Times New Roman" w:hAnsi="Times New Roman"/>
          <w:noProof/>
          <w:color w:val="000000"/>
          <w:sz w:val="24"/>
        </w:rPr>
        <w:t>би са взети от повърхностни, подпочвени и питейни води. Повечето проби са взети от питейни води, като резултатите показват високо равнище на съответствие (99 %) със нормативно допустимото количество, установено с Директива 1998/83/ЕO.</w:t>
      </w:r>
      <w:r>
        <w:rPr>
          <w:noProof/>
        </w:rPr>
        <w:t xml:space="preserve"> </w:t>
      </w:r>
      <w:r>
        <w:rPr>
          <w:rFonts w:ascii="Times New Roman" w:hAnsi="Times New Roman"/>
          <w:noProof/>
          <w:color w:val="000000"/>
          <w:sz w:val="24"/>
        </w:rPr>
        <w:t>Трябва да се отбележи</w:t>
      </w:r>
      <w:r>
        <w:rPr>
          <w:rFonts w:ascii="Times New Roman" w:hAnsi="Times New Roman"/>
          <w:noProof/>
          <w:color w:val="000000"/>
          <w:sz w:val="24"/>
        </w:rPr>
        <w:t xml:space="preserve"> обаче, че пробите се вземат след всички необходими процеси на пречистване за отстраняването на пестициди.</w:t>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При посещенията през 2017 г. бяха установени разлики в гамата от пестициди, изследвани за целите на екологичните мониторингови програми в рамките на</w:t>
      </w:r>
      <w:r>
        <w:rPr>
          <w:rFonts w:ascii="Times New Roman" w:hAnsi="Times New Roman"/>
          <w:noProof/>
          <w:color w:val="000000"/>
          <w:sz w:val="24"/>
        </w:rPr>
        <w:t xml:space="preserve"> държавите членки и помежду им. Определените от Германия, Нидерландия и Дания ясни цели за постигане на съответствие с приложимите разпоредби подпомагат оценката и доказването на постигнатия напредък от страна на органите. В много региони в Италия монитори</w:t>
      </w:r>
      <w:r>
        <w:rPr>
          <w:rFonts w:ascii="Times New Roman" w:hAnsi="Times New Roman"/>
          <w:noProof/>
          <w:color w:val="000000"/>
          <w:sz w:val="24"/>
        </w:rPr>
        <w:t>нгът обхваща и допълнителни вещества, невключени в списъка по Рамковата директива за водите. В Полша обаче списъкът на наблюдаваните пестициди включва само приоритетните вещества в ЕС. Както в Германия, така и в Дания случаите на наличие на пестициди в под</w:t>
      </w:r>
      <w:r>
        <w:rPr>
          <w:rFonts w:ascii="Times New Roman" w:hAnsi="Times New Roman"/>
          <w:noProof/>
          <w:color w:val="000000"/>
          <w:sz w:val="24"/>
        </w:rPr>
        <w:t xml:space="preserve">почвените води са свързани предимно с устойчиви пестициди, чиято продажба или употреба вече не е разрешена. </w:t>
      </w:r>
    </w:p>
    <w:p w:rsidR="0082212F" w:rsidRDefault="001B50F5">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t>НАМАЛЯВАНЕ НА УПОТРЕБАТА НА ПЕСТИЦИДИ В ОПРЕДЕЛЕНИ ПЛОЩИ</w:t>
      </w: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Член 12 от Директивата изисква от държавите членки да сведат до минимум или забранят употр</w:t>
      </w:r>
      <w:r>
        <w:rPr>
          <w:rFonts w:ascii="Times New Roman" w:hAnsi="Times New Roman"/>
          <w:noProof/>
          <w:color w:val="000000"/>
          <w:sz w:val="24"/>
        </w:rPr>
        <w:t xml:space="preserve">ебата на пестициди в определени специфични площи. Тази категория включва площи, използвани от широката общественост или от уязвими групи, защитени територии и неотдавна обработени площи, използвани от селскостопански работници. Прилагат се подходящи мерки </w:t>
      </w:r>
      <w:r>
        <w:rPr>
          <w:rFonts w:ascii="Times New Roman" w:hAnsi="Times New Roman"/>
          <w:noProof/>
          <w:color w:val="000000"/>
          <w:sz w:val="24"/>
        </w:rPr>
        <w:t>за управление на риска, като на първо място се разглеждат употребата на нискорискови пестициди и на мерки за биологичен контрол.</w:t>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82212F">
        <w:tc>
          <w:tcPr>
            <w:tcW w:w="9072" w:type="dxa"/>
            <w:shd w:val="clear" w:color="auto" w:fill="C7C7C7" w:themeFill="background1" w:themeFillShade="D9"/>
          </w:tcPr>
          <w:p w:rsidR="0082212F" w:rsidRDefault="001B50F5">
            <w:pPr>
              <w:tabs>
                <w:tab w:val="left" w:pos="871"/>
              </w:tabs>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Комисията отчита предприетите от държавите членки широкообхватни мерки за намаляване на употребата на пестициди в определени с</w:t>
            </w:r>
            <w:r>
              <w:rPr>
                <w:rFonts w:ascii="Times New Roman" w:hAnsi="Times New Roman"/>
                <w:noProof/>
                <w:color w:val="000000"/>
                <w:sz w:val="24"/>
              </w:rPr>
              <w:t>пецифични площи и постигнатото чрез тези мерки положително въздействие, но отбелязва липсата на измерими цели в повечето държави членки.</w:t>
            </w:r>
          </w:p>
        </w:tc>
      </w:tr>
    </w:tbl>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Националните планове за действие на 26 държави членки</w:t>
      </w:r>
      <w:r>
        <w:rPr>
          <w:rStyle w:val="FootnoteReference"/>
          <w:rFonts w:ascii="Times New Roman" w:hAnsi="Times New Roman"/>
          <w:noProof/>
          <w:color w:val="000000"/>
          <w:sz w:val="24"/>
        </w:rPr>
        <w:footnoteReference w:id="41"/>
      </w:r>
      <w:r>
        <w:rPr>
          <w:rFonts w:ascii="Times New Roman" w:hAnsi="Times New Roman"/>
          <w:noProof/>
          <w:color w:val="000000"/>
          <w:sz w:val="24"/>
        </w:rPr>
        <w:t xml:space="preserve"> съдържат мерки за намаляване до минимум на употребата на пести</w:t>
      </w:r>
      <w:r>
        <w:rPr>
          <w:rFonts w:ascii="Times New Roman" w:hAnsi="Times New Roman"/>
          <w:noProof/>
          <w:color w:val="000000"/>
          <w:sz w:val="24"/>
        </w:rPr>
        <w:t>циди в площи за обществено ползване, но в повечето не се определят конкретни цели за намаляване на употребата в такива площи. Въпреки това бяха установени и някои добри практики; например Дания, която е определила цел за общо намаляване на употребата и е в</w:t>
      </w:r>
      <w:r>
        <w:rPr>
          <w:rFonts w:ascii="Times New Roman" w:hAnsi="Times New Roman"/>
          <w:noProof/>
          <w:color w:val="000000"/>
          <w:sz w:val="24"/>
        </w:rPr>
        <w:t xml:space="preserve"> процес на определяне на пестицидни квоти за всяко голф игрище. В други зони за обществено ползване целта е употребата на пестициди да бъде поетапно преустановена. НПД на Латвия, Малта, Испания и Италия са единствените, които съдържат мерки за неотдавна об</w:t>
      </w:r>
      <w:r>
        <w:rPr>
          <w:rFonts w:ascii="Times New Roman" w:hAnsi="Times New Roman"/>
          <w:noProof/>
          <w:color w:val="000000"/>
          <w:sz w:val="24"/>
        </w:rPr>
        <w:t>работени площи с цел защита на селскостопанските работници.</w:t>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В отговор на въпросника от 2016 г. двадесет и шест държави членки</w:t>
      </w:r>
      <w:r>
        <w:rPr>
          <w:rStyle w:val="FootnoteReference"/>
          <w:rFonts w:ascii="Times New Roman" w:hAnsi="Times New Roman"/>
          <w:noProof/>
          <w:color w:val="000000"/>
          <w:sz w:val="24"/>
        </w:rPr>
        <w:footnoteReference w:id="42"/>
      </w:r>
      <w:r>
        <w:rPr>
          <w:rFonts w:ascii="Times New Roman" w:hAnsi="Times New Roman"/>
          <w:noProof/>
          <w:color w:val="000000"/>
          <w:sz w:val="24"/>
        </w:rPr>
        <w:t xml:space="preserve"> докладваха за въвеждането на забрани или ограничения на употребата на пестициди в защитени зони (съгласно определението в Директ</w:t>
      </w:r>
      <w:r>
        <w:rPr>
          <w:rFonts w:ascii="Times New Roman" w:hAnsi="Times New Roman"/>
          <w:noProof/>
          <w:color w:val="000000"/>
          <w:sz w:val="24"/>
        </w:rPr>
        <w:t>ива 2000/60/ЕO) и специални защитени зони (съгласно определението в Директиви 79/409/ЕИО</w:t>
      </w:r>
      <w:r>
        <w:rPr>
          <w:rFonts w:ascii="Times New Roman" w:hAnsi="Times New Roman"/>
          <w:noProof/>
          <w:color w:val="000000"/>
          <w:sz w:val="24"/>
          <w:vertAlign w:val="superscript"/>
        </w:rPr>
        <w:footnoteReference w:id="43"/>
      </w:r>
      <w:r>
        <w:rPr>
          <w:rFonts w:ascii="Times New Roman" w:hAnsi="Times New Roman"/>
          <w:noProof/>
          <w:color w:val="000000"/>
          <w:sz w:val="24"/>
        </w:rPr>
        <w:t xml:space="preserve"> и 92/43/ЕИО</w:t>
      </w:r>
      <w:r>
        <w:rPr>
          <w:rFonts w:ascii="Times New Roman" w:hAnsi="Times New Roman"/>
          <w:noProof/>
          <w:color w:val="000000"/>
          <w:sz w:val="24"/>
          <w:vertAlign w:val="superscript"/>
        </w:rPr>
        <w:footnoteReference w:id="44"/>
      </w:r>
      <w:r>
        <w:rPr>
          <w:rFonts w:ascii="Times New Roman" w:hAnsi="Times New Roman"/>
          <w:noProof/>
          <w:color w:val="000000"/>
          <w:sz w:val="24"/>
        </w:rPr>
        <w:t>). В хода на проучвателните посещения през 2017 г. Комисията се запозна с примери за въведени от държавите членки ограничения: Полша е наложила забрана въ</w:t>
      </w:r>
      <w:r>
        <w:rPr>
          <w:rFonts w:ascii="Times New Roman" w:hAnsi="Times New Roman"/>
          <w:noProof/>
          <w:color w:val="000000"/>
          <w:sz w:val="24"/>
        </w:rPr>
        <w:t>рху използването на вредни, токсични или силно токсични пестициди в площи за обществено ползване, например детски площадки, начални училища и детски градини, без възможност за дерогации. Други държави членки са забранили употребата на съдържащи глифосат пе</w:t>
      </w:r>
      <w:r>
        <w:rPr>
          <w:rFonts w:ascii="Times New Roman" w:hAnsi="Times New Roman"/>
          <w:noProof/>
          <w:color w:val="000000"/>
          <w:sz w:val="24"/>
        </w:rPr>
        <w:t>стициди в неземеделски райони (например Италия) или в национални паркове и природни резервати (например Германия). В Германия за две години са разрешени само 17 дерогации за употреба на пестициди в площи за обществено ползване. Дания докладва, че от 1995 г</w:t>
      </w:r>
      <w:r>
        <w:rPr>
          <w:rFonts w:ascii="Times New Roman" w:hAnsi="Times New Roman"/>
          <w:noProof/>
          <w:color w:val="000000"/>
          <w:sz w:val="24"/>
        </w:rPr>
        <w:t>. употребата на пестициди в площи за обществено ползване бележи спад от 90 %.</w:t>
      </w:r>
    </w:p>
    <w:p w:rsidR="0082212F" w:rsidRDefault="001B50F5">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t>БОРАВЕНЕ СЪС И СЪХРАНЕНИЕ НА ПЕСТИЦИДИ</w:t>
      </w: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Член 13 от Директивата изисква от държавите членки да приемат необходимите мерки, за да гарантират, че боравенето със и съхранението на </w:t>
      </w:r>
      <w:r>
        <w:rPr>
          <w:rFonts w:ascii="Times New Roman" w:hAnsi="Times New Roman"/>
          <w:noProof/>
          <w:color w:val="000000"/>
          <w:sz w:val="24"/>
        </w:rPr>
        <w:t>пестициди и боравенето с техните опаковки и остатъчни количества от тях не застрашават здравето на човека или околната среда.</w:t>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82212F">
        <w:tc>
          <w:tcPr>
            <w:tcW w:w="9072" w:type="dxa"/>
            <w:shd w:val="clear" w:color="auto" w:fill="C7C7C7" w:themeFill="background1" w:themeFillShade="D9"/>
          </w:tcPr>
          <w:p w:rsidR="0082212F" w:rsidRDefault="001B50F5">
            <w:pPr>
              <w:tabs>
                <w:tab w:val="left" w:pos="871"/>
              </w:tabs>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Въпреки че в почти всички държави членки има изградени системи за боравене със и съхранение на пестициди, тяхната ефективност не </w:t>
            </w:r>
            <w:r>
              <w:rPr>
                <w:rFonts w:ascii="Times New Roman" w:hAnsi="Times New Roman"/>
                <w:noProof/>
                <w:color w:val="000000"/>
                <w:sz w:val="24"/>
              </w:rPr>
              <w:t>може да бъде оценена поради липсата на измерими цели.</w:t>
            </w:r>
          </w:p>
        </w:tc>
      </w:tr>
    </w:tbl>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Националните планове за действие като цяло разглеждат този въпрос, но планът на Италия е единственият, който отговаря на всички изисквания на Директивата, т.е. съхранението, боравенето със, разреждане</w:t>
      </w:r>
      <w:r>
        <w:rPr>
          <w:rFonts w:ascii="Times New Roman" w:hAnsi="Times New Roman"/>
          <w:noProof/>
          <w:color w:val="000000"/>
          <w:sz w:val="24"/>
        </w:rPr>
        <w:t>то и смесването на пестициди преди тяхното прилагане, боравенето с опаковки и обезвреждането на остатъчни количества и останали в резервоарите смеси и почистването на оборудването. В 18 плана се описват инициативи за обезвреждането на празни съдове за пест</w:t>
      </w:r>
      <w:r>
        <w:rPr>
          <w:rFonts w:ascii="Times New Roman" w:hAnsi="Times New Roman"/>
          <w:noProof/>
          <w:color w:val="000000"/>
          <w:sz w:val="24"/>
        </w:rPr>
        <w:t>ициди — най-често предлаганата мярка в тази област. В девет плана се споменават стандарти за съхранение. Останалите описани в плановете мерки включват ревизирани стандарти за съхранение, почистване на оборудването за прилагане на пестициди и безопасното об</w:t>
      </w:r>
      <w:r>
        <w:rPr>
          <w:rFonts w:ascii="Times New Roman" w:hAnsi="Times New Roman"/>
          <w:noProof/>
          <w:color w:val="000000"/>
          <w:sz w:val="24"/>
        </w:rPr>
        <w:t>езвреждане на нерегистрирани пестициди/остатъчни количества.</w:t>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Изпълнението на тези изисквания беше оценено в рамките на одити на Комисията в 19 държави членки в периода 2012—2014 г. Към момента на одитите 15 държави членки бяха приели мерки във връзка с бо</w:t>
      </w:r>
      <w:r>
        <w:rPr>
          <w:rFonts w:ascii="Times New Roman" w:hAnsi="Times New Roman"/>
          <w:noProof/>
          <w:color w:val="000000"/>
          <w:sz w:val="24"/>
        </w:rPr>
        <w:t>равенето със и съхранението на пестициди, включително възстановяването и обезвреждането на техните опаковки и на остатъчни количества от тях. Събирането, транспортирането и безопасното обезвреждане на опаковки и на остатъчни количества се извършваше от одо</w:t>
      </w:r>
      <w:r>
        <w:rPr>
          <w:rFonts w:ascii="Times New Roman" w:hAnsi="Times New Roman"/>
          <w:noProof/>
          <w:color w:val="000000"/>
          <w:sz w:val="24"/>
        </w:rPr>
        <w:t xml:space="preserve">брени компании, като в четири държави членки бе налице режим на сътрудничество между органите и производителите на пестициди. Държавите членки бяха допълнили прилагането на националното законодателство за безопасно боравене със и съхранение на пестициди с </w:t>
      </w:r>
      <w:r>
        <w:rPr>
          <w:rFonts w:ascii="Times New Roman" w:hAnsi="Times New Roman"/>
          <w:noProof/>
          <w:color w:val="000000"/>
          <w:sz w:val="24"/>
        </w:rPr>
        <w:t>проверки на обектите за съхранение.</w:t>
      </w:r>
    </w:p>
    <w:p w:rsidR="0082212F" w:rsidRDefault="0082212F">
      <w:pPr>
        <w:tabs>
          <w:tab w:val="left" w:pos="871"/>
        </w:tabs>
        <w:autoSpaceDE w:val="0"/>
        <w:autoSpaceDN w:val="0"/>
        <w:adjustRightInd w:val="0"/>
        <w:spacing w:after="0" w:line="240" w:lineRule="auto"/>
        <w:rPr>
          <w:rFonts w:ascii="Times New Roman" w:eastAsia="Times New Roman" w:hAnsi="Times New Roman" w:cs="Times New Roman"/>
          <w:noProof/>
          <w:color w:val="000000"/>
          <w:sz w:val="24"/>
          <w:szCs w:val="24"/>
        </w:rPr>
      </w:pP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В отговор на въпросника от 2016 г. двадесет и пет държави членки</w:t>
      </w:r>
      <w:r>
        <w:rPr>
          <w:rStyle w:val="FootnoteReference"/>
          <w:rFonts w:ascii="Times New Roman" w:hAnsi="Times New Roman"/>
          <w:noProof/>
          <w:color w:val="000000"/>
          <w:sz w:val="24"/>
        </w:rPr>
        <w:footnoteReference w:id="45"/>
      </w:r>
      <w:r>
        <w:rPr>
          <w:rFonts w:ascii="Times New Roman" w:hAnsi="Times New Roman"/>
          <w:noProof/>
          <w:color w:val="000000"/>
          <w:sz w:val="24"/>
        </w:rPr>
        <w:t xml:space="preserve"> докладваха, че са изградили системи за събиране и безопасно обезвреждане на празни съдове и опаковки от ПРЗ. В 21 държави членки тези системи обхващат и </w:t>
      </w:r>
      <w:r>
        <w:rPr>
          <w:rFonts w:ascii="Times New Roman" w:hAnsi="Times New Roman"/>
          <w:noProof/>
          <w:color w:val="000000"/>
          <w:sz w:val="24"/>
        </w:rPr>
        <w:t>събирането и безопасното обезвреждане на остарели пестициди и остатъчни количества от тях и на такива с изтекъл срок на годност. Петнадесет държави членки са въвели системи за одобрение на помещенията за съхранение на пестициди в обектите на производителит</w:t>
      </w:r>
      <w:r>
        <w:rPr>
          <w:rFonts w:ascii="Times New Roman" w:hAnsi="Times New Roman"/>
          <w:noProof/>
          <w:color w:val="000000"/>
          <w:sz w:val="24"/>
        </w:rPr>
        <w:t>е и дистрибуторите.</w:t>
      </w:r>
    </w:p>
    <w:p w:rsidR="0082212F" w:rsidRDefault="001B50F5">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t>Интегрирано управление на вредителите</w:t>
      </w: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Член 3 от Директивата дава определение на ИУВ, а член 14, параграф 4 изисква от държавите членки да посочват в националните си планове за действие как осигуряват прилагането от всички професионални </w:t>
      </w:r>
      <w:r>
        <w:rPr>
          <w:rFonts w:ascii="Times New Roman" w:hAnsi="Times New Roman"/>
          <w:noProof/>
          <w:color w:val="000000"/>
          <w:sz w:val="24"/>
        </w:rPr>
        <w:t>потребители на общите принципи за интегрирано управление на вредителите до 1 януари 2014 г. Също така член 55 от Регламент 1107/2009 гласи, че правилната употреба е съобразена и с разпоредбите на Директивата, и по-специално с общите принципи на ИУВ.</w:t>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tabs>
          <w:tab w:val="left" w:pos="871"/>
        </w:tabs>
        <w:autoSpaceDE w:val="0"/>
        <w:autoSpaceDN w:val="0"/>
        <w:adjustRightInd w:val="0"/>
        <w:spacing w:after="0" w:line="240" w:lineRule="auto"/>
        <w:jc w:val="center"/>
        <w:rPr>
          <w:rFonts w:ascii="Times New Roman" w:eastAsia="Times New Roman" w:hAnsi="Times New Roman" w:cs="Times New Roman"/>
          <w:b/>
          <w:noProof/>
          <w:color w:val="000000"/>
          <w:sz w:val="24"/>
          <w:szCs w:val="24"/>
        </w:rPr>
      </w:pPr>
      <w:r>
        <w:rPr>
          <w:rFonts w:ascii="Times New Roman" w:hAnsi="Times New Roman"/>
          <w:b/>
          <w:noProof/>
          <w:color w:val="000000"/>
          <w:sz w:val="24"/>
        </w:rPr>
        <w:t>Какво представлява ИУВ?</w:t>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numPr>
          <w:ilvl w:val="0"/>
          <w:numId w:val="4"/>
        </w:num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Наред с насърчаването на биологичното земеделие, ИУВ е един от инструментите за управление на вредителите с ниско равнище на употреба на пестициди;</w:t>
      </w:r>
    </w:p>
    <w:p w:rsidR="0082212F" w:rsidRDefault="001B50F5">
      <w:pPr>
        <w:numPr>
          <w:ilvl w:val="0"/>
          <w:numId w:val="4"/>
        </w:num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ИУВ се базира на интегриран подход към предотвратяването и/или премахването на вред</w:t>
      </w:r>
      <w:r>
        <w:rPr>
          <w:rFonts w:ascii="Times New Roman" w:hAnsi="Times New Roman"/>
          <w:noProof/>
          <w:color w:val="000000"/>
          <w:sz w:val="24"/>
        </w:rPr>
        <w:t>ители по растенията чрез използване на цялата налична информация, инструменти и методи за растителна защита;</w:t>
      </w:r>
    </w:p>
    <w:p w:rsidR="0082212F" w:rsidRDefault="001B50F5">
      <w:pPr>
        <w:numPr>
          <w:ilvl w:val="0"/>
          <w:numId w:val="4"/>
        </w:num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Принципът на ИУВ цели да ограничи употребата на пестициди и прилагането на други интервенции единствено до икономически и екологично оправдани нива</w:t>
      </w:r>
      <w:r>
        <w:rPr>
          <w:rFonts w:ascii="Times New Roman" w:hAnsi="Times New Roman"/>
          <w:noProof/>
          <w:color w:val="000000"/>
          <w:sz w:val="24"/>
        </w:rPr>
        <w:t>, които намаляват до минимум риска за човешкото здраве и околната среда;</w:t>
      </w:r>
    </w:p>
    <w:p w:rsidR="0082212F" w:rsidRDefault="001B50F5">
      <w:pPr>
        <w:numPr>
          <w:ilvl w:val="0"/>
          <w:numId w:val="4"/>
        </w:num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Устойчивите биологични, физически и други нехимични методи трябва да се предпочитат пред химичните методи, ако осигуряват задоволително равнище на контрол на вредителите.</w:t>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82212F">
        <w:tc>
          <w:tcPr>
            <w:tcW w:w="9072" w:type="dxa"/>
            <w:shd w:val="clear" w:color="auto" w:fill="C7C7C7" w:themeFill="background1" w:themeFillShade="D9"/>
          </w:tcPr>
          <w:p w:rsidR="0082212F" w:rsidRDefault="001B50F5">
            <w:pPr>
              <w:tabs>
                <w:tab w:val="left" w:pos="871"/>
              </w:tabs>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Необходимо </w:t>
            </w:r>
            <w:r>
              <w:rPr>
                <w:rFonts w:ascii="Times New Roman" w:hAnsi="Times New Roman"/>
                <w:noProof/>
                <w:color w:val="000000"/>
                <w:sz w:val="24"/>
              </w:rPr>
              <w:t>е държавите членки да дефинират ясни критерии, за да могат да оценяват систематично прилагането на осемте принципа на ИУВ и да предприемат необходимите принудителни мерки при неспазване на тези принципи. Такива инструменти биха потвърдили постигането на оч</w:t>
            </w:r>
            <w:r>
              <w:rPr>
                <w:rFonts w:ascii="Times New Roman" w:hAnsi="Times New Roman"/>
                <w:noProof/>
                <w:color w:val="000000"/>
                <w:sz w:val="24"/>
              </w:rPr>
              <w:t>аквания резултат съгласно Директивата, а именно намаляване на зависимостта от употребата на пестициди.</w:t>
            </w:r>
          </w:p>
        </w:tc>
      </w:tr>
    </w:tbl>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Осемте общи принципа на интегрираната борба с вредителите са определени в приложение III към Директивата. Начинът на прилагане на тези принципи в </w:t>
      </w:r>
      <w:r>
        <w:rPr>
          <w:rFonts w:ascii="Times New Roman" w:hAnsi="Times New Roman"/>
          <w:noProof/>
          <w:color w:val="000000"/>
          <w:sz w:val="24"/>
        </w:rPr>
        <w:t>практиката обаче не са изрично определен. Отчасти поради разнообразието на селскостопанския сектор в ЕС по отношение на климатични условия, отглеждани култури, земеделски техники и принципа на допълняемост, осемте принципа на ИУВ се прилагат по най-различе</w:t>
      </w:r>
      <w:r>
        <w:rPr>
          <w:rFonts w:ascii="Times New Roman" w:hAnsi="Times New Roman"/>
          <w:noProof/>
          <w:color w:val="000000"/>
          <w:sz w:val="24"/>
        </w:rPr>
        <w:t xml:space="preserve">н начин от професионалните потребители на пестициди в ЕС. Държавите членки продължават да подпомагат биологичното земеделие като система с ниско равнище на употреба на пестициди, а броят на стопанствата за биологично земеделие продължава да нараства. През </w:t>
      </w:r>
      <w:r>
        <w:rPr>
          <w:rFonts w:ascii="Times New Roman" w:hAnsi="Times New Roman"/>
          <w:noProof/>
          <w:color w:val="000000"/>
          <w:sz w:val="24"/>
        </w:rPr>
        <w:t>2015 г. за биологично земеделие в ЕС са използвани 6,2 % от общите земеделски площи.</w:t>
      </w:r>
    </w:p>
    <w:p w:rsidR="0082212F" w:rsidRDefault="0082212F">
      <w:pPr>
        <w:tabs>
          <w:tab w:val="left" w:pos="871"/>
        </w:tabs>
        <w:autoSpaceDE w:val="0"/>
        <w:autoSpaceDN w:val="0"/>
        <w:adjustRightInd w:val="0"/>
        <w:spacing w:after="0" w:line="240" w:lineRule="auto"/>
        <w:rPr>
          <w:rFonts w:ascii="Times New Roman" w:eastAsia="Times New Roman" w:hAnsi="Times New Roman" w:cs="Times New Roman"/>
          <w:noProof/>
          <w:color w:val="000000"/>
          <w:sz w:val="24"/>
          <w:szCs w:val="24"/>
        </w:rPr>
      </w:pP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В своите национални планове за действие всички държави членки посочват, че предприемат широк набор от всеобхватни мерки за насърчаване на прилагането на ИУВ. В 24 държави</w:t>
      </w:r>
      <w:r>
        <w:rPr>
          <w:rFonts w:ascii="Times New Roman" w:hAnsi="Times New Roman"/>
          <w:noProof/>
          <w:color w:val="000000"/>
          <w:sz w:val="24"/>
        </w:rPr>
        <w:t xml:space="preserve"> членки</w:t>
      </w:r>
      <w:r>
        <w:rPr>
          <w:rStyle w:val="FootnoteReference"/>
          <w:rFonts w:ascii="Times New Roman" w:hAnsi="Times New Roman"/>
          <w:noProof/>
          <w:color w:val="000000"/>
          <w:sz w:val="24"/>
        </w:rPr>
        <w:footnoteReference w:id="46"/>
      </w:r>
      <w:r>
        <w:rPr>
          <w:rFonts w:ascii="Times New Roman" w:hAnsi="Times New Roman"/>
          <w:noProof/>
          <w:color w:val="000000"/>
          <w:sz w:val="24"/>
        </w:rPr>
        <w:t xml:space="preserve"> съществуват обществено финансирани системи за прогнозиране, предупреждение и ранна диагностика за контрол на вредителите и болестите, както и установени икономически прагове за икономически значими вредители, които подпомагат селскостопанските про</w:t>
      </w:r>
      <w:r>
        <w:rPr>
          <w:rFonts w:ascii="Times New Roman" w:hAnsi="Times New Roman"/>
          <w:noProof/>
          <w:color w:val="000000"/>
          <w:sz w:val="24"/>
        </w:rPr>
        <w:t xml:space="preserve">изводители при вземането на решения. За тази цел на официалните интернет страници са налични редица ИТ инструменти. В дванадесет държави членки са създадени мрежи от земеделски стопанства за демонстрация на техники за ИУВ, подходящи за местните климатични </w:t>
      </w:r>
      <w:r>
        <w:rPr>
          <w:rFonts w:ascii="Times New Roman" w:hAnsi="Times New Roman"/>
          <w:noProof/>
          <w:color w:val="000000"/>
          <w:sz w:val="24"/>
        </w:rPr>
        <w:t>условия и отглеждани култури. Освен това професионалните потребители имат достъп до широк набор от насоки за ИУВ, разработени от официалните власти и организации, представляващи различни професионални групи. От държавите членки се изисква да включват общит</w:t>
      </w:r>
      <w:r>
        <w:rPr>
          <w:rFonts w:ascii="Times New Roman" w:hAnsi="Times New Roman"/>
          <w:noProof/>
          <w:color w:val="000000"/>
          <w:sz w:val="24"/>
        </w:rPr>
        <w:t>е принципи на ИУВ в системите за съвети в селското стопанство по член 12, параграф 2, буква д) от Регламент (ЕС) № 1306/2013</w:t>
      </w:r>
      <w:r>
        <w:rPr>
          <w:rFonts w:ascii="Times New Roman" w:hAnsi="Times New Roman"/>
          <w:noProof/>
          <w:color w:val="000000"/>
          <w:sz w:val="24"/>
          <w:vertAlign w:val="superscript"/>
        </w:rPr>
        <w:footnoteReference w:id="47"/>
      </w:r>
      <w:r>
        <w:rPr>
          <w:rFonts w:ascii="Times New Roman" w:hAnsi="Times New Roman"/>
          <w:noProof/>
          <w:color w:val="000000"/>
          <w:sz w:val="24"/>
        </w:rPr>
        <w:t>. Държавите членки подчертаха, че официалните служби за съвети в земеделието предоставят консултации на нетърговски принцип и са ос</w:t>
      </w:r>
      <w:r>
        <w:rPr>
          <w:rFonts w:ascii="Times New Roman" w:hAnsi="Times New Roman"/>
          <w:noProof/>
          <w:color w:val="000000"/>
          <w:sz w:val="24"/>
        </w:rPr>
        <w:t>обено важни за прилагането на ИУВ.</w:t>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Комисията и държавите членки финансират съвместно мрежата ENDURE</w:t>
      </w:r>
      <w:r>
        <w:rPr>
          <w:rFonts w:ascii="Times New Roman" w:hAnsi="Times New Roman"/>
          <w:noProof/>
          <w:color w:val="000000"/>
          <w:sz w:val="24"/>
          <w:vertAlign w:val="superscript"/>
        </w:rPr>
        <w:footnoteReference w:id="48"/>
      </w:r>
      <w:r>
        <w:rPr>
          <w:rFonts w:ascii="Times New Roman" w:hAnsi="Times New Roman"/>
          <w:noProof/>
          <w:color w:val="000000"/>
          <w:sz w:val="24"/>
        </w:rPr>
        <w:t xml:space="preserve"> — обединяваща платформа за селскостопански научни изследвания, преподавателска дейност и трансфер на знания със специален интерес към ИУВ. По линия на Сед</w:t>
      </w:r>
      <w:r>
        <w:rPr>
          <w:rFonts w:ascii="Times New Roman" w:hAnsi="Times New Roman"/>
          <w:noProof/>
          <w:color w:val="000000"/>
          <w:sz w:val="24"/>
        </w:rPr>
        <w:t>ма рамкова програма на Европейския съюз Комисията подкрепя проекта C-IPM</w:t>
      </w:r>
      <w:r>
        <w:rPr>
          <w:rFonts w:ascii="Times New Roman" w:hAnsi="Times New Roman"/>
          <w:noProof/>
          <w:color w:val="000000"/>
          <w:sz w:val="24"/>
          <w:vertAlign w:val="superscript"/>
        </w:rPr>
        <w:footnoteReference w:id="49"/>
      </w:r>
      <w:r>
        <w:rPr>
          <w:rFonts w:ascii="Times New Roman" w:hAnsi="Times New Roman"/>
          <w:noProof/>
          <w:color w:val="000000"/>
          <w:sz w:val="24"/>
        </w:rPr>
        <w:t xml:space="preserve"> за създаването на форум за изследвания в областта на ИУВ и формулирането на приоритети с цел свързване на съществуващи научноизследователски инициативи и отправяне на предложения за </w:t>
      </w:r>
      <w:r>
        <w:rPr>
          <w:rFonts w:ascii="Times New Roman" w:hAnsi="Times New Roman"/>
          <w:noProof/>
          <w:color w:val="000000"/>
          <w:sz w:val="24"/>
        </w:rPr>
        <w:t>нови научни изследвания. Комисията финансира и редица други научноизследователски проекти</w:t>
      </w:r>
      <w:r>
        <w:rPr>
          <w:rStyle w:val="FootnoteReference"/>
          <w:rFonts w:ascii="Times New Roman" w:hAnsi="Times New Roman"/>
          <w:noProof/>
          <w:color w:val="000000"/>
          <w:sz w:val="24"/>
        </w:rPr>
        <w:footnoteReference w:id="50"/>
      </w:r>
      <w:r>
        <w:rPr>
          <w:rFonts w:ascii="Times New Roman" w:hAnsi="Times New Roman"/>
          <w:noProof/>
          <w:color w:val="000000"/>
          <w:sz w:val="24"/>
        </w:rPr>
        <w:t>. През 2014 и 2016 г. в сътрудничество с органите в Германия бяха организирани два семинара, посветени на ИУВ. От 2018 г. нататък Комисията ще проведе серия курсове з</w:t>
      </w:r>
      <w:r>
        <w:rPr>
          <w:rFonts w:ascii="Times New Roman" w:hAnsi="Times New Roman"/>
          <w:noProof/>
          <w:color w:val="000000"/>
          <w:sz w:val="24"/>
        </w:rPr>
        <w:t>а обучение за прилагане на принципите на ИУВ в рамките на програмата „По-добро обучение за по-безопасни храни“ с участието на експерти от държавите членки.</w:t>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Държавите членки не са трансформирали принципите на ИУВ в нормативно установени и оценими критерии.</w:t>
      </w:r>
      <w:r>
        <w:rPr>
          <w:rFonts w:ascii="Times New Roman" w:hAnsi="Times New Roman"/>
          <w:noProof/>
          <w:color w:val="000000"/>
          <w:sz w:val="24"/>
        </w:rPr>
        <w:t xml:space="preserve"> Те разглеждат ИУВ предимно като полезен образователен инструмент за селскостопанските производители и не разполагат с методи за оценка на съответствието с принципите на ИУВ. Въпреки че държавите членки предприемат редица мерки за насърчаване на прилаганет</w:t>
      </w:r>
      <w:r>
        <w:rPr>
          <w:rFonts w:ascii="Times New Roman" w:hAnsi="Times New Roman"/>
          <w:noProof/>
          <w:color w:val="000000"/>
          <w:sz w:val="24"/>
        </w:rPr>
        <w:t>о на принципите на ИУВ, това не гарантира непременно действителното прилагане на съответните техники за ИУВ от потребителите. Земеделските стопани са стопански субекти и въпреки че техниките за ИУВ са устойчиви в дългосрочен план, ИУВ може да означава по-в</w:t>
      </w:r>
      <w:r>
        <w:rPr>
          <w:rFonts w:ascii="Times New Roman" w:hAnsi="Times New Roman"/>
          <w:noProof/>
          <w:color w:val="000000"/>
          <w:sz w:val="24"/>
        </w:rPr>
        <w:t>исок икономически риск в краткосрочен план. Отглеждането на царевица или пшеница като монокултура например може да бъде предпочетено по икономически причини. Цената на този краткосрочен подход към управлението на земята обаче крие значителен риск в дългоср</w:t>
      </w:r>
      <w:r>
        <w:rPr>
          <w:rFonts w:ascii="Times New Roman" w:hAnsi="Times New Roman"/>
          <w:noProof/>
          <w:color w:val="000000"/>
          <w:sz w:val="24"/>
        </w:rPr>
        <w:t xml:space="preserve">очен план, например поради увеличаване на популациите от вредители или плевели в монокултурите. И накрая, монокултурите могат да доведат до загуба на биологично разнообразие, ерозия на почвите и дори опустиняване. Като пример за краткосрочна мярка Румъния </w:t>
      </w:r>
      <w:r>
        <w:rPr>
          <w:rFonts w:ascii="Times New Roman" w:hAnsi="Times New Roman"/>
          <w:noProof/>
          <w:color w:val="000000"/>
          <w:sz w:val="24"/>
        </w:rPr>
        <w:t>е предоставила разрешение за употребата на неоникотиноиди за третиране на семена в засадена с царевица неопределена площ, без да проучи потенциала на ротацията на културите като алтернатива.</w:t>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В хода на проучвателните посещения в държавите членки през 2017 </w:t>
      </w:r>
      <w:r>
        <w:rPr>
          <w:rFonts w:ascii="Times New Roman" w:hAnsi="Times New Roman"/>
          <w:noProof/>
          <w:color w:val="000000"/>
          <w:sz w:val="24"/>
        </w:rPr>
        <w:t>г. Комисията се натъкна на примери за оценяване на начина на прилагането на принципите на ИУВ. В повечето случаи става дума за самооценки от страна на земеделските стопани, от които е видно, че практиките за ИУВ намират по-широко приложение в сектора на зе</w:t>
      </w:r>
      <w:r>
        <w:rPr>
          <w:rFonts w:ascii="Times New Roman" w:hAnsi="Times New Roman"/>
          <w:noProof/>
          <w:color w:val="000000"/>
          <w:sz w:val="24"/>
        </w:rPr>
        <w:t>ленчукопроизводството, оранжерийното растениевъдство и разсадниците, отколкото при културите, отглеждани върху обработваеми земи. Извършват се и проверки за потвърждаване на прилагането на принципите на ИУВ в рамките на доброволни схеми и за целите на част</w:t>
      </w:r>
      <w:r>
        <w:rPr>
          <w:rFonts w:ascii="Times New Roman" w:hAnsi="Times New Roman"/>
          <w:noProof/>
          <w:color w:val="000000"/>
          <w:sz w:val="24"/>
        </w:rPr>
        <w:t>но сертифициране по стандарти за добри практики в земеделието.</w:t>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В шестте посетени държави членки органите изразиха становище, че някои техники за ИУВ могат да бъдат възприети на по-широка основа, като например ротацията на култури, правилния подбор на семе</w:t>
      </w:r>
      <w:r>
        <w:rPr>
          <w:rFonts w:ascii="Times New Roman" w:hAnsi="Times New Roman"/>
          <w:noProof/>
          <w:color w:val="000000"/>
          <w:sz w:val="24"/>
        </w:rPr>
        <w:t>на и посадъчен материал и използването на подходящи техники за обработка. Това становище се потвърждава от проучване в Дания, което показва, че въпреки по-добрата осведоменост относно техниките за ИУВ сред земеделските стопани, повишаването на тяхното прил</w:t>
      </w:r>
      <w:r>
        <w:rPr>
          <w:rFonts w:ascii="Times New Roman" w:hAnsi="Times New Roman"/>
          <w:noProof/>
          <w:color w:val="000000"/>
          <w:sz w:val="24"/>
        </w:rPr>
        <w:t>агане на практика бележи незначителен ръст. Според анализ, извършен в Нидерландия, земеделските стопани като цяло прилагат принципите на ИУВ, но не съумяват да оползотворят пълния потенциал на отделните принципи.</w:t>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Като препятствие за по-нататъшното развити</w:t>
      </w:r>
      <w:r>
        <w:rPr>
          <w:rFonts w:ascii="Times New Roman" w:hAnsi="Times New Roman"/>
          <w:noProof/>
          <w:color w:val="000000"/>
          <w:sz w:val="24"/>
        </w:rPr>
        <w:t>е на ИУВ държавите членки посочват и ограничената наличност на нехимичeски пестициди с нисък риск. В няколко национални плана за действие се споменават стимули за регистрацията на нехимичeски пестициди с нисък риск. Следователно разрешаването и насърчаване</w:t>
      </w:r>
      <w:r>
        <w:rPr>
          <w:rFonts w:ascii="Times New Roman" w:hAnsi="Times New Roman"/>
          <w:noProof/>
          <w:color w:val="000000"/>
          <w:sz w:val="24"/>
        </w:rPr>
        <w:t>то на нехимичeски пестициди с нисък риск е друга важна мярка в подкрепа на ниското равнище на употреба на пестициди при управление на вредителите. В три държави членки</w:t>
      </w:r>
      <w:r>
        <w:rPr>
          <w:rStyle w:val="FootnoteReference"/>
          <w:rFonts w:ascii="Times New Roman" w:hAnsi="Times New Roman"/>
          <w:noProof/>
          <w:color w:val="000000"/>
          <w:sz w:val="24"/>
        </w:rPr>
        <w:footnoteReference w:id="51"/>
      </w:r>
      <w:r>
        <w:rPr>
          <w:rFonts w:ascii="Times New Roman" w:hAnsi="Times New Roman"/>
          <w:noProof/>
          <w:color w:val="000000"/>
          <w:sz w:val="24"/>
        </w:rPr>
        <w:t xml:space="preserve"> беше установен висок дял на нехимическите активни вещества в пестицидите спрямо всички </w:t>
      </w:r>
      <w:r>
        <w:rPr>
          <w:rFonts w:ascii="Times New Roman" w:hAnsi="Times New Roman"/>
          <w:noProof/>
          <w:color w:val="000000"/>
          <w:sz w:val="24"/>
        </w:rPr>
        <w:t>активни вещества в разрешените пестициди (над 10 % през 2015 г.).</w:t>
      </w:r>
    </w:p>
    <w:p w:rsidR="0082212F" w:rsidRDefault="001B50F5">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t>Показатели за риска</w:t>
      </w: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С цел измерване на постигнатия напредък в намаляването на рисковете и неблагоприятните въздействия от употребата на пестициди за здравето на човека и околната среда, </w:t>
      </w:r>
      <w:r>
        <w:rPr>
          <w:rFonts w:ascii="Times New Roman" w:hAnsi="Times New Roman"/>
          <w:noProof/>
          <w:color w:val="000000"/>
          <w:sz w:val="24"/>
        </w:rPr>
        <w:t>член 15 от Директивата изисква установяване на хармонизирани показатели за риска. Предвижда се държавите членки да продължат да използват съществуващите национални показатели или да приемат други подходящи показатели по целесъобразност.</w:t>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82212F">
        <w:tc>
          <w:tcPr>
            <w:tcW w:w="9072" w:type="dxa"/>
            <w:shd w:val="clear" w:color="auto" w:fill="C7C7C7" w:themeFill="background1" w:themeFillShade="D9"/>
          </w:tcPr>
          <w:p w:rsidR="0082212F" w:rsidRDefault="001B50F5">
            <w:pPr>
              <w:tabs>
                <w:tab w:val="left" w:pos="871"/>
              </w:tabs>
              <w:autoSpaceDE w:val="0"/>
              <w:autoSpaceDN w:val="0"/>
              <w:adjustRightInd w:val="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Комисията информир</w:t>
            </w:r>
            <w:r>
              <w:rPr>
                <w:rFonts w:ascii="Times New Roman" w:hAnsi="Times New Roman"/>
                <w:noProof/>
                <w:color w:val="000000"/>
                <w:sz w:val="24"/>
              </w:rPr>
              <w:t>а държавите членки, че възнамерява да започне дебат за постигането на консенсус относно разработването на хармонизирани показатели за риска, без да заменя допълнителните национални показатели.</w:t>
            </w:r>
          </w:p>
        </w:tc>
      </w:tr>
    </w:tbl>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До момента Комисията не е установила хармонизирани показатели</w:t>
      </w:r>
      <w:r>
        <w:rPr>
          <w:rFonts w:ascii="Times New Roman" w:hAnsi="Times New Roman"/>
          <w:noProof/>
          <w:color w:val="000000"/>
          <w:sz w:val="24"/>
        </w:rPr>
        <w:t xml:space="preserve"> за целия ЕС. Въпреки че Комисията неотдавна откри някои слабости по отношение на наличието и качеството на статистически данни за пестицидите</w:t>
      </w:r>
      <w:r>
        <w:rPr>
          <w:rStyle w:val="FootnoteReference"/>
          <w:rFonts w:ascii="Times New Roman" w:hAnsi="Times New Roman"/>
          <w:noProof/>
          <w:color w:val="000000"/>
          <w:sz w:val="24"/>
        </w:rPr>
        <w:footnoteReference w:id="52"/>
      </w:r>
      <w:r>
        <w:rPr>
          <w:rFonts w:ascii="Times New Roman" w:hAnsi="Times New Roman"/>
          <w:noProof/>
          <w:color w:val="000000"/>
          <w:sz w:val="24"/>
        </w:rPr>
        <w:t>, голяма част от които понастоящем не могат да бъдат използвани от съображения за поверителност и поради правни о</w:t>
      </w:r>
      <w:r>
        <w:rPr>
          <w:rFonts w:ascii="Times New Roman" w:hAnsi="Times New Roman"/>
          <w:noProof/>
          <w:color w:val="000000"/>
          <w:sz w:val="24"/>
        </w:rPr>
        <w:t xml:space="preserve">граничения, придобитият опит показва, че измерването на риска е сложна задача, която предвид наличните на равнище ЕС данни не може да бъде изпълнена единствено чрез позоваване на информация за общите продажби на продукти за растителна защита. Причината за </w:t>
      </w:r>
      <w:r>
        <w:rPr>
          <w:rFonts w:ascii="Times New Roman" w:hAnsi="Times New Roman"/>
          <w:noProof/>
          <w:color w:val="000000"/>
          <w:sz w:val="24"/>
        </w:rPr>
        <w:t xml:space="preserve">това е, че рисковете от пестициди варират в зависимост от редица фактори, и по-специално от съдържащите се в тях активни вещества, но също така от начина на употреба на пестицидите. </w:t>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При липсата на хармонизирани показатели държавите членки продължават да </w:t>
      </w:r>
      <w:r>
        <w:rPr>
          <w:rFonts w:ascii="Times New Roman" w:hAnsi="Times New Roman"/>
          <w:noProof/>
          <w:color w:val="000000"/>
          <w:sz w:val="24"/>
        </w:rPr>
        <w:t>използват съществуващите показатели за риска, описани в някои от националните планове за действие. Дания например е разработила „Показател за пестициден товар“ — инструмент за изчисляване на потенциалния товар на отделните пестициди на пазара за околната с</w:t>
      </w:r>
      <w:r>
        <w:rPr>
          <w:rFonts w:ascii="Times New Roman" w:hAnsi="Times New Roman"/>
          <w:noProof/>
          <w:color w:val="000000"/>
          <w:sz w:val="24"/>
        </w:rPr>
        <w:t xml:space="preserve">реда и здравето на човека въз основа на токсикологичната класификация на пестицидите. </w:t>
      </w:r>
    </w:p>
    <w:p w:rsidR="0082212F" w:rsidRDefault="001B50F5">
      <w:pPr>
        <w:keepNext/>
        <w:numPr>
          <w:ilvl w:val="1"/>
          <w:numId w:val="1"/>
        </w:numPr>
        <w:spacing w:before="360" w:after="120" w:line="240" w:lineRule="auto"/>
        <w:jc w:val="both"/>
        <w:outlineLvl w:val="0"/>
        <w:rPr>
          <w:rFonts w:ascii="Times New Roman" w:eastAsia="Times New Roman" w:hAnsi="Times New Roman" w:cs="Times New Roman"/>
          <w:bCs/>
          <w:caps/>
          <w:smallCaps/>
          <w:noProof/>
          <w:sz w:val="24"/>
          <w:szCs w:val="24"/>
        </w:rPr>
      </w:pPr>
      <w:r>
        <w:rPr>
          <w:rFonts w:ascii="Times New Roman" w:hAnsi="Times New Roman"/>
          <w:caps/>
          <w:smallCaps/>
          <w:noProof/>
          <w:sz w:val="24"/>
        </w:rPr>
        <w:t>Продукти с нисък риск</w:t>
      </w: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Съгласно член 14 от Директивата държавите членки вземат всички необходими мерки за насърчаване на ниско равнище на употреба на пестициди при управл</w:t>
      </w:r>
      <w:r>
        <w:rPr>
          <w:rFonts w:ascii="Times New Roman" w:hAnsi="Times New Roman"/>
          <w:noProof/>
          <w:color w:val="000000"/>
          <w:sz w:val="24"/>
        </w:rPr>
        <w:t>ение на вредителите, като дават предимство, когато е възможно, на нехимични методи, за да преминат професионалните потребители на пестициди към практики и продукти измежду наличните за даден причинен от вредители проблем, които представляват най-малък риск</w:t>
      </w:r>
      <w:r>
        <w:rPr>
          <w:rFonts w:ascii="Times New Roman" w:hAnsi="Times New Roman"/>
          <w:noProof/>
          <w:color w:val="000000"/>
          <w:sz w:val="24"/>
        </w:rPr>
        <w:t xml:space="preserve"> за здравето на хората и околната среда.</w:t>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tbl>
      <w:tblPr>
        <w:tblStyle w:val="TableGrid1"/>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82212F">
        <w:tc>
          <w:tcPr>
            <w:tcW w:w="9072"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hideMark/>
          </w:tcPr>
          <w:p w:rsidR="0082212F" w:rsidRDefault="001B50F5">
            <w:pPr>
              <w:tabs>
                <w:tab w:val="left" w:pos="871"/>
              </w:tabs>
              <w:autoSpaceDE w:val="0"/>
              <w:autoSpaceDN w:val="0"/>
              <w:adjustRightInd w:val="0"/>
              <w:jc w:val="both"/>
              <w:rPr>
                <w:rFonts w:ascii="Times New Roman" w:hAnsi="Times New Roman"/>
                <w:noProof/>
                <w:color w:val="000000"/>
                <w:sz w:val="24"/>
                <w:szCs w:val="24"/>
              </w:rPr>
            </w:pPr>
            <w:r>
              <w:rPr>
                <w:rFonts w:ascii="Times New Roman" w:hAnsi="Times New Roman"/>
                <w:noProof/>
                <w:color w:val="000000"/>
                <w:sz w:val="24"/>
              </w:rPr>
              <w:t>Комисията предприема мерки за ускорено повишаване на броя на наличните пестициди с нисък риск.</w:t>
            </w:r>
          </w:p>
        </w:tc>
      </w:tr>
    </w:tbl>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Когато дадено вещество бъде определено като нискорисково, могат да бъдат приложени стимулите, предвидени в Регламент </w:t>
      </w:r>
      <w:r>
        <w:rPr>
          <w:rFonts w:ascii="Times New Roman" w:hAnsi="Times New Roman"/>
          <w:noProof/>
          <w:color w:val="000000"/>
          <w:sz w:val="24"/>
        </w:rPr>
        <w:t>(ЕО) № 1107/2009. Те включват по-дълъг срок на валидност на одобрението — 15 години (вместо стандартния десетгодишен срок), по-дълъг период за защита на данните и ускорена процедура за разрешаването на нискорискови продукти за растителна защита (120 дни вм</w:t>
      </w:r>
      <w:r>
        <w:rPr>
          <w:rFonts w:ascii="Times New Roman" w:hAnsi="Times New Roman"/>
          <w:noProof/>
          <w:color w:val="000000"/>
          <w:sz w:val="24"/>
        </w:rPr>
        <w:t>есто една година).</w:t>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За да увеличи наличието на нискорискови вещества, в рамките на текущата програма за преглед Комисията дава приоритет на оценката на потенциално нискорисковите активни вещества</w:t>
      </w:r>
      <w:r>
        <w:rPr>
          <w:rFonts w:ascii="Times New Roman" w:hAnsi="Times New Roman"/>
          <w:noProof/>
          <w:color w:val="000000"/>
          <w:sz w:val="24"/>
          <w:vertAlign w:val="superscript"/>
        </w:rPr>
        <w:footnoteReference w:id="53"/>
      </w:r>
      <w:r>
        <w:rPr>
          <w:rFonts w:ascii="Times New Roman" w:hAnsi="Times New Roman"/>
          <w:noProof/>
          <w:color w:val="000000"/>
          <w:sz w:val="24"/>
        </w:rPr>
        <w:t xml:space="preserve">. С приемането на Регламент (ЕС) 2017/1432 Комисията поясни </w:t>
      </w:r>
      <w:r>
        <w:rPr>
          <w:rFonts w:ascii="Times New Roman" w:hAnsi="Times New Roman"/>
          <w:noProof/>
          <w:color w:val="000000"/>
          <w:sz w:val="24"/>
        </w:rPr>
        <w:t>съществуващите критерии за идентифициране и одобрение на нискорискови вещества</w:t>
      </w:r>
      <w:r>
        <w:rPr>
          <w:rFonts w:ascii="Times New Roman" w:hAnsi="Times New Roman"/>
          <w:noProof/>
          <w:color w:val="000000"/>
          <w:sz w:val="24"/>
          <w:vertAlign w:val="superscript"/>
        </w:rPr>
        <w:footnoteReference w:id="54"/>
      </w:r>
      <w:r>
        <w:rPr>
          <w:rFonts w:ascii="Times New Roman" w:hAnsi="Times New Roman"/>
          <w:noProof/>
          <w:color w:val="000000"/>
          <w:sz w:val="24"/>
        </w:rPr>
        <w:t>. Понастоящем от общо почти 500 вещества само десет са одобрени като нискорискови. Счита се обаче, че от вече одобрените съгласно Директива 91/414/ЕИО вещества вероятно над 70 щ</w:t>
      </w:r>
      <w:r>
        <w:rPr>
          <w:rFonts w:ascii="Times New Roman" w:hAnsi="Times New Roman"/>
          <w:noProof/>
          <w:color w:val="000000"/>
          <w:sz w:val="24"/>
        </w:rPr>
        <w:t xml:space="preserve">е съответстват на новоприетите критерии за нисък риск. През следващите три години ще бъде извършена повторна оценка на тези вещества за подновяване на техните одобрения, което вероятно ще доведе до увеличаване на общия брой на  веществата с нисък риск. </w:t>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О</w:t>
      </w:r>
      <w:r>
        <w:rPr>
          <w:rFonts w:ascii="Times New Roman" w:hAnsi="Times New Roman"/>
          <w:noProof/>
          <w:color w:val="000000"/>
          <w:sz w:val="24"/>
        </w:rPr>
        <w:t xml:space="preserve">свен критерии, приложими за продукти с нисък риск, Регламент (ЕО) № 1107/2009 включва и конкретни разпоредби относно основните вещества. Такива вещества са например хранителни продукти, които обикновено се използват за цели, различни от растителна защита, </w:t>
      </w:r>
      <w:r>
        <w:rPr>
          <w:rFonts w:ascii="Times New Roman" w:hAnsi="Times New Roman"/>
          <w:noProof/>
          <w:color w:val="000000"/>
          <w:sz w:val="24"/>
        </w:rPr>
        <w:t>например оцет. В голямата си част те са с биологичен/естествен произход и често са традиционно използвани в биологичното земеделие. До момента са одобрени 15 основни вещества, като Комисията и държавите членки работят активно за разширяване на одобрената г</w:t>
      </w:r>
      <w:r>
        <w:rPr>
          <w:rFonts w:ascii="Times New Roman" w:hAnsi="Times New Roman"/>
          <w:noProof/>
          <w:color w:val="000000"/>
          <w:sz w:val="24"/>
        </w:rPr>
        <w:t>ама от продукти. Други т.нар. „агенти за биологичен контрол“, като полезни насекоми или нематоди, могат да бъдат използвани като алтернативни техники за борба с вредители, а са извън обхвата на Регламент (ЕО) № 1107/2009.</w:t>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tabs>
          <w:tab w:val="left" w:pos="871"/>
        </w:tabs>
        <w:autoSpaceDE w:val="0"/>
        <w:autoSpaceDN w:val="0"/>
        <w:adjustRightInd w:val="0"/>
        <w:spacing w:after="0" w:line="240" w:lineRule="auto"/>
        <w:jc w:val="center"/>
        <w:rPr>
          <w:rFonts w:ascii="Times New Roman" w:eastAsia="Times New Roman" w:hAnsi="Times New Roman" w:cs="Times New Roman"/>
          <w:noProof/>
          <w:color w:val="000000"/>
          <w:sz w:val="24"/>
          <w:szCs w:val="24"/>
        </w:rPr>
      </w:pPr>
      <w:bookmarkStart w:id="3" w:name="_GoBack"/>
      <w:r>
        <w:rPr>
          <w:rFonts w:ascii="Times New Roman" w:eastAsia="Times New Roman" w:hAnsi="Times New Roman" w:cs="Times New Roman"/>
          <w:noProof/>
          <w:color w:val="000000"/>
          <w:sz w:val="24"/>
          <w:szCs w:val="24"/>
          <w:lang w:val="en-GB" w:eastAsia="en-GB" w:bidi="ar-SA"/>
        </w:rPr>
        <w:drawing>
          <wp:inline distT="0" distB="0" distL="0" distR="0">
            <wp:extent cx="4871103" cy="2444097"/>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77699" cy="2447406"/>
                    </a:xfrm>
                    <a:prstGeom prst="rect">
                      <a:avLst/>
                    </a:prstGeom>
                    <a:noFill/>
                  </pic:spPr>
                </pic:pic>
              </a:graphicData>
            </a:graphic>
          </wp:inline>
        </w:drawing>
      </w:r>
      <w:bookmarkEnd w:id="3"/>
    </w:p>
    <w:p w:rsidR="0082212F" w:rsidRDefault="001B50F5">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Фигура 2: Увеличаване на броя </w:t>
      </w:r>
      <w:r>
        <w:rPr>
          <w:rFonts w:ascii="Times New Roman" w:hAnsi="Times New Roman"/>
          <w:noProof/>
          <w:color w:val="000000" w:themeColor="text1"/>
          <w:sz w:val="24"/>
        </w:rPr>
        <w:t>на алтернативните вещества, одобрени от ЕС</w:t>
      </w:r>
    </w:p>
    <w:p w:rsidR="0082212F" w:rsidRDefault="001B50F5">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themeColor="text1"/>
          <w:sz w:val="24"/>
        </w:rPr>
        <w:t>На последно място Комисията, чрез своите програми за научни изследвания и иновации, продължава да подкрепя широк набор от научноизследователски проекти в областта на защитата на растенията за идентифициране на про</w:t>
      </w:r>
      <w:r>
        <w:rPr>
          <w:rFonts w:ascii="Times New Roman" w:hAnsi="Times New Roman"/>
          <w:noProof/>
          <w:color w:val="000000" w:themeColor="text1"/>
          <w:sz w:val="24"/>
        </w:rPr>
        <w:t>дукти с нисък риск и техники за биологичен контрол</w:t>
      </w:r>
      <w:r>
        <w:rPr>
          <w:rStyle w:val="FootnoteReference"/>
          <w:rFonts w:ascii="Times New Roman" w:hAnsi="Times New Roman"/>
          <w:noProof/>
          <w:color w:val="000000" w:themeColor="text1"/>
          <w:sz w:val="24"/>
        </w:rPr>
        <w:footnoteReference w:id="55"/>
      </w:r>
      <w:r>
        <w:rPr>
          <w:rFonts w:ascii="Times New Roman" w:hAnsi="Times New Roman"/>
          <w:noProof/>
          <w:color w:val="000000" w:themeColor="text1"/>
          <w:sz w:val="24"/>
        </w:rPr>
        <w:t>.</w:t>
      </w:r>
    </w:p>
    <w:p w:rsidR="0082212F" w:rsidRDefault="001B50F5">
      <w:pPr>
        <w:keepNext/>
        <w:numPr>
          <w:ilvl w:val="0"/>
          <w:numId w:val="1"/>
        </w:numPr>
        <w:spacing w:before="360" w:after="120" w:line="240" w:lineRule="auto"/>
        <w:jc w:val="both"/>
        <w:outlineLvl w:val="0"/>
        <w:rPr>
          <w:rFonts w:ascii="Times New Roman" w:eastAsia="Times New Roman" w:hAnsi="Times New Roman" w:cs="Times New Roman"/>
          <w:b/>
          <w:bCs/>
          <w:caps/>
          <w:smallCaps/>
          <w:noProof/>
          <w:sz w:val="24"/>
          <w:szCs w:val="24"/>
        </w:rPr>
      </w:pPr>
      <w:r>
        <w:rPr>
          <w:rFonts w:ascii="Times New Roman" w:hAnsi="Times New Roman"/>
          <w:b/>
          <w:caps/>
          <w:smallCaps/>
          <w:noProof/>
          <w:sz w:val="24"/>
        </w:rPr>
        <w:t>Заключения</w:t>
      </w: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Вече над 20 години в Европейския съюз действа значително по обем и обхват законодателство и се предприемат мерки за осигуряване на безопасната, намаляваща във времето и по-прецизна употреба на</w:t>
      </w:r>
      <w:r>
        <w:rPr>
          <w:rFonts w:ascii="Times New Roman" w:hAnsi="Times New Roman"/>
          <w:noProof/>
          <w:color w:val="000000"/>
          <w:sz w:val="24"/>
        </w:rPr>
        <w:t xml:space="preserve"> пестициди в земеделието. Директивата предлага възможност за значително намаляване на рисковете, произтичащи от употребата на пестициди. Докато обаче държавите членки не осигурят строгото ѝ прилагане, тези подобрения имат ограничено въздействие и със сигур</w:t>
      </w:r>
      <w:r>
        <w:rPr>
          <w:rFonts w:ascii="Times New Roman" w:hAnsi="Times New Roman"/>
          <w:noProof/>
          <w:color w:val="000000"/>
          <w:sz w:val="24"/>
        </w:rPr>
        <w:t>ност не са достатъчни за постигането на очакваните от Директивата положителни резултати за околната среда и здравето. Държавите членки могат да използват националните планове за действие с ясни и измерими цели за убеждаване на гражданите в надлежното прила</w:t>
      </w:r>
      <w:r>
        <w:rPr>
          <w:rFonts w:ascii="Times New Roman" w:hAnsi="Times New Roman"/>
          <w:noProof/>
          <w:color w:val="000000"/>
          <w:sz w:val="24"/>
        </w:rPr>
        <w:t>гане на Директивата, а извън това — и за отправяне на новаторски предложения за допълнително намаляване на рисковете от пестициди.</w:t>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keepNext/>
        <w:spacing w:before="120" w:after="120" w:line="240" w:lineRule="auto"/>
        <w:ind w:left="850"/>
        <w:jc w:val="both"/>
        <w:outlineLvl w:val="2"/>
        <w:rPr>
          <w:rFonts w:ascii="Times New Roman" w:eastAsia="Times New Roman" w:hAnsi="Times New Roman" w:cs="Times New Roman"/>
          <w:bCs/>
          <w:i/>
          <w:noProof/>
          <w:sz w:val="24"/>
          <w:szCs w:val="26"/>
        </w:rPr>
      </w:pPr>
      <w:r>
        <w:rPr>
          <w:rFonts w:ascii="Times New Roman" w:hAnsi="Times New Roman"/>
          <w:i/>
          <w:noProof/>
          <w:sz w:val="24"/>
        </w:rPr>
        <w:t xml:space="preserve">4.1 Национални планове за действие и прилагане на Директивата </w:t>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Националните планове за действие са средството, чрез което </w:t>
      </w:r>
      <w:r>
        <w:rPr>
          <w:rFonts w:ascii="Times New Roman" w:hAnsi="Times New Roman"/>
          <w:noProof/>
          <w:color w:val="000000"/>
          <w:sz w:val="24"/>
        </w:rPr>
        <w:t>държавите членки определят цели и действия за постигането на целта на Директивата и могат да бъдат разглеждани като значима крачка към постигането на устойчива употреба на пестициди. В момента държавите членки извършват преглед на своите първи планове и пъ</w:t>
      </w:r>
      <w:r>
        <w:rPr>
          <w:rFonts w:ascii="Times New Roman" w:hAnsi="Times New Roman"/>
          <w:noProof/>
          <w:color w:val="000000"/>
          <w:sz w:val="24"/>
        </w:rPr>
        <w:t>лната картина на изпълнението ще стане известна след приключването на този процес.</w:t>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Въпреки постигнатия значителен напредък този доклад констатира немаловажни пропуски в много направления на плановете,</w:t>
      </w:r>
      <w:r>
        <w:rPr>
          <w:noProof/>
        </w:rPr>
        <w:t xml:space="preserve"> </w:t>
      </w:r>
      <w:r>
        <w:rPr>
          <w:rFonts w:ascii="Times New Roman" w:hAnsi="Times New Roman"/>
          <w:noProof/>
          <w:color w:val="000000"/>
          <w:sz w:val="24"/>
        </w:rPr>
        <w:t>например по отношение на въздушното пръскане, осведомя</w:t>
      </w:r>
      <w:r>
        <w:rPr>
          <w:rFonts w:ascii="Times New Roman" w:hAnsi="Times New Roman"/>
          <w:noProof/>
          <w:color w:val="000000"/>
          <w:sz w:val="24"/>
        </w:rPr>
        <w:t>ването на обществеността, събирането на информация относно случаите на натравяне и мерките за опазване на водната околна среда. Интегрираното управление на вредителите е крайъгълен камък на Директивата, поради което фактът, че държавите членки все още не с</w:t>
      </w:r>
      <w:r>
        <w:rPr>
          <w:rFonts w:ascii="Times New Roman" w:hAnsi="Times New Roman"/>
          <w:noProof/>
          <w:color w:val="000000"/>
          <w:sz w:val="24"/>
        </w:rPr>
        <w:t>а определили ясни цели и не са предприели мерки за тяхното изпълнение, включително по отношение на по-широкото използване на техники за управление на земята, като например ротация на културите, е особено тревожно. Необходимо е държавите членки да усъвършен</w:t>
      </w:r>
      <w:r>
        <w:rPr>
          <w:rFonts w:ascii="Times New Roman" w:hAnsi="Times New Roman"/>
          <w:noProof/>
          <w:color w:val="000000"/>
          <w:sz w:val="24"/>
        </w:rPr>
        <w:t>стват своите планове, основно чрез определяне на конкретни и измерими цели и показатели за дългосрочна стратегия за намаляване на рисковете и въздействието от употребата на пестициди. Тези подобрения следва да бъдат включени в преразгледаните планове за де</w:t>
      </w:r>
      <w:r>
        <w:rPr>
          <w:rFonts w:ascii="Times New Roman" w:hAnsi="Times New Roman"/>
          <w:noProof/>
          <w:color w:val="000000"/>
          <w:sz w:val="24"/>
        </w:rPr>
        <w:t xml:space="preserve">йствие, което би позволило на държавите членки да осъществяват постоянен мониторинг на напредъка в изпълнението и при необходимост да коригират своите стратегии. </w:t>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Комисията е изпратила писма до държавите членки, при които са установени пропуски в плановет</w:t>
      </w:r>
      <w:r>
        <w:rPr>
          <w:rFonts w:ascii="Times New Roman" w:hAnsi="Times New Roman"/>
          <w:noProof/>
          <w:color w:val="000000"/>
          <w:sz w:val="24"/>
        </w:rPr>
        <w:t>е или в тяхното изпълнение, за да им напомни за техните задължения и значението на прилагането на Директивата. Въз основа на проучвателните посещения в шест държави членки през 2017 г. Комисията ще продължи да оценява НПД и да наблюдава прилагането на Дире</w:t>
      </w:r>
      <w:r>
        <w:rPr>
          <w:rFonts w:ascii="Times New Roman" w:hAnsi="Times New Roman"/>
          <w:noProof/>
          <w:color w:val="000000"/>
          <w:sz w:val="24"/>
        </w:rPr>
        <w:t xml:space="preserve">ктивата от държавите членки чрез своите одити, други действия и последващи действия, за да се гарантира изпълнение на целите на Директивата. При необходимост Комисията ще обмисли откриването на процедури за нарушение. </w:t>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keepNext/>
        <w:spacing w:before="120" w:after="120" w:line="240" w:lineRule="auto"/>
        <w:ind w:left="850"/>
        <w:jc w:val="both"/>
        <w:outlineLvl w:val="2"/>
        <w:rPr>
          <w:rFonts w:ascii="Times New Roman" w:eastAsia="Times New Roman" w:hAnsi="Times New Roman" w:cs="Times New Roman"/>
          <w:bCs/>
          <w:i/>
          <w:noProof/>
          <w:sz w:val="24"/>
          <w:szCs w:val="26"/>
        </w:rPr>
      </w:pPr>
      <w:r>
        <w:rPr>
          <w:rFonts w:ascii="Times New Roman" w:hAnsi="Times New Roman"/>
          <w:i/>
          <w:noProof/>
          <w:sz w:val="24"/>
        </w:rPr>
        <w:t>4.2 Дейности на Комисията в подкрепа</w:t>
      </w:r>
      <w:r>
        <w:rPr>
          <w:rFonts w:ascii="Times New Roman" w:hAnsi="Times New Roman"/>
          <w:i/>
          <w:noProof/>
          <w:sz w:val="24"/>
        </w:rPr>
        <w:t xml:space="preserve"> на държавите членки</w:t>
      </w:r>
    </w:p>
    <w:p w:rsidR="0082212F" w:rsidRDefault="001B50F5">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В своя доклад до Съвета експертната група по въпросите на устойчивата растителна защита, създадена по време на холандското председателство, представи план за изпълнение за повишаване на наличието на нискорискови продукти за растителна </w:t>
      </w:r>
      <w:r>
        <w:rPr>
          <w:rFonts w:ascii="Times New Roman" w:hAnsi="Times New Roman"/>
          <w:noProof/>
          <w:color w:val="000000"/>
          <w:sz w:val="24"/>
        </w:rPr>
        <w:t>защита и ускоряване на прилагането на интегрираното управление на вредителите в държавите членки</w:t>
      </w:r>
      <w:r>
        <w:rPr>
          <w:rFonts w:ascii="Times New Roman" w:hAnsi="Times New Roman"/>
          <w:noProof/>
          <w:color w:val="000000"/>
          <w:sz w:val="24"/>
          <w:vertAlign w:val="superscript"/>
        </w:rPr>
        <w:footnoteReference w:id="56"/>
      </w:r>
      <w:r>
        <w:rPr>
          <w:rFonts w:ascii="Times New Roman" w:hAnsi="Times New Roman"/>
          <w:noProof/>
          <w:color w:val="000000"/>
          <w:sz w:val="24"/>
        </w:rPr>
        <w:t>. Съветът одобри този план през месец юни 2016 г. Едно от предложените допълнителни действия е Комисията да създаде уеб портал въз основа на съществуващия уебс</w:t>
      </w:r>
      <w:r>
        <w:rPr>
          <w:rFonts w:ascii="Times New Roman" w:hAnsi="Times New Roman"/>
          <w:noProof/>
          <w:color w:val="000000"/>
          <w:sz w:val="24"/>
        </w:rPr>
        <w:t>айт за Директивата, който да съдържа връзки към наличната към момента информация за ИУВ на равнището на ЕС и на държавите членки. Работата в това направление е в напреднал етап. Предстоящият преглед от страна на Комисията на доклада относно поредицата от ш</w:t>
      </w:r>
      <w:r>
        <w:rPr>
          <w:rFonts w:ascii="Times New Roman" w:hAnsi="Times New Roman"/>
          <w:noProof/>
          <w:color w:val="000000"/>
          <w:sz w:val="24"/>
        </w:rPr>
        <w:t>ест проучвателни посещения във връзка с прилагането на Директивата също ще бъде публикуван на този уебсайт.</w:t>
      </w:r>
    </w:p>
    <w:p w:rsidR="0082212F" w:rsidRDefault="0082212F">
      <w:pPr>
        <w:tabs>
          <w:tab w:val="left" w:pos="871"/>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Въпреки че като цяло държавите членки разполагат със системи за събиране на информация относно случаи на остро натравяне с пестициди, те трябва да </w:t>
      </w:r>
      <w:r>
        <w:rPr>
          <w:rFonts w:ascii="Times New Roman" w:hAnsi="Times New Roman"/>
          <w:noProof/>
          <w:color w:val="000000"/>
          <w:sz w:val="24"/>
        </w:rPr>
        <w:t>повишат точността на получените данни. Не се използват широко системи за събиране на информация относно случаи на хронично натравяне. Необходимо е държавите членки да разработят и да поддържат функциониращи системи за наблюдение на случаите на натравяне ср</w:t>
      </w:r>
      <w:r>
        <w:rPr>
          <w:rFonts w:ascii="Times New Roman" w:hAnsi="Times New Roman"/>
          <w:noProof/>
          <w:color w:val="000000"/>
          <w:sz w:val="24"/>
        </w:rPr>
        <w:t>ед професионалните потребители на пестициди като основа за предприемането на подходящи превантивни действия. Комисията ще финализира насоките за наблюдение и проучване на въздействието на пестицидите върху здравето на човека и околната среда до края на 201</w:t>
      </w:r>
      <w:r>
        <w:rPr>
          <w:rFonts w:ascii="Times New Roman" w:hAnsi="Times New Roman"/>
          <w:noProof/>
          <w:color w:val="000000"/>
          <w:sz w:val="24"/>
        </w:rPr>
        <w:t>7 г. и ще потърси съвместно с държавите членки начини за по-нататъшно развитие на тези системи. Комисията ще обмисли и възможността за създаването на системи за събиране на информация относно случаите на предполагаеми отравяния с пестициди съгласно член 24</w:t>
      </w:r>
      <w:r>
        <w:rPr>
          <w:rFonts w:ascii="Times New Roman" w:hAnsi="Times New Roman"/>
          <w:noProof/>
          <w:color w:val="000000"/>
          <w:sz w:val="24"/>
        </w:rPr>
        <w:t>, параграф 4, буква б) от Регламент (ЕС) 2017/625.</w:t>
      </w:r>
    </w:p>
    <w:p w:rsidR="0082212F" w:rsidRDefault="0082212F">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След като всички държави членки приведат законодателствата си в съответствие с Директивата и бъдат определени всички пряко приложими задължения на земеделските стопани, Комисията ще разгледа Съвместното и</w:t>
      </w:r>
      <w:r>
        <w:rPr>
          <w:rFonts w:ascii="Times New Roman" w:hAnsi="Times New Roman"/>
          <w:noProof/>
          <w:color w:val="000000"/>
          <w:sz w:val="24"/>
        </w:rPr>
        <w:t>зявление на Европейския парламент и на Съвета относно Регламент (ЕС) № 1306/2013</w:t>
      </w:r>
      <w:r>
        <w:rPr>
          <w:rStyle w:val="FootnoteReference"/>
          <w:rFonts w:ascii="Times New Roman" w:hAnsi="Times New Roman"/>
          <w:noProof/>
          <w:color w:val="000000"/>
          <w:sz w:val="24"/>
        </w:rPr>
        <w:footnoteReference w:id="57"/>
      </w:r>
      <w:r>
        <w:rPr>
          <w:rFonts w:ascii="Times New Roman" w:hAnsi="Times New Roman"/>
          <w:noProof/>
          <w:color w:val="000000"/>
          <w:sz w:val="24"/>
        </w:rPr>
        <w:t>, в което Комисията се приканва да включи съответните части на Директивата в системата за кръстосано съответствие. Освен това междувременно Комисията ще подкрепи държавите чле</w:t>
      </w:r>
      <w:r>
        <w:rPr>
          <w:rFonts w:ascii="Times New Roman" w:hAnsi="Times New Roman"/>
          <w:noProof/>
          <w:color w:val="000000"/>
          <w:sz w:val="24"/>
        </w:rPr>
        <w:t>нки в разработването на методологии за оценка на съответствието с осемте принципа на ИУВ, вземайки предвид разнообразието в сектора на земеделието в ЕС и принципа на субсидиарност.</w:t>
      </w:r>
    </w:p>
    <w:p w:rsidR="0082212F" w:rsidRDefault="0082212F">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За да измери постигнатия напредък в намаляването на рисковете и неблагопри</w:t>
      </w:r>
      <w:r>
        <w:rPr>
          <w:rFonts w:ascii="Times New Roman" w:hAnsi="Times New Roman"/>
          <w:noProof/>
          <w:color w:val="000000"/>
          <w:sz w:val="24"/>
        </w:rPr>
        <w:t>ятното въздействие на пестицидите върху здравето на човека и околната среда, през втората половина на 2017 г. Комисията ще започне работа с държавите членки за постигането на консенсус относно разработването на хармонизирани стандарти.</w:t>
      </w:r>
    </w:p>
    <w:p w:rsidR="0082212F" w:rsidRDefault="0082212F">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Комисията също така</w:t>
      </w:r>
      <w:r>
        <w:rPr>
          <w:rFonts w:ascii="Times New Roman" w:hAnsi="Times New Roman"/>
          <w:noProof/>
          <w:color w:val="000000"/>
          <w:sz w:val="24"/>
        </w:rPr>
        <w:t xml:space="preserve"> ще продължи да работи с държавите членки за разпространяването на примери за добри практики в областта на прилагането чрез работни групи и обучения, отдавайки приоритет на програма „По-добро обучение за по-безопасни храни“, за укрепване на капацитета на д</w:t>
      </w:r>
      <w:r>
        <w:rPr>
          <w:rFonts w:ascii="Times New Roman" w:hAnsi="Times New Roman"/>
          <w:noProof/>
          <w:color w:val="000000"/>
          <w:sz w:val="24"/>
        </w:rPr>
        <w:t>ържавите членки чрез по-добро разбиране и прилагане на принципите за устойчива употреба.</w:t>
      </w:r>
    </w:p>
    <w:p w:rsidR="0082212F" w:rsidRDefault="0082212F">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rsidR="0082212F" w:rsidRDefault="001B50F5">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След приемането на преработените национални планове за действие и въз основа на актуалната информация, с която разполага, Комисията ще изготви следващ доклад, който д</w:t>
      </w:r>
      <w:r>
        <w:rPr>
          <w:rFonts w:ascii="Times New Roman" w:hAnsi="Times New Roman"/>
          <w:noProof/>
          <w:color w:val="000000"/>
          <w:sz w:val="24"/>
        </w:rPr>
        <w:t>а подпомогне извършването на по-всеобхватна оценка на състоянието на прилагане на Директивата.</w:t>
      </w:r>
    </w:p>
    <w:bookmarkEnd w:id="2"/>
    <w:p w:rsidR="0082212F" w:rsidRDefault="0082212F">
      <w:pPr>
        <w:rPr>
          <w:noProof/>
        </w:rPr>
      </w:pPr>
    </w:p>
    <w:sectPr w:rsidR="0082212F">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pgNumType w:start="2"/>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6E9FF9" w15:done="0"/>
  <w15:commentEx w15:paraId="5FFBF9BC" w15:done="0"/>
  <w15:commentEx w15:paraId="60A878D0" w15:done="0"/>
  <w15:commentEx w15:paraId="3A2FA365" w15:done="0"/>
  <w15:commentEx w15:paraId="509C3FBE" w15:done="0"/>
  <w15:commentEx w15:paraId="15464500" w15:done="0"/>
  <w15:commentEx w15:paraId="642B8E4E" w15:done="0"/>
  <w15:commentEx w15:paraId="75FF39DF" w15:done="0"/>
  <w15:commentEx w15:paraId="5B5C23A9" w15:done="0"/>
  <w15:commentEx w15:paraId="78D0E9C6" w15:done="0"/>
  <w15:commentEx w15:paraId="01A559E7" w15:done="0"/>
  <w15:commentEx w15:paraId="3F76A7E5" w15:done="0"/>
  <w15:commentEx w15:paraId="7EB11473" w15:done="0"/>
  <w15:commentEx w15:paraId="6A6A73D7" w15:done="0"/>
  <w15:commentEx w15:paraId="10EAE6E2" w15:done="0"/>
  <w15:commentEx w15:paraId="1EA835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6E9FF9" w16cid:durableId="1D0788BB"/>
  <w16cid:commentId w16cid:paraId="5FFBF9BC" w16cid:durableId="1D0788BC"/>
  <w16cid:commentId w16cid:paraId="60A878D0" w16cid:durableId="1D0788BD"/>
  <w16cid:commentId w16cid:paraId="3A2FA365" w16cid:durableId="1D0788BE"/>
  <w16cid:commentId w16cid:paraId="509C3FBE" w16cid:durableId="1D0788BF"/>
  <w16cid:commentId w16cid:paraId="15464500" w16cid:durableId="1D0788C0"/>
  <w16cid:commentId w16cid:paraId="642B8E4E" w16cid:durableId="1D0788C1"/>
  <w16cid:commentId w16cid:paraId="75FF39DF" w16cid:durableId="1D0788C2"/>
  <w16cid:commentId w16cid:paraId="5B5C23A9" w16cid:durableId="1D0788C3"/>
  <w16cid:commentId w16cid:paraId="78D0E9C6" w16cid:durableId="1D0788C4"/>
  <w16cid:commentId w16cid:paraId="01A559E7" w16cid:durableId="1D0788C5"/>
  <w16cid:commentId w16cid:paraId="3F76A7E5" w16cid:durableId="1D0788C6"/>
  <w16cid:commentId w16cid:paraId="7EB11473" w16cid:durableId="1D0788C7"/>
  <w16cid:commentId w16cid:paraId="6A6A73D7" w16cid:durableId="1D0788C8"/>
  <w16cid:commentId w16cid:paraId="10EAE6E2" w16cid:durableId="1D0788C9"/>
  <w16cid:commentId w16cid:paraId="1EA83589" w16cid:durableId="1D0788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12F" w:rsidRDefault="001B50F5">
      <w:pPr>
        <w:spacing w:after="0" w:line="240" w:lineRule="auto"/>
      </w:pPr>
      <w:r>
        <w:separator/>
      </w:r>
    </w:p>
  </w:endnote>
  <w:endnote w:type="continuationSeparator" w:id="0">
    <w:p w:rsidR="0082212F" w:rsidRDefault="001B5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charset w:val="00"/>
    <w:family w:val="roman"/>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0F5" w:rsidRDefault="001B50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12F" w:rsidRDefault="001B50F5">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0F5" w:rsidRDefault="001B50F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12F" w:rsidRDefault="0082212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12F" w:rsidRDefault="001B50F5">
    <w:pPr>
      <w:pStyle w:val="Footer"/>
      <w:jc w:val="center"/>
    </w:pPr>
    <w:r>
      <w:fldChar w:fldCharType="begin"/>
    </w:r>
    <w:r>
      <w:instrText xml:space="preserve"> PAGE   \* MERGEFORMAT </w:instrText>
    </w:r>
    <w:r>
      <w:fldChar w:fldCharType="separate"/>
    </w:r>
    <w:r>
      <w:rPr>
        <w:noProof/>
      </w:rPr>
      <w:t>19</w:t>
    </w:r>
    <w:r>
      <w:rPr>
        <w:noProof/>
      </w:rPr>
      <w:fldChar w:fldCharType="end"/>
    </w:r>
  </w:p>
  <w:p w:rsidR="0082212F" w:rsidRDefault="0082212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12F" w:rsidRDefault="008221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12F" w:rsidRDefault="001B50F5">
      <w:pPr>
        <w:spacing w:after="0" w:line="240" w:lineRule="auto"/>
      </w:pPr>
      <w:r>
        <w:separator/>
      </w:r>
    </w:p>
  </w:footnote>
  <w:footnote w:type="continuationSeparator" w:id="0">
    <w:p w:rsidR="0082212F" w:rsidRDefault="001B50F5">
      <w:pPr>
        <w:spacing w:after="0" w:line="240" w:lineRule="auto"/>
      </w:pPr>
      <w:r>
        <w:continuationSeparator/>
      </w:r>
    </w:p>
  </w:footnote>
  <w:footnote w:id="1">
    <w:p w:rsidR="0082212F" w:rsidRDefault="001B50F5">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В този доклад под „пестициди“ се разбират продукти за растителна защита, които включват хербициди, фунгициди и </w:t>
      </w:r>
      <w:r>
        <w:rPr>
          <w:rFonts w:ascii="Times New Roman" w:hAnsi="Times New Roman"/>
        </w:rPr>
        <w:t>инсектициди, използвани за растителна защита.</w:t>
      </w:r>
    </w:p>
  </w:footnote>
  <w:footnote w:id="2">
    <w:p w:rsidR="0082212F" w:rsidRDefault="001B50F5">
      <w:pPr>
        <w:spacing w:after="0"/>
        <w:rPr>
          <w:rFonts w:ascii="Times New Roman" w:hAnsi="Times New Roman" w:cs="Times New Roman"/>
          <w:sz w:val="20"/>
          <w:szCs w:val="20"/>
        </w:rPr>
      </w:pPr>
      <w:r>
        <w:rPr>
          <w:rStyle w:val="FootnoteReference"/>
          <w:rFonts w:ascii="Times New Roman" w:hAnsi="Times New Roman"/>
          <w:sz w:val="20"/>
        </w:rPr>
        <w:footnoteRef/>
      </w:r>
      <w:hyperlink r:id="rId1">
        <w:r>
          <w:rPr>
            <w:rStyle w:val="Hyperlink"/>
            <w:rFonts w:ascii="Times New Roman" w:hAnsi="Times New Roman"/>
            <w:sz w:val="20"/>
          </w:rPr>
          <w:t>http://ec.europa.eu/europeaid/file/50450/download_en?token=KLkUmH5y</w:t>
        </w:r>
      </w:hyperlink>
      <w:r>
        <w:rPr>
          <w:rFonts w:ascii="Times New Roman" w:hAnsi="Times New Roman"/>
          <w:sz w:val="20"/>
        </w:rPr>
        <w:t xml:space="preserve"> </w:t>
      </w:r>
    </w:p>
  </w:footnote>
  <w:footnote w:id="3">
    <w:p w:rsidR="0082212F" w:rsidRDefault="001B50F5">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COM/2006/0372 </w:t>
      </w:r>
      <w:r>
        <w:rPr>
          <w:rStyle w:val="Strong"/>
          <w:rFonts w:ascii="Times New Roman" w:hAnsi="Times New Roman"/>
          <w:b w:val="0"/>
        </w:rPr>
        <w:t>Съобщение на Комисията до Съвета, Евр</w:t>
      </w:r>
      <w:r>
        <w:rPr>
          <w:rStyle w:val="Strong"/>
          <w:rFonts w:ascii="Times New Roman" w:hAnsi="Times New Roman"/>
          <w:b w:val="0"/>
        </w:rPr>
        <w:t>опейския парламент, Европейския икономически и социален комитет и Комитета на регионите — Тематична стратегия за устойчива употреба на пестициди.</w:t>
      </w:r>
      <w:r>
        <w:rPr>
          <w:rStyle w:val="Strong"/>
          <w:rFonts w:ascii="Times New Roman" w:hAnsi="Times New Roman"/>
        </w:rPr>
        <w:t xml:space="preserve"> </w:t>
      </w:r>
    </w:p>
  </w:footnote>
  <w:footnote w:id="4">
    <w:p w:rsidR="0082212F" w:rsidRDefault="001B50F5">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Съгласно определението в Директива 2009/128/ЕО (член 3) пестицид е продукт за растителна защита или биоцид. Понастоящем Директивата се прилага единствено за продукти за растителна защита (член 2). Поради широката употреба на понятието „пестициди“ докладът</w:t>
      </w:r>
      <w:r>
        <w:rPr>
          <w:rFonts w:ascii="Times New Roman" w:hAnsi="Times New Roman"/>
        </w:rPr>
        <w:t xml:space="preserve"> борави с него свободно, без обаче да разглежда биоцидите.</w:t>
      </w:r>
    </w:p>
  </w:footnote>
  <w:footnote w:id="5">
    <w:p w:rsidR="0082212F" w:rsidRDefault="001B50F5">
      <w:pPr>
        <w:pStyle w:val="FootnoteText"/>
        <w:jc w:val="both"/>
        <w:rPr>
          <w:rFonts w:ascii="Times New Roman" w:hAnsi="Times New Roman" w:cs="Times New Roman"/>
          <w:b/>
          <w:bCs/>
        </w:rPr>
      </w:pPr>
      <w:r>
        <w:rPr>
          <w:rStyle w:val="FootnoteReference"/>
          <w:rFonts w:ascii="Times New Roman" w:hAnsi="Times New Roman"/>
        </w:rPr>
        <w:footnoteRef/>
      </w:r>
      <w:r>
        <w:rPr>
          <w:rStyle w:val="FootnoteReference"/>
          <w:rFonts w:ascii="Times New Roman" w:hAnsi="Times New Roman"/>
        </w:rPr>
        <w:t xml:space="preserve"> </w:t>
      </w:r>
      <w:r>
        <w:rPr>
          <w:rStyle w:val="Strong"/>
          <w:rFonts w:ascii="Times New Roman" w:hAnsi="Times New Roman"/>
          <w:b w:val="0"/>
        </w:rPr>
        <w:t>Регламент (ЕО) № 1107/2009 на Европейския парламент и на Съвета от 21 октомври 2009 г. относно пускането на пазара на продукти за растителна защита и за отмяна на Директиви 79/117/ЕИО и 91/414/ЕИ</w:t>
      </w:r>
      <w:r>
        <w:rPr>
          <w:rStyle w:val="Strong"/>
          <w:rFonts w:ascii="Times New Roman" w:hAnsi="Times New Roman"/>
          <w:b w:val="0"/>
        </w:rPr>
        <w:t>О на Съвета, ОВ L 309, 24.11.2009 г., стр. 1—50.</w:t>
      </w:r>
    </w:p>
  </w:footnote>
  <w:footnote w:id="6">
    <w:p w:rsidR="0082212F" w:rsidRDefault="001B50F5">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2">
        <w:r>
          <w:rPr>
            <w:rStyle w:val="Hyperlink"/>
            <w:rFonts w:ascii="Times New Roman" w:hAnsi="Times New Roman"/>
          </w:rPr>
          <w:t>http://ec.europa.eu/food/plant/pesticides/eu-pesticides-database/public/?event=homepag</w:t>
        </w:r>
        <w:r>
          <w:rPr>
            <w:rStyle w:val="Hyperlink"/>
            <w:rFonts w:ascii="Times New Roman" w:hAnsi="Times New Roman"/>
          </w:rPr>
          <w:t>e&amp;language=EN</w:t>
        </w:r>
      </w:hyperlink>
    </w:p>
  </w:footnote>
  <w:footnote w:id="7">
    <w:p w:rsidR="0082212F" w:rsidRDefault="001B50F5">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(ЕО) № 396/2005 на Европейския парламент и на Съвета от 23 февруари 2005 г. относно максимално допустимите граници на остатъчни вещества от пестициди във и върху храни или фуражи от растителен или животински произход и за изменени</w:t>
      </w:r>
      <w:r>
        <w:rPr>
          <w:rFonts w:ascii="Times New Roman" w:hAnsi="Times New Roman"/>
        </w:rPr>
        <w:t>е на Директива 91/414/ЕИО на Съвета, ОВ L 70, 16.3.2005 г., стр. 1—16.</w:t>
      </w:r>
    </w:p>
  </w:footnote>
  <w:footnote w:id="8">
    <w:p w:rsidR="0082212F" w:rsidRDefault="001B50F5">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Директива 2009/128/ЕО на Европейския парламент и на Съвета от 21 октомври 2009 г. за създаване на рамка за действие на Общността за постигане на устойчива употреба на пестициди, ОВ L </w:t>
      </w:r>
      <w:r>
        <w:rPr>
          <w:rFonts w:ascii="Times New Roman" w:hAnsi="Times New Roman"/>
        </w:rPr>
        <w:t>309, 24.11.2009 г., стр. 71—86.</w:t>
      </w:r>
    </w:p>
  </w:footnote>
  <w:footnote w:id="9">
    <w:p w:rsidR="0082212F" w:rsidRDefault="001B50F5">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3">
        <w:r>
          <w:rPr>
            <w:rStyle w:val="Hyperlink"/>
            <w:rFonts w:ascii="Times New Roman" w:hAnsi="Times New Roman"/>
          </w:rPr>
          <w:t>http://ec.europa.eu/food/audits-analysis/overview_reports/details.cfm?rep_id=79</w:t>
        </w:r>
      </w:hyperlink>
    </w:p>
  </w:footnote>
  <w:footnote w:id="10">
    <w:p w:rsidR="0082212F" w:rsidRDefault="001B50F5">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http://ec.europa.eu/food/audits-analysis/</w:t>
      </w:r>
      <w:r>
        <w:rPr>
          <w:rFonts w:ascii="Times New Roman" w:hAnsi="Times New Roman"/>
        </w:rPr>
        <w:t>overview_reports/details.cfm?rep_id=109</w:t>
      </w:r>
    </w:p>
  </w:footnote>
  <w:footnote w:id="11">
    <w:p w:rsidR="0082212F" w:rsidRDefault="001B50F5">
      <w:pPr>
        <w:pStyle w:val="FootnoteText"/>
        <w:ind w:left="227" w:hanging="227"/>
        <w:jc w:val="both"/>
        <w:rPr>
          <w:rFonts w:ascii="Times New Roman" w:hAnsi="Times New Roman" w:cs="Times New Roman"/>
        </w:rPr>
      </w:pPr>
      <w:r>
        <w:rPr>
          <w:rStyle w:val="FootnoteReference"/>
        </w:rPr>
        <w:footnoteRef/>
      </w:r>
      <w:r>
        <w:t xml:space="preserve"> </w:t>
      </w:r>
      <w:r>
        <w:rPr>
          <w:rFonts w:ascii="Times New Roman" w:hAnsi="Times New Roman"/>
        </w:rPr>
        <w:t>Получените в отговор на проучването данни и информация бяха непълни, което породи необходимост от допълнително проучване сред държавите членки. Обединеното кралство не представи отговори на въпросника, но впоследст</w:t>
      </w:r>
      <w:r>
        <w:rPr>
          <w:rFonts w:ascii="Times New Roman" w:hAnsi="Times New Roman"/>
        </w:rPr>
        <w:t xml:space="preserve">вие предостави информация по някои от въпросите. В отговорите, получени от България, Румъния, Гърция и Франция, имаше пропуски. </w:t>
      </w:r>
    </w:p>
  </w:footnote>
  <w:footnote w:id="12">
    <w:p w:rsidR="0082212F" w:rsidRDefault="001B50F5">
      <w:pPr>
        <w:pStyle w:val="FootnoteText"/>
        <w:rPr>
          <w:rFonts w:ascii="Times New Roman" w:hAnsi="Times New Roman" w:cs="Times New Roman"/>
        </w:rPr>
      </w:pPr>
      <w:r>
        <w:rPr>
          <w:rStyle w:val="FootnoteReference"/>
        </w:rPr>
        <w:footnoteRef/>
      </w:r>
      <w:r>
        <w:t xml:space="preserve"> </w:t>
      </w:r>
      <w:r>
        <w:rPr>
          <w:rFonts w:ascii="Times New Roman" w:hAnsi="Times New Roman"/>
        </w:rPr>
        <w:t>Германия, Нидерландия, Италия, Дания, Полша, Швеция</w:t>
      </w:r>
    </w:p>
  </w:footnote>
  <w:footnote w:id="13">
    <w:p w:rsidR="0082212F" w:rsidRDefault="001B50F5">
      <w:pPr>
        <w:pStyle w:val="FootnoteText"/>
        <w:jc w:val="both"/>
      </w:pPr>
      <w:r>
        <w:rPr>
          <w:rStyle w:val="FootnoteReference"/>
        </w:rPr>
        <w:footnoteRef/>
      </w:r>
      <w:r>
        <w:t xml:space="preserve"> </w:t>
      </w:r>
      <w:r>
        <w:rPr>
          <w:rFonts w:ascii="Times New Roman" w:hAnsi="Times New Roman"/>
        </w:rPr>
        <w:t>Директивата не предписва определен формат за НПД, поради което предоста</w:t>
      </w:r>
      <w:r>
        <w:rPr>
          <w:rFonts w:ascii="Times New Roman" w:hAnsi="Times New Roman"/>
        </w:rPr>
        <w:t>вените на Комисията планове не са изцяло съпоставими. В някои случаи те не съдържат всички национални мерки, които се предприемат за изпълнение на Директивата. Обхватът на оценката им от Комисията беше ограничен до самите планове и мерките, които не са вкл</w:t>
      </w:r>
      <w:r>
        <w:rPr>
          <w:rFonts w:ascii="Times New Roman" w:hAnsi="Times New Roman"/>
        </w:rPr>
        <w:t>ючени в тези планове, не са взети предвид.</w:t>
      </w:r>
    </w:p>
  </w:footnote>
  <w:footnote w:id="14">
    <w:p w:rsidR="0082212F" w:rsidRDefault="001B50F5">
      <w:pPr>
        <w:pStyle w:val="FootnoteText"/>
      </w:pPr>
      <w:r>
        <w:rPr>
          <w:rStyle w:val="FootnoteReference"/>
          <w:rFonts w:ascii="Times New Roman" w:hAnsi="Times New Roman"/>
        </w:rPr>
        <w:footnoteRef/>
      </w:r>
      <w:r>
        <w:rPr>
          <w:rFonts w:ascii="Times New Roman" w:hAnsi="Times New Roman"/>
        </w:rPr>
        <w:t xml:space="preserve"> </w:t>
      </w:r>
      <w:hyperlink r:id="rId4">
        <w:r>
          <w:rPr>
            <w:rStyle w:val="Hyperlink"/>
            <w:rFonts w:ascii="Times New Roman" w:hAnsi="Times New Roman"/>
          </w:rPr>
          <w:t>https://ec.europa.eu/food/plant/pesticides/sustainable_use_pesticides_en</w:t>
        </w:r>
      </w:hyperlink>
    </w:p>
  </w:footnote>
  <w:footnote w:id="15">
    <w:p w:rsidR="0082212F" w:rsidRDefault="001B50F5">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Испания, Чешката република, Кипър, Естония, </w:t>
      </w:r>
      <w:r>
        <w:rPr>
          <w:rFonts w:ascii="Times New Roman" w:hAnsi="Times New Roman"/>
        </w:rPr>
        <w:t>Белгия, Швеция, Финландия, Германия, Унгария, Полша, Латвия, Италия, Португалия, Хърватия, Австрия, Дания, Литва, Румъния, Словакия, Ирландия и Франция.</w:t>
      </w:r>
    </w:p>
  </w:footnote>
  <w:footnote w:id="16">
    <w:p w:rsidR="0082212F" w:rsidRDefault="001B50F5">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Люксембург, Словения, Кипър, Белгия, Финландия, Унгария, Полша, Германия и Франция.</w:t>
      </w:r>
    </w:p>
  </w:footnote>
  <w:footnote w:id="17">
    <w:p w:rsidR="0082212F" w:rsidRDefault="001B50F5">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Белгия, Дания, </w:t>
      </w:r>
      <w:r>
        <w:rPr>
          <w:rFonts w:ascii="Times New Roman" w:hAnsi="Times New Roman"/>
        </w:rPr>
        <w:t>Гърция и Германия.</w:t>
      </w:r>
    </w:p>
  </w:footnote>
  <w:footnote w:id="18">
    <w:p w:rsidR="0082212F" w:rsidRDefault="001B50F5">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Франция.</w:t>
      </w:r>
    </w:p>
  </w:footnote>
  <w:footnote w:id="19">
    <w:p w:rsidR="0082212F" w:rsidRDefault="001B50F5">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 Нидерландия те не са включени в националния план за действие.</w:t>
      </w:r>
    </w:p>
  </w:footnote>
  <w:footnote w:id="20">
    <w:p w:rsidR="0082212F" w:rsidRDefault="001B50F5">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Плановете на Белгия и Дания не съдържат нито информация за обучението и сертифицирането на оператори, нито съответни цели.</w:t>
      </w:r>
    </w:p>
  </w:footnote>
  <w:footnote w:id="21">
    <w:p w:rsidR="0082212F" w:rsidRDefault="001B50F5">
      <w:pPr>
        <w:pStyle w:val="FootnoteText"/>
        <w:ind w:left="227" w:hanging="227"/>
      </w:pPr>
      <w:r>
        <w:rPr>
          <w:rStyle w:val="FootnoteReference"/>
        </w:rPr>
        <w:footnoteRef/>
      </w:r>
      <w:r>
        <w:t xml:space="preserve"> </w:t>
      </w:r>
      <w:r>
        <w:rPr>
          <w:rFonts w:ascii="Times New Roman" w:hAnsi="Times New Roman"/>
        </w:rPr>
        <w:t xml:space="preserve">Австрия, Чешката република, </w:t>
      </w:r>
      <w:r>
        <w:rPr>
          <w:rFonts w:ascii="Times New Roman" w:hAnsi="Times New Roman"/>
        </w:rPr>
        <w:t>Франция, Германия, Гърция, Латвия, Литва, Нидерландия, Румъния, Словакия и Словения.</w:t>
      </w:r>
    </w:p>
  </w:footnote>
  <w:footnote w:id="22">
    <w:p w:rsidR="0082212F" w:rsidRDefault="001B50F5">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Италия, Чешката република, Естония, Литва, Словакия и Малта. </w:t>
      </w:r>
    </w:p>
  </w:footnote>
  <w:footnote w:id="23">
    <w:p w:rsidR="0082212F" w:rsidRDefault="001B50F5">
      <w:pPr>
        <w:pStyle w:val="FootnoteText"/>
      </w:pPr>
      <w:r>
        <w:rPr>
          <w:rStyle w:val="FootnoteReference"/>
        </w:rPr>
        <w:footnoteRef/>
      </w:r>
      <w:r>
        <w:t xml:space="preserve"> </w:t>
      </w:r>
      <w:r>
        <w:rPr>
          <w:rFonts w:ascii="Times New Roman" w:hAnsi="Times New Roman"/>
        </w:rPr>
        <w:t>България, Унгария и Румъния.</w:t>
      </w:r>
    </w:p>
  </w:footnote>
  <w:footnote w:id="24">
    <w:p w:rsidR="0082212F" w:rsidRDefault="001B50F5">
      <w:pPr>
        <w:pStyle w:val="FootnoteText"/>
        <w:ind w:left="227" w:hanging="227"/>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5" w:anchor="Agricultural_holdings">
        <w:r>
          <w:rPr>
            <w:rStyle w:val="Hyperlink"/>
            <w:rFonts w:ascii="Times New Roman" w:hAnsi="Times New Roman"/>
          </w:rPr>
          <w:t>http://ec.europa.eu/eurostat/statistics-explained/index.php/Farm_structure_survey_2013_-_main_results#Agricultural_holdings</w:t>
        </w:r>
      </w:hyperlink>
      <w:r>
        <w:rPr>
          <w:rFonts w:ascii="Times New Roman" w:hAnsi="Times New Roman"/>
        </w:rPr>
        <w:t xml:space="preserve"> </w:t>
      </w:r>
    </w:p>
  </w:footnote>
  <w:footnote w:id="25">
    <w:p w:rsidR="0082212F" w:rsidRDefault="001B50F5">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Дания, Германия, Нидерландия, Полша и Швеция.</w:t>
      </w:r>
    </w:p>
  </w:footnote>
  <w:footnote w:id="26">
    <w:p w:rsidR="0082212F" w:rsidRDefault="001B50F5">
      <w:pPr>
        <w:pStyle w:val="FootnoteText"/>
      </w:pPr>
      <w:r>
        <w:rPr>
          <w:rStyle w:val="FootnoteReference"/>
        </w:rPr>
        <w:footnoteRef/>
      </w:r>
      <w:r>
        <w:t xml:space="preserve"> </w:t>
      </w:r>
      <w:r>
        <w:rPr>
          <w:rFonts w:ascii="Times New Roman" w:hAnsi="Times New Roman"/>
        </w:rPr>
        <w:t xml:space="preserve">Дания, </w:t>
      </w:r>
      <w:r>
        <w:rPr>
          <w:rFonts w:ascii="Times New Roman" w:hAnsi="Times New Roman"/>
        </w:rPr>
        <w:t>Финландия, Унгария, Швеция и Обединеното кралство.</w:t>
      </w:r>
    </w:p>
  </w:footnote>
  <w:footnote w:id="27">
    <w:p w:rsidR="0082212F" w:rsidRDefault="001B50F5">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6">
        <w:r>
          <w:rPr>
            <w:rStyle w:val="Hyperlink"/>
            <w:rFonts w:ascii="Times New Roman" w:hAnsi="Times New Roman"/>
          </w:rPr>
          <w:t>https://ec.europa.eu/food/safety/btsf_en</w:t>
        </w:r>
      </w:hyperlink>
      <w:r>
        <w:rPr>
          <w:rFonts w:ascii="Times New Roman" w:hAnsi="Times New Roman"/>
        </w:rPr>
        <w:t xml:space="preserve"> </w:t>
      </w:r>
    </w:p>
    <w:p w:rsidR="0082212F" w:rsidRDefault="0082212F">
      <w:pPr>
        <w:pStyle w:val="FootnoteText"/>
      </w:pPr>
    </w:p>
  </w:footnote>
  <w:footnote w:id="28">
    <w:p w:rsidR="0082212F" w:rsidRDefault="001B50F5">
      <w:pPr>
        <w:pStyle w:val="FootnoteText"/>
        <w:ind w:left="227" w:hanging="227"/>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Чешката република, Естония, Литва, Нидерландия, Словакия, Унгария, Полша, Германия, Франция и Бълг</w:t>
      </w:r>
      <w:r>
        <w:rPr>
          <w:rFonts w:ascii="Times New Roman" w:hAnsi="Times New Roman"/>
        </w:rPr>
        <w:t>ария</w:t>
      </w:r>
    </w:p>
  </w:footnote>
  <w:footnote w:id="29">
    <w:p w:rsidR="0082212F" w:rsidRDefault="001B50F5">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Плановете на Дания и Швеция не съдържаха такава цел.</w:t>
      </w:r>
    </w:p>
  </w:footnote>
  <w:footnote w:id="30">
    <w:p w:rsidR="0082212F" w:rsidRDefault="001B50F5">
      <w:pPr>
        <w:pStyle w:val="FootnoteText"/>
        <w:ind w:left="227" w:hanging="227"/>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Съобщение на Комисията в контекста на прилагането на Директива 2009/128/ЕО на Европейския парламент и на Съвета от 21 октомври 2009 г. за създаване на рамка за действие на Общността за постигане</w:t>
      </w:r>
      <w:r>
        <w:rPr>
          <w:rFonts w:ascii="Times New Roman" w:hAnsi="Times New Roman"/>
        </w:rPr>
        <w:t xml:space="preserve"> на устойчива употреба на пестициди, ОВ C 196, 12.6.2015 г., стр. 4—5.</w:t>
      </w:r>
    </w:p>
  </w:footnote>
  <w:footnote w:id="31">
    <w:p w:rsidR="0082212F" w:rsidRDefault="001B50F5">
      <w:pPr>
        <w:pStyle w:val="FootnoteText"/>
        <w:ind w:left="227" w:hanging="227"/>
        <w:rPr>
          <w:rFonts w:ascii="Times New Roman" w:hAnsi="Times New Roman" w:cs="Times New Roman"/>
        </w:rPr>
      </w:pPr>
      <w:r>
        <w:rPr>
          <w:rStyle w:val="FootnoteReference"/>
        </w:rPr>
        <w:footnoteRef/>
      </w:r>
      <w:r>
        <w:t xml:space="preserve"> </w:t>
      </w:r>
      <w:r>
        <w:rPr>
          <w:rFonts w:ascii="Times New Roman" w:hAnsi="Times New Roman"/>
        </w:rPr>
        <w:t>Белгия, България, Хърватия, Кипър, Чешката република, Дания, Франция, Германия, Унгария, Италия, Латвия, Литва, Нидерландия, Люксембург, Полша, Португалия, Румъния, Словакия, Испания,</w:t>
      </w:r>
      <w:r>
        <w:rPr>
          <w:rFonts w:ascii="Times New Roman" w:hAnsi="Times New Roman"/>
        </w:rPr>
        <w:t xml:space="preserve"> Швеция и Обединеното кралство.</w:t>
      </w:r>
    </w:p>
  </w:footnote>
  <w:footnote w:id="32">
    <w:p w:rsidR="0082212F" w:rsidRDefault="001B50F5">
      <w:pPr>
        <w:pStyle w:val="FootnoteText"/>
        <w:ind w:left="227" w:hanging="227"/>
      </w:pPr>
      <w:r>
        <w:rPr>
          <w:rStyle w:val="FootnoteReference"/>
          <w:rFonts w:ascii="Times New Roman" w:hAnsi="Times New Roman"/>
        </w:rPr>
        <w:footnoteRef/>
      </w:r>
      <w:r>
        <w:rPr>
          <w:rFonts w:ascii="Times New Roman" w:hAnsi="Times New Roman"/>
        </w:rPr>
        <w:t xml:space="preserve"> България, Чешката република, Хърватия, Кипър, Франция, Германия, Унгария, Италия, Люксембург, Полша, Португалия, Словакия, Испания и Обединеното кралство. Гърция не предостави информация за въздушното пръскане, а България,</w:t>
      </w:r>
      <w:r>
        <w:rPr>
          <w:rFonts w:ascii="Times New Roman" w:hAnsi="Times New Roman"/>
        </w:rPr>
        <w:t xml:space="preserve"> Чешката република и Франция не предоставиха данни за обработените площи.</w:t>
      </w:r>
    </w:p>
  </w:footnote>
  <w:footnote w:id="33">
    <w:p w:rsidR="0082212F" w:rsidRDefault="001B50F5">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Испания, Хърватия, Швеция, Нидерландия, Унгария и Малта.</w:t>
      </w:r>
    </w:p>
  </w:footnote>
  <w:footnote w:id="34">
    <w:p w:rsidR="0082212F" w:rsidRDefault="001B50F5">
      <w:pPr>
        <w:pStyle w:val="FootnoteText"/>
        <w:ind w:left="227" w:hanging="227"/>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00000"/>
        </w:rPr>
        <w:t>SWD(2017) 153 final:,</w:t>
      </w:r>
      <w:r>
        <w:rPr>
          <w:rFonts w:ascii="Times New Roman" w:hAnsi="Times New Roman"/>
        </w:rPr>
        <w:t xml:space="preserve"> </w:t>
      </w:r>
      <w:r>
        <w:rPr>
          <w:rFonts w:ascii="Times New Roman" w:hAnsi="Times New Roman"/>
          <w:color w:val="000000"/>
        </w:rPr>
        <w:t xml:space="preserve">https://circabc.europa.eu/sd/a/abff972e-203a-4b4e-b42e-a0f291d3fdf9/SWD_2017_EN_V4_P1_885057.pdf </w:t>
      </w:r>
    </w:p>
  </w:footnote>
  <w:footnote w:id="35">
    <w:p w:rsidR="0082212F" w:rsidRDefault="001B50F5">
      <w:pPr>
        <w:pStyle w:val="FootnoteText"/>
        <w:ind w:left="170" w:hanging="17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Директива 2000/60/ЕО на Европейския парламент и на Съвета от 23 октомври 2000 г. за установяване на рамка за действията на Общността в областта на политиката за водите, ОВ L 327, 22.12.2000 г., стр. 1—73.</w:t>
      </w:r>
    </w:p>
  </w:footnote>
  <w:footnote w:id="36">
    <w:p w:rsidR="0082212F" w:rsidRDefault="001B50F5">
      <w:pPr>
        <w:pStyle w:val="FootnoteText"/>
        <w:ind w:left="159" w:hanging="17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Директива 2006/118/ЕО на Европейския парламент и</w:t>
      </w:r>
      <w:r>
        <w:rPr>
          <w:rFonts w:ascii="Times New Roman" w:hAnsi="Times New Roman"/>
        </w:rPr>
        <w:t xml:space="preserve"> на Съвета от 12 декември 2006 г. за опазване на подземните води от замърсяване и влошаване на състоянието им, ОВ L 372, 27.12.2006 г., стр. 19—31.</w:t>
      </w:r>
    </w:p>
  </w:footnote>
  <w:footnote w:id="37">
    <w:p w:rsidR="0082212F" w:rsidRDefault="001B50F5">
      <w:pPr>
        <w:spacing w:after="0"/>
        <w:ind w:left="170" w:hanging="170"/>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sz w:val="20"/>
        </w:rPr>
        <w:t>Директива 2008/105/ЕО на Европейския парламент и на Съвета от 16 декември 2008 г. за определяне на стандар</w:t>
      </w:r>
      <w:r>
        <w:rPr>
          <w:rFonts w:ascii="Times New Roman" w:hAnsi="Times New Roman"/>
          <w:sz w:val="20"/>
        </w:rPr>
        <w:t>ти за качество на околната среда в областта на политиката за водите, за изменение и последваща отмяна на директиви 82/176/ЕИО, 83/513/ЕИО, 84/156/ЕИО, 84/491/ЕИО 86/280/ЕИО на Съвета и за изменение на Директива 2000/60/ЕО на Европейския парламент и на Съве</w:t>
      </w:r>
      <w:r>
        <w:rPr>
          <w:rFonts w:ascii="Times New Roman" w:hAnsi="Times New Roman"/>
          <w:sz w:val="20"/>
        </w:rPr>
        <w:t>та, ОВ L 348, 24.12.2008 г., стр. 84—97.</w:t>
      </w:r>
    </w:p>
  </w:footnote>
  <w:footnote w:id="38">
    <w:p w:rsidR="0082212F" w:rsidRDefault="001B50F5">
      <w:pPr>
        <w:pStyle w:val="FootnoteText"/>
        <w:ind w:left="284" w:hanging="284"/>
        <w:rPr>
          <w:rFonts w:ascii="Times New Roman" w:hAnsi="Times New Roman" w:cs="Times New Roman"/>
        </w:rPr>
      </w:pPr>
      <w:r>
        <w:rPr>
          <w:rStyle w:val="FootnoteReference"/>
        </w:rPr>
        <w:footnoteRef/>
      </w:r>
      <w:r>
        <w:t xml:space="preserve"> </w:t>
      </w:r>
      <w:r>
        <w:rPr>
          <w:rFonts w:ascii="Times New Roman" w:hAnsi="Times New Roman"/>
        </w:rPr>
        <w:t>Директива 98/83/ЕО на Съвета от 3 ноември 1998 г. относно качеството на водите, предназначени за консумация от човека, ОВ L 330, 5.12.1998 г., стр. 32—54.</w:t>
      </w:r>
    </w:p>
  </w:footnote>
  <w:footnote w:id="39">
    <w:p w:rsidR="0082212F" w:rsidRDefault="001B50F5">
      <w:pPr>
        <w:pStyle w:val="FootnoteText"/>
      </w:pPr>
      <w:r>
        <w:rPr>
          <w:rStyle w:val="FootnoteReference"/>
        </w:rPr>
        <w:footnoteRef/>
      </w:r>
      <w:r>
        <w:t xml:space="preserve"> </w:t>
      </w:r>
      <w:hyperlink r:id="rId7">
        <w:r>
          <w:rPr>
            <w:rStyle w:val="Hyperlink"/>
            <w:rFonts w:ascii="Times New Roman" w:hAnsi="Times New Roman"/>
          </w:rPr>
          <w:t>https://www.eea.europa.eu/publications/european-waters-assessment-2012</w:t>
        </w:r>
      </w:hyperlink>
    </w:p>
  </w:footnote>
  <w:footnote w:id="40">
    <w:p w:rsidR="0082212F" w:rsidRDefault="001B50F5">
      <w:pPr>
        <w:pStyle w:val="FootnoteText"/>
        <w:ind w:left="227" w:hanging="22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Тези цифри вероятно са под реалните данни за дела на реките и преходните водни басейни, изложени на риск от замърсяване с пестициди. Поради начина на изготвяне на първия доклад относно плановете за управление на речните басейни към въпросния момент не бе </w:t>
      </w:r>
      <w:r>
        <w:rPr>
          <w:rFonts w:ascii="Times New Roman" w:hAnsi="Times New Roman"/>
        </w:rPr>
        <w:t>възможно да се определи точният дял повърхностни водни басейни, изложени на риск от пестициди, идентифицирани като специфични замърсители. Понастоящем Комисията оценява втората серия планове за управление на речните басейни за периода 2016—2021 г. и ще пуб</w:t>
      </w:r>
      <w:r>
        <w:rPr>
          <w:rFonts w:ascii="Times New Roman" w:hAnsi="Times New Roman"/>
        </w:rPr>
        <w:t>ликува актуализирани данни през 2018 г.</w:t>
      </w:r>
    </w:p>
  </w:footnote>
  <w:footnote w:id="41">
    <w:p w:rsidR="0082212F" w:rsidRDefault="001B50F5">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Плановете на Румъния и Португалия изобщо не съдържат подобни мерки.</w:t>
      </w:r>
    </w:p>
  </w:footnote>
  <w:footnote w:id="42">
    <w:p w:rsidR="0082212F" w:rsidRDefault="001B50F5">
      <w:pPr>
        <w:pStyle w:val="FootnoteText"/>
      </w:pPr>
      <w:r>
        <w:rPr>
          <w:rStyle w:val="FootnoteReference"/>
        </w:rPr>
        <w:footnoteRef/>
      </w:r>
      <w:r>
        <w:t xml:space="preserve"> </w:t>
      </w:r>
      <w:r>
        <w:rPr>
          <w:rFonts w:ascii="Times New Roman" w:hAnsi="Times New Roman"/>
        </w:rPr>
        <w:t>Ирландия и Обединеното кралство не предоставиха отговор.</w:t>
      </w:r>
    </w:p>
  </w:footnote>
  <w:footnote w:id="43">
    <w:p w:rsidR="0082212F" w:rsidRDefault="001B50F5">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Директива 79/409/ЕИО на Съвета от 2 април 1979 г. относно опазването на дивите птици,</w:t>
      </w:r>
      <w:r>
        <w:rPr>
          <w:rFonts w:ascii="Times New Roman" w:hAnsi="Times New Roman"/>
        </w:rPr>
        <w:t xml:space="preserve"> ОВ L 103, 25.4.1979 г., стр. 1—18.</w:t>
      </w:r>
    </w:p>
  </w:footnote>
  <w:footnote w:id="44">
    <w:p w:rsidR="0082212F" w:rsidRDefault="001B50F5">
      <w:pPr>
        <w:ind w:left="170" w:hanging="170"/>
        <w:rPr>
          <w:rFonts w:ascii="Times New Roman" w:hAnsi="Times New Roman" w:cs="Times New Roman"/>
          <w:sz w:val="20"/>
          <w:szCs w:val="20"/>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20"/>
        </w:rPr>
        <w:t>Директива 92/43/ЕИО на Съвета от 21 май 1992 г. за опазване на естествените местообитания и на дивата флора и фауна, ОВ L 206, 22.7.1992 г., стр. 7—50.</w:t>
      </w:r>
    </w:p>
    <w:p w:rsidR="0082212F" w:rsidRDefault="001B50F5">
      <w:pPr>
        <w:pStyle w:val="FootnoteText"/>
        <w:tabs>
          <w:tab w:val="left" w:pos="2480"/>
        </w:tabs>
        <w:rPr>
          <w:rFonts w:ascii="Times New Roman" w:hAnsi="Times New Roman" w:cs="Times New Roman"/>
        </w:rPr>
      </w:pPr>
      <w:r>
        <w:tab/>
      </w:r>
      <w:r>
        <w:tab/>
      </w:r>
    </w:p>
  </w:footnote>
  <w:footnote w:id="45">
    <w:p w:rsidR="0082212F" w:rsidRDefault="001B50F5">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 Гърция не е изградена система за събирането на празни опако</w:t>
      </w:r>
      <w:r>
        <w:rPr>
          <w:rFonts w:ascii="Times New Roman" w:hAnsi="Times New Roman"/>
        </w:rPr>
        <w:t xml:space="preserve">вки и съдове, а България и </w:t>
      </w:r>
    </w:p>
    <w:p w:rsidR="0082212F" w:rsidRDefault="001B50F5">
      <w:pPr>
        <w:pStyle w:val="FootnoteText"/>
        <w:rPr>
          <w:rFonts w:ascii="Times New Roman" w:hAnsi="Times New Roman" w:cs="Times New Roman"/>
        </w:rPr>
      </w:pPr>
      <w:r>
        <w:rPr>
          <w:rFonts w:ascii="Times New Roman" w:hAnsi="Times New Roman"/>
        </w:rPr>
        <w:t xml:space="preserve">   Обединеното кралство не предоставиха информация.</w:t>
      </w:r>
    </w:p>
  </w:footnote>
  <w:footnote w:id="46">
    <w:p w:rsidR="0082212F" w:rsidRDefault="001B50F5">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Обединеното кралство не предостави информация по този въпрос, а в Нидерландия не са изградени обществено финансирани системи. </w:t>
      </w:r>
    </w:p>
    <w:p w:rsidR="0082212F" w:rsidRDefault="001B50F5">
      <w:pPr>
        <w:pStyle w:val="FootnoteText"/>
        <w:rPr>
          <w:rFonts w:ascii="Times New Roman" w:hAnsi="Times New Roman" w:cs="Times New Roman"/>
        </w:rPr>
      </w:pPr>
      <w:r>
        <w:rPr>
          <w:rFonts w:ascii="Times New Roman" w:hAnsi="Times New Roman"/>
        </w:rPr>
        <w:t xml:space="preserve">    Кипър и Малта</w:t>
      </w:r>
    </w:p>
  </w:footnote>
  <w:footnote w:id="47">
    <w:p w:rsidR="0082212F" w:rsidRDefault="001B50F5">
      <w:pPr>
        <w:pStyle w:val="FootnoteText"/>
        <w:ind w:left="170" w:hanging="17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(ЕС) № 1306/2013 </w:t>
      </w:r>
      <w:r>
        <w:rPr>
          <w:rFonts w:ascii="Times New Roman" w:hAnsi="Times New Roman"/>
        </w:rPr>
        <w:t>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w:t>
      </w:r>
      <w:r>
        <w:rPr>
          <w:rFonts w:ascii="Times New Roman" w:hAnsi="Times New Roman"/>
        </w:rPr>
        <w:t>О) № 485/2008 на Съвета, ОВ L 347, 20.12.2013 г., стр. 549—607.</w:t>
      </w:r>
    </w:p>
  </w:footnote>
  <w:footnote w:id="48">
    <w:p w:rsidR="0082212F" w:rsidRDefault="001B50F5">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8">
        <w:r>
          <w:rPr>
            <w:rStyle w:val="Hyperlink"/>
            <w:rFonts w:ascii="Times New Roman" w:hAnsi="Times New Roman"/>
          </w:rPr>
          <w:t>http://www.endure-network.eu/endure</w:t>
        </w:r>
      </w:hyperlink>
      <w:r>
        <w:rPr>
          <w:rFonts w:ascii="Times New Roman" w:hAnsi="Times New Roman"/>
        </w:rPr>
        <w:t xml:space="preserve"> </w:t>
      </w:r>
    </w:p>
  </w:footnote>
  <w:footnote w:id="49">
    <w:p w:rsidR="0082212F" w:rsidRDefault="001B50F5">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9">
        <w:r>
          <w:rPr>
            <w:rStyle w:val="Hyperlink"/>
            <w:rFonts w:ascii="Times New Roman" w:hAnsi="Times New Roman"/>
          </w:rPr>
          <w:t>http://c-ipm.org/</w:t>
        </w:r>
      </w:hyperlink>
      <w:r>
        <w:rPr>
          <w:rFonts w:ascii="Times New Roman" w:hAnsi="Times New Roman"/>
        </w:rPr>
        <w:t xml:space="preserve"> </w:t>
      </w:r>
    </w:p>
  </w:footnote>
  <w:footnote w:id="50">
    <w:p w:rsidR="0082212F" w:rsidRDefault="001B50F5">
      <w:pPr>
        <w:pStyle w:val="FootnoteText"/>
        <w:ind w:left="227" w:hanging="22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Седма рамкова програма: CO-FREE, TEAMP</w:t>
      </w:r>
      <w:r>
        <w:rPr>
          <w:rFonts w:ascii="Times New Roman" w:hAnsi="Times New Roman"/>
        </w:rPr>
        <w:t>EST, BIOCOMES, SharCo, DROPSA, Fruit Breedomics, EU-Berry, INNOVINE, MARS EUPHOROS, VALORAM, PRATIQUE, ISEFOR, QBOL, Q-Detect, TESTA; „Хоризонт 2020“: Проекти EUCLID, EMPHASIS, BLOSTER: http://cordis.europa.eu/projects/home_en.html</w:t>
      </w:r>
    </w:p>
  </w:footnote>
  <w:footnote w:id="51">
    <w:p w:rsidR="0082212F" w:rsidRDefault="001B50F5">
      <w:pPr>
        <w:pStyle w:val="FootnoteText"/>
        <w:tabs>
          <w:tab w:val="left" w:pos="5780"/>
        </w:tabs>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Австрия, Италия и Швец</w:t>
      </w:r>
      <w:r>
        <w:rPr>
          <w:rFonts w:ascii="Times New Roman" w:hAnsi="Times New Roman"/>
        </w:rPr>
        <w:t>ия.</w:t>
      </w:r>
      <w:r>
        <w:tab/>
      </w:r>
    </w:p>
  </w:footnote>
  <w:footnote w:id="52">
    <w:p w:rsidR="0082212F" w:rsidRDefault="001B50F5">
      <w:pPr>
        <w:pStyle w:val="FootnoteText"/>
        <w:ind w:left="227" w:hanging="227"/>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Доклад на Комисията до Европейския парламент и Съвета относно изпълнението на Регламент (ЕО) № 1185/2009 на Европейския парламент и на Съвета от 25 ноември 2009 г. относно статистиката за пестициди, COM(2017) 109 final.</w:t>
      </w:r>
    </w:p>
  </w:footnote>
  <w:footnote w:id="53">
    <w:p w:rsidR="0082212F" w:rsidRDefault="001B50F5">
      <w:pPr>
        <w:tabs>
          <w:tab w:val="left" w:pos="871"/>
        </w:tabs>
        <w:autoSpaceDE w:val="0"/>
        <w:autoSpaceDN w:val="0"/>
        <w:adjustRightInd w:val="0"/>
        <w:spacing w:after="0" w:line="240" w:lineRule="auto"/>
        <w:jc w:val="both"/>
        <w:rPr>
          <w:rFonts w:ascii="Calibri" w:hAnsi="Calibri"/>
          <w:sz w:val="20"/>
          <w:szCs w:val="20"/>
        </w:rPr>
      </w:pPr>
      <w:r>
        <w:rPr>
          <w:rStyle w:val="FootnoteReference"/>
        </w:rPr>
        <w:footnoteRef/>
      </w:r>
      <w:r>
        <w:t xml:space="preserve"> </w:t>
      </w:r>
      <w:r>
        <w:rPr>
          <w:rFonts w:ascii="Times New Roman" w:hAnsi="Times New Roman"/>
          <w:color w:val="000000"/>
          <w:sz w:val="20"/>
        </w:rPr>
        <w:t>Решение за изпълнение на Ко</w:t>
      </w:r>
      <w:r>
        <w:rPr>
          <w:rFonts w:ascii="Times New Roman" w:hAnsi="Times New Roman"/>
          <w:color w:val="000000"/>
          <w:sz w:val="20"/>
        </w:rPr>
        <w:t>мисията от 28 септември 2016 г. за изготвяне на работна програма за оценка на заявленията за подновяване на одобренията на активни вещества, чийто срок на валидност изтича през 2019 г., 2020 г. и 2021 г., в съответствие с Регламент (ЕО) № 1107/2009 на Евро</w:t>
      </w:r>
      <w:r>
        <w:rPr>
          <w:rFonts w:ascii="Times New Roman" w:hAnsi="Times New Roman"/>
          <w:color w:val="000000"/>
          <w:sz w:val="20"/>
        </w:rPr>
        <w:t>пейския парламент и на Съвета, ОВ C 357 от 29.9.2016 г., стр. 9—11.</w:t>
      </w:r>
    </w:p>
  </w:footnote>
  <w:footnote w:id="54">
    <w:p w:rsidR="0082212F" w:rsidRDefault="001B50F5">
      <w:pPr>
        <w:pStyle w:val="FootnoteText"/>
        <w:jc w:val="both"/>
      </w:pPr>
      <w:r>
        <w:rPr>
          <w:rStyle w:val="FootnoteReference"/>
        </w:rPr>
        <w:footnoteRef/>
      </w:r>
      <w:r>
        <w:t xml:space="preserve"> </w:t>
      </w:r>
      <w:r>
        <w:rPr>
          <w:rFonts w:ascii="Times New Roman" w:hAnsi="Times New Roman"/>
          <w:color w:val="000000"/>
        </w:rPr>
        <w:t xml:space="preserve">Регламент (ЕС) 2017/1432 на Комисията от 7 август 2017 г. за изменение на Регламент (ЕО) № 1107/2009 на Европейския парламент и на Съвета относно пускането на пазара на продукти за </w:t>
      </w:r>
      <w:r>
        <w:rPr>
          <w:rFonts w:ascii="Times New Roman" w:hAnsi="Times New Roman"/>
          <w:color w:val="000000"/>
        </w:rPr>
        <w:t>растителна защита по отношение на критериите за одобрение на активни вещества с нисък риск, OB L 205, 8.8.2017 г., стр. 59—62.</w:t>
      </w:r>
    </w:p>
  </w:footnote>
  <w:footnote w:id="55">
    <w:p w:rsidR="0082212F" w:rsidRDefault="001B50F5">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Като примери могат да бъдат посочени следните проекти по Седма рамкова програма:</w:t>
      </w:r>
    </w:p>
    <w:p w:rsidR="0082212F" w:rsidRDefault="001B50F5">
      <w:pPr>
        <w:pStyle w:val="FootnoteText"/>
        <w:rPr>
          <w:rFonts w:ascii="Times New Roman" w:hAnsi="Times New Roman" w:cs="Times New Roman"/>
          <w:lang w:val="pt-PT"/>
        </w:rPr>
      </w:pPr>
      <w:hyperlink r:id="rId10">
        <w:r>
          <w:rPr>
            <w:rStyle w:val="Hyperlink"/>
            <w:rFonts w:ascii="Times New Roman" w:hAnsi="Times New Roman"/>
          </w:rPr>
          <w:t>AGROCOS</w:t>
        </w:r>
      </w:hyperlink>
      <w:r>
        <w:rPr>
          <w:rFonts w:ascii="Times New Roman" w:hAnsi="Times New Roman"/>
          <w:u w:val="single"/>
        </w:rPr>
        <w:t xml:space="preserve"> (http://cordis.europa.eu/project/rcn/94701_en.html)</w:t>
      </w:r>
      <w:r>
        <w:rPr>
          <w:rFonts w:ascii="Times New Roman" w:hAnsi="Times New Roman"/>
        </w:rPr>
        <w:t xml:space="preserve">, </w:t>
      </w:r>
    </w:p>
    <w:p w:rsidR="0082212F" w:rsidRDefault="001B50F5">
      <w:pPr>
        <w:pStyle w:val="FootnoteText"/>
        <w:rPr>
          <w:rFonts w:ascii="Times New Roman" w:hAnsi="Times New Roman" w:cs="Times New Roman"/>
          <w:lang w:val="it-IT"/>
        </w:rPr>
      </w:pPr>
      <w:hyperlink r:id="rId11">
        <w:r>
          <w:rPr>
            <w:rStyle w:val="Hyperlink"/>
            <w:rFonts w:ascii="Times New Roman" w:hAnsi="Times New Roman"/>
          </w:rPr>
          <w:t>PURE</w:t>
        </w:r>
      </w:hyperlink>
      <w:r>
        <w:rPr>
          <w:rFonts w:ascii="Times New Roman" w:hAnsi="Times New Roman"/>
          <w:u w:val="single"/>
        </w:rPr>
        <w:t xml:space="preserve"> (</w:t>
      </w:r>
      <w:hyperlink r:id="rId12">
        <w:r>
          <w:rPr>
            <w:rStyle w:val="Hyperlink"/>
            <w:rFonts w:ascii="Times New Roman" w:hAnsi="Times New Roman"/>
          </w:rPr>
          <w:t>http://cordis.europa.eu/project/rcn/98869_en.html</w:t>
        </w:r>
      </w:hyperlink>
      <w:r>
        <w:rPr>
          <w:rFonts w:ascii="Times New Roman" w:hAnsi="Times New Roman"/>
          <w:u w:val="single"/>
        </w:rPr>
        <w:t>)</w:t>
      </w:r>
      <w:r>
        <w:rPr>
          <w:rFonts w:ascii="Times New Roman" w:hAnsi="Times New Roman"/>
        </w:rPr>
        <w:t xml:space="preserve">, </w:t>
      </w:r>
    </w:p>
    <w:p w:rsidR="0082212F" w:rsidRDefault="001B50F5">
      <w:pPr>
        <w:pStyle w:val="FootnoteText"/>
        <w:rPr>
          <w:rFonts w:ascii="Times New Roman" w:hAnsi="Times New Roman" w:cs="Times New Roman"/>
        </w:rPr>
      </w:pPr>
      <w:hyperlink r:id="rId13">
        <w:r>
          <w:rPr>
            <w:rStyle w:val="Hyperlink"/>
            <w:rFonts w:ascii="Times New Roman" w:hAnsi="Times New Roman"/>
          </w:rPr>
          <w:t>CO-FREE</w:t>
        </w:r>
      </w:hyperlink>
      <w:r>
        <w:rPr>
          <w:rFonts w:ascii="Times New Roman" w:hAnsi="Times New Roman"/>
          <w:u w:val="single"/>
        </w:rPr>
        <w:t xml:space="preserve"> (</w:t>
      </w:r>
      <w:hyperlink r:id="rId14">
        <w:r>
          <w:rPr>
            <w:rStyle w:val="Hyperlink"/>
            <w:rFonts w:ascii="Times New Roman" w:hAnsi="Times New Roman"/>
          </w:rPr>
          <w:t>http://cordis.europa.eu/project/rcn/101750_en.html</w:t>
        </w:r>
      </w:hyperlink>
      <w:r>
        <w:rPr>
          <w:rFonts w:ascii="Times New Roman" w:hAnsi="Times New Roman"/>
          <w:u w:val="single"/>
        </w:rPr>
        <w:t>)</w:t>
      </w:r>
      <w:r>
        <w:rPr>
          <w:rFonts w:ascii="Times New Roman" w:hAnsi="Times New Roman"/>
        </w:rPr>
        <w:t xml:space="preserve">, </w:t>
      </w:r>
    </w:p>
    <w:p w:rsidR="0082212F" w:rsidRDefault="001B50F5">
      <w:pPr>
        <w:pStyle w:val="FootnoteText"/>
        <w:rPr>
          <w:rFonts w:ascii="Times New Roman" w:hAnsi="Times New Roman" w:cs="Times New Roman"/>
        </w:rPr>
      </w:pPr>
      <w:r>
        <w:rPr>
          <w:rFonts w:ascii="Times New Roman" w:hAnsi="Times New Roman"/>
        </w:rPr>
        <w:t>BIOCOMES</w:t>
      </w:r>
      <w:r>
        <w:rPr>
          <w:rFonts w:ascii="Times New Roman" w:hAnsi="Times New Roman"/>
          <w:u w:val="single"/>
        </w:rPr>
        <w:t xml:space="preserve"> (</w:t>
      </w:r>
      <w:hyperlink r:id="rId15">
        <w:r>
          <w:rPr>
            <w:rStyle w:val="Hyperlink"/>
            <w:rFonts w:ascii="Times New Roman" w:hAnsi="Times New Roman"/>
          </w:rPr>
          <w:t>http://cordis.europa.eu/project/rcn/111189_en.html</w:t>
        </w:r>
      </w:hyperlink>
      <w:r>
        <w:rPr>
          <w:rFonts w:ascii="Times New Roman" w:hAnsi="Times New Roman"/>
          <w:u w:val="single"/>
        </w:rPr>
        <w:t>)</w:t>
      </w:r>
      <w:r>
        <w:rPr>
          <w:rFonts w:ascii="Times New Roman" w:hAnsi="Times New Roman"/>
        </w:rPr>
        <w:t xml:space="preserve">, </w:t>
      </w:r>
    </w:p>
    <w:p w:rsidR="0082212F" w:rsidRDefault="001B50F5">
      <w:pPr>
        <w:pStyle w:val="FootnoteText"/>
      </w:pPr>
      <w:hyperlink r:id="rId16">
        <w:r>
          <w:rPr>
            <w:rStyle w:val="Hyperlink"/>
            <w:rFonts w:ascii="Times New Roman" w:hAnsi="Times New Roman"/>
          </w:rPr>
          <w:t>Prolarix</w:t>
        </w:r>
      </w:hyperlink>
      <w:r>
        <w:rPr>
          <w:rFonts w:ascii="Times New Roman" w:hAnsi="Times New Roman"/>
        </w:rPr>
        <w:t xml:space="preserve"> (http://cordis.europa.eu/project/rcn/110948</w:t>
      </w:r>
      <w:r>
        <w:rPr>
          <w:rFonts w:ascii="Times New Roman" w:hAnsi="Times New Roman"/>
        </w:rPr>
        <w:t>_en.html).</w:t>
      </w:r>
    </w:p>
  </w:footnote>
  <w:footnote w:id="56">
    <w:p w:rsidR="0082212F" w:rsidRDefault="001B50F5">
      <w:pPr>
        <w:pStyle w:val="FootnoteText"/>
      </w:pPr>
      <w:r>
        <w:rPr>
          <w:rStyle w:val="FootnoteReference"/>
          <w:rFonts w:ascii="Times New Roman" w:hAnsi="Times New Roman"/>
        </w:rPr>
        <w:footnoteRef/>
      </w:r>
      <w:r>
        <w:rPr>
          <w:rFonts w:ascii="Times New Roman" w:hAnsi="Times New Roman"/>
        </w:rPr>
        <w:t xml:space="preserve"> </w:t>
      </w:r>
      <w:hyperlink r:id="rId17">
        <w:r>
          <w:rPr>
            <w:rStyle w:val="Hyperlink"/>
            <w:rFonts w:ascii="Times New Roman" w:hAnsi="Times New Roman"/>
            <w:sz w:val="18"/>
          </w:rPr>
          <w:t>http://www.consilium.europa.eu/register/en/content/out/?&amp;typ=ENTRY&amp;i=ADV&amp;DOC_ID=ST-10041-2016-ADD-1</w:t>
        </w:r>
      </w:hyperlink>
    </w:p>
  </w:footnote>
  <w:footnote w:id="57">
    <w:p w:rsidR="0082212F" w:rsidRDefault="001B50F5">
      <w:pPr>
        <w:pStyle w:val="CM1"/>
        <w:spacing w:before="200" w:after="200"/>
        <w:rPr>
          <w:rFonts w:ascii="Times New Roman" w:hAnsi="Times New Roman"/>
          <w:sz w:val="20"/>
          <w:szCs w:val="20"/>
          <w:lang w:eastAsia="en-US"/>
        </w:rPr>
      </w:pPr>
      <w:r>
        <w:rPr>
          <w:rStyle w:val="FootnoteReference"/>
        </w:rPr>
        <w:footnoteRef/>
      </w:r>
      <w:r>
        <w:t xml:space="preserve"> </w:t>
      </w:r>
      <w:r>
        <w:rPr>
          <w:rFonts w:ascii="Times New Roman" w:hAnsi="Times New Roman"/>
          <w:sz w:val="20"/>
        </w:rPr>
        <w:t>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w:t>
      </w:r>
      <w:r>
        <w:rPr>
          <w:rFonts w:ascii="Times New Roman" w:hAnsi="Times New Roman"/>
          <w:sz w:val="20"/>
        </w:rPr>
        <w:t>2000, (ЕО) № 1290/2005 и (ЕО) № 485/2008 на Съвета, ОВ L 347/549 г.; 20.12.2010 г., стр. 59</w:t>
      </w:r>
    </w:p>
    <w:p w:rsidR="0082212F" w:rsidRDefault="0082212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0F5" w:rsidRDefault="001B50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12F" w:rsidRDefault="0082212F" w:rsidP="001B50F5">
    <w:pPr>
      <w:pStyle w:val="HeaderCoverPage"/>
      <w:numPr>
        <w:ilvl w:val="0"/>
        <w:numId w:val="0"/>
      </w:numPr>
      <w:ind w:lef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0F5" w:rsidRDefault="001B50F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12F" w:rsidRDefault="0082212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12F" w:rsidRDefault="0082212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12F" w:rsidRDefault="008221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84F71"/>
    <w:multiLevelType w:val="multilevel"/>
    <w:tmpl w:val="C22CA53C"/>
    <w:lvl w:ilvl="0">
      <w:start w:val="1"/>
      <w:numFmt w:val="decimal"/>
      <w:pStyle w:val="HeaderCoverPage"/>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6D1288E"/>
    <w:multiLevelType w:val="hybridMultilevel"/>
    <w:tmpl w:val="EDEA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0F1253B"/>
    <w:multiLevelType w:val="hybridMultilevel"/>
    <w:tmpl w:val="E3B8A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E4B68B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935A0DAD049542BAA11C83FD2B139AD7"/>
    <w:docVar w:name="LW_CROSSREFERENCE" w:val="&lt;UNUSED&gt;"/>
    <w:docVar w:name="LW_DocType" w:val="NORMAL"/>
    <w:docVar w:name="LW_EMISSION" w:val="10.10.2017"/>
    <w:docVar w:name="LW_EMISSION_ISODATE" w:val="2017-10-10"/>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587"/>
    <w:docVar w:name="LW_REF.INTERNE" w:val="&lt;UNUSED&gt;"/>
    <w:docVar w:name="LW_SOUS.TITRE.OBJ.CP" w:val="&lt;UNUSED&gt;"/>
    <w:docVar w:name="LW_SUPERTITRE" w:val="&lt;UNUSED&gt;"/>
    <w:docVar w:name="LW_TITRE.OBJ.CP" w:val="\u1086?\u1090?\u1085?\u1086?\u1089?\u1085?\u1086? \u1085?\u1072?\u1094?\u1080?\u1086?\u1085?\u1072?\u1083?\u1085?\u1080?\u1090?\u1077? \u1087?\u1083?\u1072?\u1085?\u1086?\u1074?\u1077? \u1079?\u1072? \u1076?\u1077?\u1081?\u1089?\u1090?\u1074?\u1080?\u1077? \u1085?\u1072? \u1076?\u1098?\u1088?\u1078?\u1072?\u1074?\u1080?\u1090?\u1077? \u1095?\u1083?\u1077?\u1085?\u1082?\u1080? \u1080? \u1085?\u1072?\u1087?\u1088?\u1077?\u1076?\u1098?\u1082?\u1072?, \u1087?\u1086?\u1089?\u1090?\u1080?\u1075?\u1085?\u1072?\u1090? \u1074? \u1080?\u1079?\u1087?\u1098?\u1083?\u1085?\u1077?\u1085?\u1080?\u1077?\u1090?\u1086? \u1085?\u1072? \u1044?\u1080?\u1088?\u1077?\u1082?\u1090?\u1080?\u1074?\u1072? 2009/128/\u1045?\u1057? \u1079?\u1072? \u1087?\u1086?\u1089?\u1090?\u1080?\u1075?\u1072?\u1085?\u1077? \u1085?\u1072? \u1091?\u1089?\u1090?\u1086?\u1081?\u1095?\u1080?\u1074?\u1072? \u1091?\u1087?\u1086?\u1090?\u1088?\u1077?\u1073?\u1072? \u1085?\u1072? \u1087?\u1077?\u1089?\u1090?\u1080?\u1094?\u1080?\u1076?\u1080?"/>
    <w:docVar w:name="LW_TYPE.DOC.CP" w:val="\u1044?\u1054?\u1050?\u1051?\u1040?\u1044? \u1053?\u1040? \u1050?\u1054?\u1052?\u1048?\u1057?\u1048?\u1071?\u1058?\u1040? \u1044?\u1054? \u1045?\u1042?\u1056?\u1054?\u1055?\u1045?\u1049?\u1057?\u1050?\u1048?\u1071? \u1055?\u1040?\u1056?\u1051?\u1040?\u1052?\u1045?\u1053?\u1058? \u1048? \u1057?\u1066?\u1042?\u1045?\u1058?\u1040?"/>
  </w:docVars>
  <w:rsids>
    <w:rsidRoot w:val="0082212F"/>
    <w:rsid w:val="001B50F5"/>
    <w:rsid w:val="00822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styleId="FootnoteReference">
    <w:name w:val="footnote reference"/>
    <w:uiPriority w:val="99"/>
    <w:rPr>
      <w:shd w:val="clear" w:color="auto" w:fill="auto"/>
      <w:vertAlign w:val="superscript"/>
    </w:rPr>
  </w:style>
  <w:style w:type="character" w:styleId="Hyperlink">
    <w:name w:val="Hyperlink"/>
    <w:uiPriority w:val="99"/>
    <w:rPr>
      <w:rFonts w:cs="Times New Roman"/>
      <w:color w:val="0000FF"/>
      <w:u w:val="single"/>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overPageChar">
    <w:name w:val="Footer Cover Page Char"/>
    <w:link w:val="FooterCoverPage"/>
    <w:rPr>
      <w:rFonts w:ascii="Times New Roman" w:eastAsia="Times New Roman" w:hAnsi="Times New Roman" w:cs="Times New Roman"/>
      <w:sz w:val="24"/>
      <w:szCs w:val="24"/>
    </w:rPr>
  </w:style>
  <w:style w:type="character" w:styleId="Strong">
    <w:name w:val="Strong"/>
    <w:uiPriority w:val="22"/>
    <w:qFormat/>
    <w:rPr>
      <w:b/>
      <w:bCs/>
      <w:shd w:val="clear" w:color="auto" w:fill="auto"/>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CM1">
    <w:name w:val="CM1"/>
    <w:basedOn w:val="Normal"/>
    <w:uiPriority w:val="99"/>
    <w:pPr>
      <w:autoSpaceDE w:val="0"/>
      <w:autoSpaceDN w:val="0"/>
      <w:spacing w:after="0" w:line="240" w:lineRule="auto"/>
    </w:pPr>
    <w:rPr>
      <w:rFonts w:ascii="EUAlbertina" w:hAnsi="EUAlbertina" w:cs="Times New Roman"/>
      <w:sz w:val="24"/>
      <w:szCs w:val="24"/>
    </w:r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HeaderCoverPage">
    <w:name w:val="Header Cover Page"/>
    <w:basedOn w:val="Normal"/>
    <w:link w:val="HeaderCoverPageChar"/>
    <w:pPr>
      <w:keepNext/>
      <w:numPr>
        <w:numId w:val="1"/>
      </w:numPr>
      <w:tabs>
        <w:tab w:val="center" w:pos="4535"/>
        <w:tab w:val="right" w:pos="9071"/>
      </w:tabs>
      <w:spacing w:after="120" w:line="240" w:lineRule="auto"/>
      <w:ind w:left="0"/>
      <w:jc w:val="both"/>
      <w:outlineLvl w:val="0"/>
    </w:pPr>
    <w:rPr>
      <w:rFonts w:ascii="Times New Roman" w:eastAsia="Times New Roman" w:hAnsi="Times New Roman" w:cs="Times New Roman"/>
      <w:bCs/>
      <w:caps/>
      <w:smallCaps/>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bCs/>
      <w:caps/>
      <w:small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styleId="FootnoteReference">
    <w:name w:val="footnote reference"/>
    <w:uiPriority w:val="99"/>
    <w:rPr>
      <w:shd w:val="clear" w:color="auto" w:fill="auto"/>
      <w:vertAlign w:val="superscript"/>
    </w:rPr>
  </w:style>
  <w:style w:type="character" w:styleId="Hyperlink">
    <w:name w:val="Hyperlink"/>
    <w:uiPriority w:val="99"/>
    <w:rPr>
      <w:rFonts w:cs="Times New Roman"/>
      <w:color w:val="0000FF"/>
      <w:u w:val="single"/>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overPageChar">
    <w:name w:val="Footer Cover Page Char"/>
    <w:link w:val="FooterCoverPage"/>
    <w:rPr>
      <w:rFonts w:ascii="Times New Roman" w:eastAsia="Times New Roman" w:hAnsi="Times New Roman" w:cs="Times New Roman"/>
      <w:sz w:val="24"/>
      <w:szCs w:val="24"/>
    </w:rPr>
  </w:style>
  <w:style w:type="character" w:styleId="Strong">
    <w:name w:val="Strong"/>
    <w:uiPriority w:val="22"/>
    <w:qFormat/>
    <w:rPr>
      <w:b/>
      <w:bCs/>
      <w:shd w:val="clear" w:color="auto" w:fill="auto"/>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CM1">
    <w:name w:val="CM1"/>
    <w:basedOn w:val="Normal"/>
    <w:uiPriority w:val="99"/>
    <w:pPr>
      <w:autoSpaceDE w:val="0"/>
      <w:autoSpaceDN w:val="0"/>
      <w:spacing w:after="0" w:line="240" w:lineRule="auto"/>
    </w:pPr>
    <w:rPr>
      <w:rFonts w:ascii="EUAlbertina" w:hAnsi="EUAlbertina" w:cs="Times New Roman"/>
      <w:sz w:val="24"/>
      <w:szCs w:val="24"/>
    </w:r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HeaderCoverPage">
    <w:name w:val="Header Cover Page"/>
    <w:basedOn w:val="Normal"/>
    <w:link w:val="HeaderCoverPageChar"/>
    <w:pPr>
      <w:keepNext/>
      <w:numPr>
        <w:numId w:val="1"/>
      </w:numPr>
      <w:tabs>
        <w:tab w:val="center" w:pos="4535"/>
        <w:tab w:val="right" w:pos="9071"/>
      </w:tabs>
      <w:spacing w:after="120" w:line="240" w:lineRule="auto"/>
      <w:ind w:left="0"/>
      <w:jc w:val="both"/>
      <w:outlineLvl w:val="0"/>
    </w:pPr>
    <w:rPr>
      <w:rFonts w:ascii="Times New Roman" w:eastAsia="Times New Roman" w:hAnsi="Times New Roman" w:cs="Times New Roman"/>
      <w:bCs/>
      <w:caps/>
      <w:smallCaps/>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bCs/>
      <w:caps/>
      <w:small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939542">
      <w:bodyDiv w:val="1"/>
      <w:marLeft w:val="0"/>
      <w:marRight w:val="0"/>
      <w:marTop w:val="0"/>
      <w:marBottom w:val="0"/>
      <w:divBdr>
        <w:top w:val="none" w:sz="0" w:space="0" w:color="auto"/>
        <w:left w:val="none" w:sz="0" w:space="0" w:color="auto"/>
        <w:bottom w:val="none" w:sz="0" w:space="0" w:color="auto"/>
        <w:right w:val="none" w:sz="0" w:space="0" w:color="auto"/>
      </w:divBdr>
    </w:div>
    <w:div w:id="427435600">
      <w:bodyDiv w:val="1"/>
      <w:marLeft w:val="0"/>
      <w:marRight w:val="0"/>
      <w:marTop w:val="0"/>
      <w:marBottom w:val="0"/>
      <w:divBdr>
        <w:top w:val="none" w:sz="0" w:space="0" w:color="auto"/>
        <w:left w:val="none" w:sz="0" w:space="0" w:color="auto"/>
        <w:bottom w:val="none" w:sz="0" w:space="0" w:color="auto"/>
        <w:right w:val="none" w:sz="0" w:space="0" w:color="auto"/>
      </w:divBdr>
    </w:div>
    <w:div w:id="722482501">
      <w:bodyDiv w:val="1"/>
      <w:marLeft w:val="0"/>
      <w:marRight w:val="0"/>
      <w:marTop w:val="0"/>
      <w:marBottom w:val="0"/>
      <w:divBdr>
        <w:top w:val="none" w:sz="0" w:space="0" w:color="auto"/>
        <w:left w:val="none" w:sz="0" w:space="0" w:color="auto"/>
        <w:bottom w:val="none" w:sz="0" w:space="0" w:color="auto"/>
        <w:right w:val="none" w:sz="0" w:space="0" w:color="auto"/>
      </w:divBdr>
    </w:div>
    <w:div w:id="1568568150">
      <w:bodyDiv w:val="1"/>
      <w:marLeft w:val="0"/>
      <w:marRight w:val="0"/>
      <w:marTop w:val="0"/>
      <w:marBottom w:val="0"/>
      <w:divBdr>
        <w:top w:val="none" w:sz="0" w:space="0" w:color="auto"/>
        <w:left w:val="none" w:sz="0" w:space="0" w:color="auto"/>
        <w:bottom w:val="none" w:sz="0" w:space="0" w:color="auto"/>
        <w:right w:val="none" w:sz="0" w:space="0" w:color="auto"/>
      </w:divBdr>
    </w:div>
    <w:div w:id="1699548723">
      <w:bodyDiv w:val="1"/>
      <w:marLeft w:val="0"/>
      <w:marRight w:val="0"/>
      <w:marTop w:val="0"/>
      <w:marBottom w:val="0"/>
      <w:divBdr>
        <w:top w:val="none" w:sz="0" w:space="0" w:color="auto"/>
        <w:left w:val="none" w:sz="0" w:space="0" w:color="auto"/>
        <w:bottom w:val="none" w:sz="0" w:space="0" w:color="auto"/>
        <w:right w:val="none" w:sz="0" w:space="0" w:color="auto"/>
      </w:divBdr>
    </w:div>
    <w:div w:id="186791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iso.org/standard/56721.html"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ec.europa.eu/food/plant/pesticides/sustainable_use_pesticides_en"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png"/><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ndure-network.eu/endure" TargetMode="External"/><Relationship Id="rId13" Type="http://schemas.openxmlformats.org/officeDocument/2006/relationships/hyperlink" Target="http://cordis.europa.eu/project/rcn/101750_en.html" TargetMode="External"/><Relationship Id="rId3" Type="http://schemas.openxmlformats.org/officeDocument/2006/relationships/hyperlink" Target="http://ec.europa.eu/food/audits-analysis/overview_reports/details.cfm?rep_id=79" TargetMode="External"/><Relationship Id="rId7" Type="http://schemas.openxmlformats.org/officeDocument/2006/relationships/hyperlink" Target="https://www.eea.europa.eu/publications/european-waters-assessment-2012" TargetMode="External"/><Relationship Id="rId12" Type="http://schemas.openxmlformats.org/officeDocument/2006/relationships/hyperlink" Target="http://cordis.europa.eu/project/rcn/98869_en.html" TargetMode="External"/><Relationship Id="rId17" Type="http://schemas.openxmlformats.org/officeDocument/2006/relationships/hyperlink" Target="http://www.consilium.europa.eu/register/en/content/out/?&amp;typ=ENTRY&amp;i=ADV&amp;DOC_ID=ST-10041-2016-ADD-1" TargetMode="External"/><Relationship Id="rId2" Type="http://schemas.openxmlformats.org/officeDocument/2006/relationships/hyperlink" Target="http://ec.europa.eu/food/plant/pesticides/eu-pesticides-database/public/?event=homepage&amp;language=EN" TargetMode="External"/><Relationship Id="rId16" Type="http://schemas.openxmlformats.org/officeDocument/2006/relationships/hyperlink" Target="http://cordis.europa.eu/project/rcn/110948_en.html" TargetMode="External"/><Relationship Id="rId1" Type="http://schemas.openxmlformats.org/officeDocument/2006/relationships/hyperlink" Target="http://ec.europa.eu/europeaid/file/50450/download_en?token=KLkUmH5y" TargetMode="External"/><Relationship Id="rId6" Type="http://schemas.openxmlformats.org/officeDocument/2006/relationships/hyperlink" Target="https://ec.europa.eu/food/safety/btsf_en" TargetMode="External"/><Relationship Id="rId11" Type="http://schemas.openxmlformats.org/officeDocument/2006/relationships/hyperlink" Target="http://cordis.europa.eu/project/rcn/98869_en.html" TargetMode="External"/><Relationship Id="rId5" Type="http://schemas.openxmlformats.org/officeDocument/2006/relationships/hyperlink" Target="http://ec.europa.eu/eurostat/statistics-explained/index.php/Farm_structure_survey_2013_-_main_results" TargetMode="External"/><Relationship Id="rId15" Type="http://schemas.openxmlformats.org/officeDocument/2006/relationships/hyperlink" Target="http://cordis.europa.eu/project/rcn/111189_en.html" TargetMode="External"/><Relationship Id="rId10" Type="http://schemas.openxmlformats.org/officeDocument/2006/relationships/hyperlink" Target="http://cordis.europa.eu/project/rcn/94701_en.html" TargetMode="External"/><Relationship Id="rId4" Type="http://schemas.openxmlformats.org/officeDocument/2006/relationships/hyperlink" Target="https://ec.europa.eu/food/plant/pesticides/sustainable_use_pesticides_en" TargetMode="External"/><Relationship Id="rId9" Type="http://schemas.openxmlformats.org/officeDocument/2006/relationships/hyperlink" Target="http://c-ipm.org/" TargetMode="External"/><Relationship Id="rId14" Type="http://schemas.openxmlformats.org/officeDocument/2006/relationships/hyperlink" Target="http://cordis.europa.eu/project/rcn/101750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A37F0-78C0-434E-8385-F01462EDA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7872</Words>
  <Characters>44877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SANTE/11319/2017-EN CIS</vt:lpstr>
    </vt:vector>
  </TitlesOfParts>
  <Manager/>
  <Company/>
  <LinksUpToDate>false</LinksUpToDate>
  <CharactersWithSpaces>52644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SANTE/11319/2017-EN CIS</dc:title>
  <dc:subject>Report</dc:subject>
  <dc:creator/>
  <cp:keywords>11319</cp:keywords>
  <dc:description>OUTLOOK - 28.7.2017    
no layout, no time - just general check</dc:description>
  <cp:lastModifiedBy>LAGES CARVALHO Patrick (SG)</cp:lastModifiedBy>
  <cp:revision>22</cp:revision>
  <cp:lastPrinted>2017-09-21T11:18:00Z</cp:lastPrinted>
  <dcterms:created xsi:type="dcterms:W3CDTF">2017-09-27T14:38:00Z</dcterms:created>
  <dcterms:modified xsi:type="dcterms:W3CDTF">2017-10-09T06:12:00Z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