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2A" w:rsidRDefault="00CB0DDA" w:rsidP="00CB0DDA"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0FC9A43890714C7E9A28D7C883531F53" style="width:450.75pt;height:307.5pt">
            <v:imagedata r:id="rId9" o:title=""/>
          </v:shape>
        </w:pict>
      </w:r>
    </w:p>
    <w:bookmarkEnd w:id="0"/>
    <w:p w:rsidR="00B2622A" w:rsidRDefault="00B2622A">
      <w:pPr>
        <w:rPr>
          <w:noProof/>
        </w:rPr>
        <w:sectPr w:rsidR="00B2622A" w:rsidSect="00CB0DD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1"/>
          <w:cols w:space="720"/>
          <w:docGrid w:linePitch="326"/>
        </w:sectPr>
      </w:pPr>
    </w:p>
    <w:p w:rsidR="00B2622A" w:rsidRDefault="00CB0DDA">
      <w:pPr>
        <w:pStyle w:val="Heading1"/>
        <w:rPr>
          <w:noProof/>
        </w:rPr>
      </w:pPr>
      <w:bookmarkStart w:id="1" w:name="_GoBack"/>
      <w:bookmarkEnd w:id="1"/>
      <w:r>
        <w:rPr>
          <w:noProof/>
        </w:rPr>
        <w:lastRenderedPageBreak/>
        <w:t>Въведение</w:t>
      </w:r>
    </w:p>
    <w:p w:rsidR="00B2622A" w:rsidRDefault="00CB0DDA">
      <w:pPr>
        <w:pStyle w:val="Text1"/>
        <w:spacing w:before="360"/>
        <w:ind w:left="0"/>
        <w:rPr>
          <w:b/>
          <w:smallCaps/>
          <w:noProof/>
        </w:rPr>
      </w:pPr>
      <w:r>
        <w:rPr>
          <w:b/>
          <w:smallCaps/>
          <w:noProof/>
        </w:rPr>
        <w:t>1.1 Информация за ENISA</w:t>
      </w:r>
    </w:p>
    <w:p w:rsidR="00B2622A" w:rsidRDefault="00CB0DDA">
      <w:pPr>
        <w:rPr>
          <w:noProof/>
        </w:rPr>
      </w:pPr>
      <w:r>
        <w:rPr>
          <w:noProof/>
        </w:rPr>
        <w:t xml:space="preserve">Агенцията на Европейския съюз за мрежова и информационна </w:t>
      </w:r>
      <w:r>
        <w:rPr>
          <w:noProof/>
        </w:rPr>
        <w:t>сигурност (ENISA) първоначално е създадена през 2004 г. и мандатът ѝ периодично се подновява. Текущият мандат на ENISA е определен с Регламент (ЕС) № 526/2013</w:t>
      </w:r>
      <w:r>
        <w:rPr>
          <w:rStyle w:val="FootnoteReference"/>
          <w:noProof/>
          <w:sz w:val="23"/>
        </w:rPr>
        <w:footnoteReference w:id="1"/>
      </w:r>
      <w:r>
        <w:rPr>
          <w:noProof/>
        </w:rPr>
        <w:t xml:space="preserve"> („Регламента относно ENISA)“ и ще изтече на 19 юни 2020 г.</w:t>
      </w:r>
    </w:p>
    <w:p w:rsidR="00B2622A" w:rsidRDefault="00CB0DDA">
      <w:pPr>
        <w:rPr>
          <w:noProof/>
        </w:rPr>
      </w:pPr>
      <w:r>
        <w:rPr>
          <w:noProof/>
        </w:rPr>
        <w:t>Мандатът на ENISA е да допринася за в</w:t>
      </w:r>
      <w:r>
        <w:rPr>
          <w:noProof/>
        </w:rPr>
        <w:t>исоко ниво на мрежова и информационна сигурност в рамките на Съюза. В Регламента относно ENISA са определени специфичните цели на агенцията, според които тя:</w:t>
      </w:r>
    </w:p>
    <w:p w:rsidR="00B2622A" w:rsidRDefault="00CB0DDA">
      <w:pPr>
        <w:pStyle w:val="ListParagraph"/>
        <w:numPr>
          <w:ilvl w:val="0"/>
          <w:numId w:val="35"/>
        </w:numPr>
        <w:rPr>
          <w:noProof/>
        </w:rPr>
      </w:pPr>
      <w:r>
        <w:rPr>
          <w:noProof/>
        </w:rPr>
        <w:t>развива и поддържа високо ниво на експертни знания.</w:t>
      </w:r>
    </w:p>
    <w:p w:rsidR="00B2622A" w:rsidRDefault="00CB0DDA">
      <w:pPr>
        <w:pStyle w:val="ListParagraph"/>
        <w:numPr>
          <w:ilvl w:val="0"/>
          <w:numId w:val="35"/>
        </w:numPr>
        <w:rPr>
          <w:noProof/>
        </w:rPr>
      </w:pPr>
      <w:r>
        <w:rPr>
          <w:noProof/>
        </w:rPr>
        <w:t>подпомага институциите, органите, службите и а</w:t>
      </w:r>
      <w:r>
        <w:rPr>
          <w:noProof/>
        </w:rPr>
        <w:t>генциите на Съюза при разработването на политики за мрежова и информационна сигурност.</w:t>
      </w:r>
    </w:p>
    <w:p w:rsidR="00B2622A" w:rsidRDefault="00CB0DDA">
      <w:pPr>
        <w:pStyle w:val="ListParagraph"/>
        <w:numPr>
          <w:ilvl w:val="0"/>
          <w:numId w:val="35"/>
        </w:numPr>
        <w:rPr>
          <w:noProof/>
        </w:rPr>
      </w:pPr>
      <w:r>
        <w:rPr>
          <w:noProof/>
        </w:rPr>
        <w:t>подпомага институциите, органите, службите и агенциите на Съюза и държавите членки при изпълнението на политиките, необходими за спазването на правните и регулаторните и</w:t>
      </w:r>
      <w:r>
        <w:rPr>
          <w:noProof/>
        </w:rPr>
        <w:t>зисквания на мрежовата и информационната сигурност съгласно действащите и бъдещите правни актове на Съюза, като по този начин допринася за правилното функциониране на вътрешния пазар.</w:t>
      </w:r>
    </w:p>
    <w:p w:rsidR="00B2622A" w:rsidRDefault="00CB0DDA">
      <w:pPr>
        <w:pStyle w:val="ListParagraph"/>
        <w:numPr>
          <w:ilvl w:val="0"/>
          <w:numId w:val="35"/>
        </w:numPr>
        <w:rPr>
          <w:noProof/>
        </w:rPr>
      </w:pPr>
      <w:r>
        <w:rPr>
          <w:noProof/>
        </w:rPr>
        <w:t>подпомага Съюза и държавите членки при укрепването и засилването на спос</w:t>
      </w:r>
      <w:r>
        <w:rPr>
          <w:noProof/>
        </w:rPr>
        <w:t>обността и подготвеността им за предотвратяване, установяване и реагиране на проблеми и инциденти, свързани с мрежовата и информационната сигурност.</w:t>
      </w:r>
    </w:p>
    <w:p w:rsidR="00B2622A" w:rsidRDefault="00CB0DDA">
      <w:pPr>
        <w:pStyle w:val="ListParagraph"/>
        <w:numPr>
          <w:ilvl w:val="0"/>
          <w:numId w:val="35"/>
        </w:numPr>
        <w:rPr>
          <w:noProof/>
        </w:rPr>
      </w:pPr>
      <w:r>
        <w:rPr>
          <w:noProof/>
        </w:rPr>
        <w:t>използва своите експертни знания и умения за стимулиране на широко сътрудничество между участниците от публ</w:t>
      </w:r>
      <w:r>
        <w:rPr>
          <w:noProof/>
        </w:rPr>
        <w:t>ичния и частния сектор.</w:t>
      </w:r>
    </w:p>
    <w:p w:rsidR="00B2622A" w:rsidRDefault="00CB0DDA">
      <w:pPr>
        <w:spacing w:after="180"/>
        <w:rPr>
          <w:noProof/>
          <w:color w:val="000000"/>
        </w:rPr>
      </w:pPr>
      <w:r>
        <w:rPr>
          <w:noProof/>
          <w:color w:val="000000"/>
        </w:rPr>
        <w:t>В допълнение към това съзаконодателите на ЕС решиха чрез Директива (ЕС) 2016/1148</w:t>
      </w:r>
      <w:r>
        <w:rPr>
          <w:rStyle w:val="FootnoteReference"/>
          <w:noProof/>
          <w:color w:val="000000"/>
        </w:rPr>
        <w:footnoteReference w:id="2"/>
      </w:r>
      <w:r>
        <w:rPr>
          <w:noProof/>
          <w:color w:val="000000"/>
        </w:rPr>
        <w:t xml:space="preserve"> относно мерки за високо общо ниво на сигурност на мрежите и информационните системи в Съюза („директивата за МИС“) да възложат важни роли на ENISA в областта на прилагането на правото. </w:t>
      </w:r>
      <w:r>
        <w:rPr>
          <w:noProof/>
        </w:rPr>
        <w:t xml:space="preserve">По-специално Агенцията осигурява секретариат на мрежата на екипите за </w:t>
      </w:r>
      <w:r>
        <w:rPr>
          <w:noProof/>
        </w:rPr>
        <w:t>реагиране при инциденти с компютърната сигурност (CSIRT) (създадена за насърчаване на бързо и ефективно оперативно сътрудничество между държавите членки) като тя се призовава да съдейства на групата за сътрудничество за стратегическо сътрудничество при изп</w:t>
      </w:r>
      <w:r>
        <w:rPr>
          <w:noProof/>
        </w:rPr>
        <w:t>ълнението на нейните задачи.</w:t>
      </w:r>
      <w:r>
        <w:rPr>
          <w:noProof/>
          <w:color w:val="000000"/>
        </w:rPr>
        <w:t xml:space="preserve"> В допълнение, съгласно директивата за МИС от ENISA се изисква да оказва подкрепа на държавите членки и Комисията като предоставя експертни познания и консултации, както и чрез улесняване на обмена на най-добри практики.</w:t>
      </w:r>
    </w:p>
    <w:p w:rsidR="00B2622A" w:rsidRDefault="00CB0DDA">
      <w:pPr>
        <w:rPr>
          <w:noProof/>
        </w:rPr>
      </w:pPr>
      <w:r>
        <w:rPr>
          <w:noProof/>
        </w:rPr>
        <w:t>Агенция</w:t>
      </w:r>
      <w:r>
        <w:rPr>
          <w:noProof/>
        </w:rPr>
        <w:t>та се намира в Гърция, административното ѝ седалище е в Ираклион (Крит), а основните ѝ операции се извършват в Атина. Има 84 служители и годишен оперативен бюджет от 11,25 милиона евро. Тя се ръководи от изпълнителен директор, а управлението се извършва от</w:t>
      </w:r>
      <w:r>
        <w:rPr>
          <w:noProof/>
        </w:rPr>
        <w:t xml:space="preserve"> управителен съвет, изпълнителен съвет и Постоянна група на заинтересованите страни. Неформална </w:t>
      </w:r>
      <w:r>
        <w:rPr>
          <w:noProof/>
        </w:rPr>
        <w:lastRenderedPageBreak/>
        <w:t>мрежа от национални служители за връзка улеснява контактите с държавите членки.</w:t>
      </w:r>
    </w:p>
    <w:p w:rsidR="00B2622A" w:rsidRDefault="00CB0DDA">
      <w:pPr>
        <w:pStyle w:val="Heading1"/>
        <w:numPr>
          <w:ilvl w:val="0"/>
          <w:numId w:val="0"/>
        </w:numPr>
        <w:spacing w:before="360"/>
        <w:ind w:left="482" w:hanging="482"/>
        <w:rPr>
          <w:noProof/>
        </w:rPr>
      </w:pPr>
      <w:r>
        <w:rPr>
          <w:noProof/>
        </w:rPr>
        <w:t>1.2 Цел на доклада</w:t>
      </w:r>
    </w:p>
    <w:p w:rsidR="00B2622A" w:rsidRDefault="00CB0DDA">
      <w:pPr>
        <w:rPr>
          <w:noProof/>
        </w:rPr>
      </w:pPr>
      <w:r>
        <w:rPr>
          <w:noProof/>
        </w:rPr>
        <w:t>Съгласно член 32 от Регламента относно ENISA Комисията има за</w:t>
      </w:r>
      <w:r>
        <w:rPr>
          <w:noProof/>
        </w:rPr>
        <w:t>дължението да извърши оценка на ENISA до 20 юни 2018 г. „</w:t>
      </w:r>
      <w:r>
        <w:rPr>
          <w:i/>
          <w:noProof/>
        </w:rPr>
        <w:t>за оценяване по-специално на въздействието, ефективността и ефикасността на Агенцията и нейните работни практики</w:t>
      </w:r>
      <w:r>
        <w:rPr>
          <w:noProof/>
        </w:rPr>
        <w:t xml:space="preserve">“ и да обмисли дали е необходимо текущият мандат на Агенцията да бъде удължен. </w:t>
      </w:r>
    </w:p>
    <w:p w:rsidR="00B2622A" w:rsidRDefault="00CB0DDA">
      <w:pPr>
        <w:rPr>
          <w:noProof/>
        </w:rPr>
      </w:pPr>
      <w:r>
        <w:rPr>
          <w:noProof/>
        </w:rPr>
        <w:t>В светл</w:t>
      </w:r>
      <w:r>
        <w:rPr>
          <w:noProof/>
        </w:rPr>
        <w:t>ината на значителните промени, настъпили в сферата на киберсигурността от 2013 г. насам, когато беше приет настоящият Регламент относно ENISA — като се има предвид постигнатото развитие на политическо, пазарно и технологично равнище — в своето съобщение от</w:t>
      </w:r>
      <w:r>
        <w:rPr>
          <w:noProof/>
        </w:rPr>
        <w:t>носно укрепването на отбранителната способност на Европа срещу кибератаки от 2016 г.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Комисията съобщи, че ще постигне напредък в оценката и прегледа на ENISA. По-специално Комисията отбеляза, че прегледът на ENISA би дал възможност да се укрепят способнос</w:t>
      </w:r>
      <w:r>
        <w:rPr>
          <w:noProof/>
        </w:rPr>
        <w:t>тите и капацитетът на Агенцията да оказва на държавите членки последователна подкрепа за постигане на устойчивост срещу киберзаплахи.</w:t>
      </w:r>
    </w:p>
    <w:p w:rsidR="00B2622A" w:rsidRDefault="00CB0DDA">
      <w:pPr>
        <w:rPr>
          <w:noProof/>
        </w:rPr>
      </w:pPr>
      <w:r>
        <w:rPr>
          <w:noProof/>
        </w:rPr>
        <w:t>Тази концепция е потвърдена и в Заключенията на Съвета от 2016 г.</w:t>
      </w:r>
      <w:r>
        <w:rPr>
          <w:rStyle w:val="FootnoteReference"/>
          <w:noProof/>
        </w:rPr>
        <w:footnoteReference w:id="4"/>
      </w:r>
      <w:r>
        <w:rPr>
          <w:noProof/>
        </w:rPr>
        <w:t>, в които се признава, че „заплахите и уязвимите места в</w:t>
      </w:r>
      <w:r>
        <w:rPr>
          <w:noProof/>
        </w:rPr>
        <w:t xml:space="preserve"> кибернетично отношение продължават да еволюират и да стават все повече, което ще изисква непрекъснато и по-тясно сътрудничество, особено за справяне с мащабни трансгранични инциденти в сферата на киберсигурността“. В заключенията се потвърждава отново, че</w:t>
      </w:r>
      <w:r>
        <w:rPr>
          <w:noProof/>
        </w:rPr>
        <w:t xml:space="preserve"> „Регламентът относно ENISA е един от централните елементи на рамката на ЕС за отбранителна способност срещу кибератаки“.</w:t>
      </w:r>
    </w:p>
    <w:p w:rsidR="00B2622A" w:rsidRDefault="00CB0DDA">
      <w:pPr>
        <w:rPr>
          <w:noProof/>
        </w:rPr>
      </w:pPr>
      <w:r>
        <w:rPr>
          <w:noProof/>
        </w:rPr>
        <w:t>Резултатите от оценката на ENISA бяха използвани в оценката на въздействието, придружаваща предложението за Регламент на Агенция на Ев</w:t>
      </w:r>
      <w:r>
        <w:rPr>
          <w:noProof/>
        </w:rPr>
        <w:t>ропейския съюз за мрежова и информационна сигурност (ENISA, „агенцията на ЕС за киберсигурност“) и за отмяна на Регламент (ЕС) № 526/2013, и относно сертифицирането за киберсигурност на информационните и комуникационните технологии („Акт за киберсигурностт</w:t>
      </w:r>
      <w:r>
        <w:rPr>
          <w:noProof/>
        </w:rPr>
        <w:t>а“).</w:t>
      </w:r>
    </w:p>
    <w:p w:rsidR="00B2622A" w:rsidRDefault="00CB0DDA">
      <w:pPr>
        <w:rPr>
          <w:noProof/>
        </w:rPr>
      </w:pPr>
      <w:r>
        <w:rPr>
          <w:noProof/>
        </w:rPr>
        <w:t>Съгласно член 32 от Регламента относно ENISA Комисията изпраща доклада за оценка заедно със своите заключения на Европейския парламент, Съвета и управителния съвет. Този обобщен доклад се придружава от Работен документ на службите на Комисията относно</w:t>
      </w:r>
      <w:r>
        <w:rPr>
          <w:noProof/>
        </w:rPr>
        <w:t xml:space="preserve"> оценката на Агенцията на Европейския съюз за мрежова и информационна сигурност (SWD(2017) 502).</w:t>
      </w:r>
    </w:p>
    <w:p w:rsidR="00B2622A" w:rsidRDefault="00CB0DDA">
      <w:pPr>
        <w:pStyle w:val="Heading1"/>
        <w:rPr>
          <w:noProof/>
        </w:rPr>
      </w:pPr>
      <w:r>
        <w:rPr>
          <w:noProof/>
        </w:rPr>
        <w:t>Основни констатации от оценката</w:t>
      </w:r>
    </w:p>
    <w:p w:rsidR="00B2622A" w:rsidRDefault="00CB0DDA">
      <w:pPr>
        <w:rPr>
          <w:noProof/>
        </w:rPr>
      </w:pPr>
      <w:r>
        <w:rPr>
          <w:noProof/>
        </w:rPr>
        <w:t>В съответствие с Насоките за по-добро регулиране на Комисията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при оценката бяха разгледани ефективността, ефикасността, съглас</w:t>
      </w:r>
      <w:r>
        <w:rPr>
          <w:noProof/>
        </w:rPr>
        <w:t xml:space="preserve">уваността, значението и </w:t>
      </w:r>
      <w:r>
        <w:rPr>
          <w:noProof/>
        </w:rPr>
        <w:lastRenderedPageBreak/>
        <w:t xml:space="preserve">добавената стойност за ЕС на Агенцията, отчитайки нейната работа, управление, вътрешна организационна структура и работни практики. </w:t>
      </w:r>
    </w:p>
    <w:p w:rsidR="00B2622A" w:rsidRDefault="00CB0DDA">
      <w:pPr>
        <w:rPr>
          <w:noProof/>
        </w:rPr>
      </w:pPr>
      <w:r>
        <w:rPr>
          <w:noProof/>
        </w:rPr>
        <w:t>При анализа беше отчетен и измененият контекст, в който Агенцията функционира в момента, по-специал</w:t>
      </w:r>
      <w:r>
        <w:rPr>
          <w:noProof/>
        </w:rPr>
        <w:t>но по отношение на: новата регулаторна и политическа рамка на ЕС (напр. директивата за МИС, Прегледът на стратегията за киберсигурност на ЕС); развиващите се нужди на общността от заинтересовани страни на Агенцията; и взаимното допълване и възможните взаим</w:t>
      </w:r>
      <w:r>
        <w:rPr>
          <w:noProof/>
        </w:rPr>
        <w:t>одействия с работата на други институции на ЕС и национални институции, агенции и органи, като например Екипите за реагиране при инциденти с компютърната сигурност на институциите, агенциите и органите на ЕС (CERT-EU) и Европейския център за борба с киберп</w:t>
      </w:r>
      <w:r>
        <w:rPr>
          <w:noProof/>
        </w:rPr>
        <w:t>рестъпността (EC3) към Европол.</w:t>
      </w:r>
    </w:p>
    <w:p w:rsidR="00B2622A" w:rsidRDefault="00CB0DDA">
      <w:pPr>
        <w:rPr>
          <w:noProof/>
        </w:rPr>
      </w:pPr>
      <w:r>
        <w:rPr>
          <w:noProof/>
        </w:rPr>
        <w:t>За да оцени функционирането на Агенцията:</w:t>
      </w:r>
    </w:p>
    <w:p w:rsidR="00B2622A" w:rsidRDefault="00CB0DDA">
      <w:pPr>
        <w:pStyle w:val="ListParagraph"/>
        <w:numPr>
          <w:ilvl w:val="0"/>
          <w:numId w:val="31"/>
        </w:numPr>
        <w:rPr>
          <w:noProof/>
        </w:rPr>
      </w:pPr>
      <w:r>
        <w:rPr>
          <w:noProof/>
        </w:rPr>
        <w:t>Комисията възложи независимо изследване, проведено от ноември 2016 г. до юли 2017 г., което представлява основният източник на оценяване заедно с вътрешен анализ, извършен от Комисия</w:t>
      </w:r>
      <w:r>
        <w:rPr>
          <w:noProof/>
        </w:rPr>
        <w:t xml:space="preserve">та. </w:t>
      </w:r>
    </w:p>
    <w:p w:rsidR="00B2622A" w:rsidRDefault="00CB0DDA">
      <w:pPr>
        <w:pStyle w:val="ListParagraph"/>
        <w:numPr>
          <w:ilvl w:val="0"/>
          <w:numId w:val="31"/>
        </w:numPr>
        <w:rPr>
          <w:noProof/>
        </w:rPr>
      </w:pPr>
      <w:r>
        <w:rPr>
          <w:noProof/>
        </w:rPr>
        <w:t>Дейностите от изследването включваха проучване на документи, събиране и анализ на данни, включително проучвания сред заинтересованите страни, задълбочени интервюта с ключови участници в сферата на киберсигурността, работен семинар със заинтересовани с</w:t>
      </w:r>
      <w:r>
        <w:rPr>
          <w:noProof/>
        </w:rPr>
        <w:t>трани, съпоставителна оценка, дейност за позициониране на Агенцията и анализ на силните и слабите страни, възможностите и заплахите (SWOT).</w:t>
      </w:r>
    </w:p>
    <w:p w:rsidR="00B2622A" w:rsidRDefault="00CB0DDA">
      <w:pPr>
        <w:pStyle w:val="ListParagraph"/>
        <w:numPr>
          <w:ilvl w:val="0"/>
          <w:numId w:val="31"/>
        </w:numPr>
        <w:rPr>
          <w:noProof/>
        </w:rPr>
      </w:pPr>
      <w:r>
        <w:rPr>
          <w:noProof/>
        </w:rPr>
        <w:t xml:space="preserve">Комисията проведе също 12-седмична онлайн обществена консултация, която обхващаше както последващата оценка, така и </w:t>
      </w:r>
      <w:r>
        <w:rPr>
          <w:noProof/>
        </w:rPr>
        <w:t>бъдещето на ENISA, а също и целенасочени консултации с ключови заинтересовани страни.</w:t>
      </w:r>
    </w:p>
    <w:p w:rsidR="00B2622A" w:rsidRDefault="00CB0DDA">
      <w:pPr>
        <w:rPr>
          <w:noProof/>
        </w:rPr>
      </w:pPr>
      <w:r>
        <w:rPr>
          <w:noProof/>
        </w:rPr>
        <w:t>Основните констатации от оценката според критериите за оценяване могат да бъдат обобщени, както следва:</w:t>
      </w:r>
    </w:p>
    <w:p w:rsidR="00B2622A" w:rsidRDefault="00CB0DDA">
      <w:pPr>
        <w:numPr>
          <w:ilvl w:val="0"/>
          <w:numId w:val="21"/>
        </w:numPr>
        <w:rPr>
          <w:noProof/>
        </w:rPr>
      </w:pPr>
      <w:r>
        <w:rPr>
          <w:b/>
          <w:noProof/>
        </w:rPr>
        <w:t>Уместност:</w:t>
      </w:r>
      <w:r>
        <w:rPr>
          <w:noProof/>
        </w:rPr>
        <w:t xml:space="preserve"> В контекста на технологични промени и развиващи се запл</w:t>
      </w:r>
      <w:r>
        <w:rPr>
          <w:noProof/>
        </w:rPr>
        <w:t>ахи, както и на значителна нужда от засилване на мрежовата и информационната сигурност (МИС) в ЕС, беше доказано, че целите на ENISA са уместни. Всъщност държавите членки и органите на ЕС разчитат на експертните знания относно развитието на МИС, необходимо</w:t>
      </w:r>
      <w:r>
        <w:rPr>
          <w:noProof/>
        </w:rPr>
        <w:t xml:space="preserve"> е в държавите членки да бъде изграден капацитет за разбиране и реагиране на заплахи, а заинтересованите страни трябва да си сътрудничат отвъд границите на конкретни тематични области и конкретни институции. МИС продължава да бъде ключов политически приори</w:t>
      </w:r>
      <w:r>
        <w:rPr>
          <w:noProof/>
        </w:rPr>
        <w:t>тет на ЕС, на който от ENISA се очаква да отговори; предназначението на ENISA като агенция на ЕС обаче, има фиксиран мандат: i) той не позволява дългосрочно планиране и устойчива подкрепа за държавите членки и институциите на ЕС в бързо развиващия се конте</w:t>
      </w:r>
      <w:r>
        <w:rPr>
          <w:noProof/>
        </w:rPr>
        <w:t>кст на заплахи за киберсигурността; ii) той може да доведе до правен вакуум, понеже разпоредбите на директивата за МИС, с които са възложени задачите на ENISA, са с постоянен характер.</w:t>
      </w:r>
    </w:p>
    <w:p w:rsidR="00B2622A" w:rsidRDefault="00CB0DDA">
      <w:pPr>
        <w:numPr>
          <w:ilvl w:val="0"/>
          <w:numId w:val="21"/>
        </w:numPr>
        <w:rPr>
          <w:noProof/>
        </w:rPr>
      </w:pPr>
      <w:r>
        <w:rPr>
          <w:b/>
          <w:noProof/>
        </w:rPr>
        <w:t>Ефективност:</w:t>
      </w:r>
      <w:r>
        <w:rPr>
          <w:noProof/>
        </w:rPr>
        <w:t xml:space="preserve"> Като цяло ENISA е постигнала своите цели и изпълнила своит</w:t>
      </w:r>
      <w:r>
        <w:rPr>
          <w:noProof/>
        </w:rPr>
        <w:t>е задачи. Допринесла е за повишаване на МИС в Европа чрез своите основни дейности (изграждане на капацитет, предоставяне на експертни знания, изграждане на общност, подкрепа за политиката). Показа потенциал за подобрение по отношение на всяко от горепосоче</w:t>
      </w:r>
      <w:r>
        <w:rPr>
          <w:noProof/>
        </w:rPr>
        <w:t>ните. Заключението от оценката е, че ENISA е успяла ефективно да създаде стабилни и надеждни отношения с някои от своите заинтересовани страни, главно с държавите членки и общността на CSIRT. Намесите в областта на изграждането на капацитет са счетени за е</w:t>
      </w:r>
      <w:r>
        <w:rPr>
          <w:noProof/>
        </w:rPr>
        <w:t>фективни, по-специално за държавите членки, които не разполагат с достатъчно ресурси. Един от основните моменти беше стимулирането на широко сътрудничество, при което заинтересованите страни в голямата си част потвърдиха положителната роля на ENISA в обеди</w:t>
      </w:r>
      <w:r>
        <w:rPr>
          <w:noProof/>
        </w:rPr>
        <w:t>няването на хората. ENISA обаче изпита трудности в постигането на голямо въздействие в обширната сфера на МИС. Това се дължеше на факта, че човешките и финансовите ѝ ресурси за осъществяването на нейния много широк мандат бяха сравнително ограничени. Друго</w:t>
      </w:r>
      <w:r>
        <w:rPr>
          <w:noProof/>
        </w:rPr>
        <w:t xml:space="preserve"> заключение от оценката беше, че ENISA е постигнала частично целта за предоставяне на експертни знания, което се дължи на проблемите, свързани с набирането на експерти (вж. също по-долу в раздела относно ефикасността).</w:t>
      </w:r>
    </w:p>
    <w:p w:rsidR="00B2622A" w:rsidRDefault="00CB0DDA">
      <w:pPr>
        <w:numPr>
          <w:ilvl w:val="0"/>
          <w:numId w:val="21"/>
        </w:numPr>
        <w:rPr>
          <w:noProof/>
        </w:rPr>
      </w:pPr>
      <w:r>
        <w:rPr>
          <w:b/>
          <w:noProof/>
        </w:rPr>
        <w:t>Ефикасност:</w:t>
      </w:r>
      <w:r>
        <w:rPr>
          <w:noProof/>
        </w:rPr>
        <w:t xml:space="preserve"> Въпреки малкия си бюджет </w:t>
      </w:r>
      <w:r>
        <w:rPr>
          <w:noProof/>
        </w:rPr>
        <w:t xml:space="preserve">— едни от най-малките в сравнение с други агенции на ЕС — Агенцията успя да допринесе за постигането на конкретни цели, като показа цялостна ефикасност при използване на ресурсите си. От оценката беше заключено, че процесите като цяло са били ефективни, а </w:t>
      </w:r>
      <w:r>
        <w:rPr>
          <w:noProof/>
        </w:rPr>
        <w:t>ясното разграничаване на отговорностите в организацията е спомогнало за пълноценната работа. Едно от основните предизвикателства пред ефективността на Агенцията е свързано с трудностите на ENISA при набирането и задържането на висококвалифицирани експерти.</w:t>
      </w:r>
      <w:r>
        <w:rPr>
          <w:noProof/>
        </w:rPr>
        <w:t xml:space="preserve"> Констатациите сочат, че това може да се обясни с комбинация от фактори, включително общите трудности на публичния сектор да се конкурира с частния в опита си да назначава високоспециализирани експерти, видовете договори (срочни), каквито Агенцията можеше </w:t>
      </w:r>
      <w:r>
        <w:rPr>
          <w:noProof/>
        </w:rPr>
        <w:t>главно да предложи, и донякъде ниското ниво на привлекателност, свързано с местоположението на ENISA, например свързано с трудността на съпрузите/съпругите да си намират работа. Разделеното между Атина и Ираклион местоположение наложи допълнителни усилия з</w:t>
      </w:r>
      <w:r>
        <w:rPr>
          <w:noProof/>
        </w:rPr>
        <w:t>а координация и създаде допълнителни разходи, но с преместването в Атина през 2013 г. на основните дейности се повиши оперативната ефективност на агенцията.</w:t>
      </w:r>
    </w:p>
    <w:p w:rsidR="00B2622A" w:rsidRDefault="00CB0DDA">
      <w:pPr>
        <w:numPr>
          <w:ilvl w:val="0"/>
          <w:numId w:val="21"/>
        </w:numPr>
        <w:rPr>
          <w:noProof/>
        </w:rPr>
      </w:pPr>
      <w:r>
        <w:rPr>
          <w:b/>
          <w:noProof/>
        </w:rPr>
        <w:t>Съгласуваност:</w:t>
      </w:r>
      <w:r>
        <w:rPr>
          <w:noProof/>
        </w:rPr>
        <w:t xml:space="preserve"> Дейностите на ENISA като цяло са съгласувани с политиките и дейностите на нейните за</w:t>
      </w:r>
      <w:r>
        <w:rPr>
          <w:noProof/>
        </w:rPr>
        <w:t>интересовани страни на национално равнище и равнището на ЕС, но е необходим по-координиран подход спрямо киберсигурността на равнището на ЕС. Потенциалът за сътрудничество между ENISA и другите органи на ЕС не е използван докрай. С развитието на правната и</w:t>
      </w:r>
      <w:r>
        <w:rPr>
          <w:noProof/>
        </w:rPr>
        <w:t xml:space="preserve"> политическата ситуация в ЕС текущият мандат загуби част от съгласуваността си в днешно време.</w:t>
      </w:r>
    </w:p>
    <w:p w:rsidR="00B2622A" w:rsidRDefault="00CB0DDA">
      <w:pPr>
        <w:numPr>
          <w:ilvl w:val="0"/>
          <w:numId w:val="21"/>
        </w:numPr>
        <w:rPr>
          <w:noProof/>
        </w:rPr>
      </w:pPr>
      <w:r>
        <w:rPr>
          <w:b/>
          <w:noProof/>
        </w:rPr>
        <w:t>Добавена стойност от ЕС:</w:t>
      </w:r>
      <w:r>
        <w:rPr>
          <w:noProof/>
        </w:rPr>
        <w:t xml:space="preserve"> Добавената стойност на ENISA се дължи главно на способността на Агенцията да подобрява сътрудничеството главно между държавите членки, н</w:t>
      </w:r>
      <w:r>
        <w:rPr>
          <w:noProof/>
        </w:rPr>
        <w:t xml:space="preserve">о и в свързаните общности в областта на МИС. Никой друг участник на равнището на ЕС не подпомага сътрудничеството на такова голямо разнообразие заинтересовани страни в областта на МИС. Предоставената от Агенцията добавена стойност варираше в зависимост от </w:t>
      </w:r>
      <w:r>
        <w:rPr>
          <w:noProof/>
        </w:rPr>
        <w:t>различните нужди и ресурси на нейните заинтересовани страни (напр. големи спрямо малки държави членки; държави членки спрямо индустрията) и нуждата Агенцията да приоритизира своите дейности според работната програма. Заключение от оценката беше, че потенци</w:t>
      </w:r>
      <w:r>
        <w:rPr>
          <w:noProof/>
        </w:rPr>
        <w:t>алното преустановяване на дейността на ENISA би представлявало загубена възможност за всички държави членки. Без децентрализирана агенция на ЕС няма да е възможно да се гарантира същото ниво на изграждане на общност и сътрудничество в държавите членки в об</w:t>
      </w:r>
      <w:r>
        <w:rPr>
          <w:noProof/>
        </w:rPr>
        <w:t>ластта на киберсигурността. Ситуацията би била по-фрагментирана, ако мястото на ENISA бъде заето от двустранно или регионално сътрудничество.</w:t>
      </w:r>
    </w:p>
    <w:p w:rsidR="00B2622A" w:rsidRDefault="00CB0DDA">
      <w:pPr>
        <w:pStyle w:val="Heading1"/>
        <w:rPr>
          <w:noProof/>
        </w:rPr>
      </w:pPr>
      <w:r>
        <w:rPr>
          <w:noProof/>
        </w:rPr>
        <w:t>Заключения/препоръки</w:t>
      </w:r>
    </w:p>
    <w:p w:rsidR="00B2622A" w:rsidRDefault="00CB0DDA">
      <w:pPr>
        <w:rPr>
          <w:noProof/>
        </w:rPr>
      </w:pPr>
      <w:r>
        <w:rPr>
          <w:noProof/>
        </w:rPr>
        <w:t>От оценката беше заключено, че по силата на регламента за нейното създаване на ENISA е възлож</w:t>
      </w:r>
      <w:r>
        <w:rPr>
          <w:noProof/>
        </w:rPr>
        <w:t>ен широк мандат,  който позволява гъвкавост, но в някои случаи му липсва фокус, което затруднява Агенцията в постигането на значително въздействие, и целите ѝ за периода 2013—2016 г. са се доказали като уместни. Агенцията успя да постигне добро ниво на ефе</w:t>
      </w:r>
      <w:r>
        <w:rPr>
          <w:noProof/>
        </w:rPr>
        <w:t>ктивност и показа добавената стойност на действията на равнището на ЕС, по-специално чрез ключови дейности, като например общоевропейските кибернетични учения, подкрепата за общността на CSIRT и анализите на контекста на заплахите. ENISA допринесе за повиш</w:t>
      </w:r>
      <w:r>
        <w:rPr>
          <w:noProof/>
        </w:rPr>
        <w:t xml:space="preserve">аване на мрежовата и информационната сигурност в Европа главно чрез подпомагане на сътрудничество между държавите членки и заинтересованите страни в областта на МИС, както и чрез своите дейности за изграждане на общности и на капацитет. </w:t>
      </w:r>
    </w:p>
    <w:p w:rsidR="00B2622A" w:rsidRDefault="00CB0DDA">
      <w:pPr>
        <w:rPr>
          <w:noProof/>
        </w:rPr>
      </w:pPr>
      <w:r>
        <w:rPr>
          <w:noProof/>
        </w:rPr>
        <w:t>Агенцията постигна</w:t>
      </w:r>
      <w:r>
        <w:rPr>
          <w:noProof/>
        </w:rPr>
        <w:t xml:space="preserve"> тези резултати въпреки редицата предизвикателства, представени в предходните раздели на настоящия доклад и в приложения Работен документ на службите на Комисията. Едно от ключовите предизвикателства е свързано с ограничените ресурси, които не съответствах</w:t>
      </w:r>
      <w:r>
        <w:rPr>
          <w:noProof/>
        </w:rPr>
        <w:t>а на широкия мандат на Агенцията, особено с оглед на новите задачи, възложени ѝ с директивата за МИС, и с бързоразвиващия се контекст на заплахите. ENISA остава също и единствената агенция на ЕС с фиксиран мандат, въпреки че наред с другото изпълнява и зад</w:t>
      </w:r>
      <w:r>
        <w:rPr>
          <w:noProof/>
        </w:rPr>
        <w:t>ачи, свързани с директивата за МИС, както беше посочено по-горе.</w:t>
      </w:r>
    </w:p>
    <w:p w:rsidR="00B2622A" w:rsidRDefault="00CB0DDA">
      <w:pPr>
        <w:rPr>
          <w:noProof/>
        </w:rPr>
      </w:pPr>
      <w:r>
        <w:rPr>
          <w:noProof/>
        </w:rPr>
        <w:t>Контекстът на заплахите за киберсигурността се развива бързо,   и колкото повече Европа разчита на цифрова инфраструктура и услуги чрез не само свързани устройства, но вече и всеобща свързано</w:t>
      </w:r>
      <w:r>
        <w:rPr>
          <w:noProof/>
        </w:rPr>
        <w:t>ст, толкова повече нови заплахи възникват. „Интернетът на нещата“ създава нови възможности, свързани с енергийната ефективност, опазването на околната среда, свързаната мобилност, системата за наблюдение на здравето в реално време и интелигентни и безпробл</w:t>
      </w:r>
      <w:r>
        <w:rPr>
          <w:noProof/>
        </w:rPr>
        <w:t xml:space="preserve">емни финансови транзакции в цифровата икономика и обществото. В комбинация тези стимули за бизнеса възникват и нови уязвими точки и методи на проникване, които позволяват компрометирани устройства да нарушават цифровия единен пазар.  </w:t>
      </w:r>
    </w:p>
    <w:p w:rsidR="00B2622A" w:rsidRDefault="00CB0DDA">
      <w:pPr>
        <w:rPr>
          <w:noProof/>
        </w:rPr>
      </w:pPr>
      <w:r>
        <w:rPr>
          <w:noProof/>
        </w:rPr>
        <w:t xml:space="preserve">От оценката беше направено заключението, че текущият мандат не осигурява на ENISA необходимите инструменти за справяне с текущите и бъдещите предизвикателства, свързани с киберсигурността. </w:t>
      </w:r>
    </w:p>
    <w:p w:rsidR="00B2622A" w:rsidRDefault="00CB0DDA">
      <w:pPr>
        <w:rPr>
          <w:b/>
          <w:noProof/>
        </w:rPr>
      </w:pPr>
      <w:r>
        <w:rPr>
          <w:noProof/>
        </w:rPr>
        <w:t>Освен това е налице нарастващ риск от засилена разпокъсаност на ра</w:t>
      </w:r>
      <w:r>
        <w:rPr>
          <w:noProof/>
        </w:rPr>
        <w:t>внището на ЕС поради множеството участници на равнището на ЕС в областта на киберсигурността и недостатъчната координация между тях. ЕС се нуждае от фокусна точка, за да преодолее новите заплахи, които по естеството си са хоризонтални и оказват въздействие</w:t>
      </w:r>
      <w:r>
        <w:rPr>
          <w:noProof/>
        </w:rPr>
        <w:t xml:space="preserve"> върху множество сектори на промишлеността, както и за да отговори на нуждите на общността в областта на киберсигурността, и по-специално на държавите членки, институциите на ЕС и предприятията. Оценката показва, че е необходима агенция на ЕС, организирана</w:t>
      </w:r>
      <w:r>
        <w:rPr>
          <w:noProof/>
        </w:rPr>
        <w:t xml:space="preserve"> на междусекторна/хоризонтална основа със силен мандат.</w:t>
      </w:r>
    </w:p>
    <w:p w:rsidR="00B2622A" w:rsidRDefault="00CB0DDA">
      <w:pPr>
        <w:rPr>
          <w:noProof/>
        </w:rPr>
      </w:pPr>
      <w:r>
        <w:rPr>
          <w:noProof/>
        </w:rPr>
        <w:t>Оценката сочи, че въпреки редицата въпроси, представляващи предизвикателство, ENISA има значителен потенциал, ако  ѝ бъде възложен достатъчен мандат и ако бъде подпомогната с финансови и човешки ресур</w:t>
      </w:r>
      <w:r>
        <w:rPr>
          <w:noProof/>
        </w:rPr>
        <w:t xml:space="preserve">си, така че да допринесе за повишаване на киберсигурността в ЕС. </w:t>
      </w:r>
    </w:p>
    <w:p w:rsidR="00B2622A" w:rsidRDefault="00CB0DDA">
      <w:pPr>
        <w:rPr>
          <w:noProof/>
        </w:rPr>
      </w:pPr>
      <w:r>
        <w:rPr>
          <w:noProof/>
        </w:rPr>
        <w:t>Има и ясна нужда от сътрудничество и координация между различните заинтересовани страни. Нуждата от орган за координация на равнището на ЕС за улесняване на потока от информация, свеждане до</w:t>
      </w:r>
      <w:r>
        <w:rPr>
          <w:noProof/>
        </w:rPr>
        <w:t xml:space="preserve"> минимум на различията и избягване на припокриванията на ролите и отговорностите става все по осезаема. ENISA, като децентрализирана агенция на ЕС и като неутрален посредник, е в позицията да координира подхода на ЕС спрямо киберзаплахите.</w:t>
      </w:r>
    </w:p>
    <w:p w:rsidR="00B2622A" w:rsidRDefault="00CB0DDA">
      <w:pPr>
        <w:rPr>
          <w:noProof/>
        </w:rPr>
      </w:pPr>
      <w:r>
        <w:rPr>
          <w:noProof/>
        </w:rPr>
        <w:t>На тази основа К</w:t>
      </w:r>
      <w:r>
        <w:rPr>
          <w:noProof/>
        </w:rPr>
        <w:t>омисията изготви предложение за  реформиране на ENISA, при което да ѝ бъде възложен постоянен мандат, който надгражда върху ключовите силни страни, проявени от Агенцията, и новите приоритетни области за действие, например в областта на сертифицирането на к</w:t>
      </w:r>
      <w:r>
        <w:rPr>
          <w:noProof/>
        </w:rPr>
        <w:t xml:space="preserve">иберсигурността. Този нов мандат следва да отразява променената реалност и да оправомощава Агенцията да оказва подходяща подкрепа на ЕС за в бъдеще. </w:t>
      </w:r>
    </w:p>
    <w:sectPr w:rsidR="00B2622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020" w:right="1701" w:bottom="1020" w:left="1587" w:header="601" w:footer="1077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22A" w:rsidRDefault="00CB0DDA">
      <w:pPr>
        <w:spacing w:after="0"/>
      </w:pPr>
      <w:r>
        <w:separator/>
      </w:r>
    </w:p>
  </w:endnote>
  <w:endnote w:type="continuationSeparator" w:id="0">
    <w:p w:rsidR="00B2622A" w:rsidRDefault="00CB0D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DDA" w:rsidRPr="00CB0DDA" w:rsidRDefault="00CB0DDA" w:rsidP="00CB0DD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DDA" w:rsidRPr="00CB0DDA" w:rsidRDefault="00CB0DDA" w:rsidP="00CB0DDA">
    <w:pPr>
      <w:pStyle w:val="FooterCoverPage"/>
      <w:rPr>
        <w:rFonts w:ascii="Arial" w:hAnsi="Arial" w:cs="Arial"/>
        <w:b/>
        <w:sz w:val="48"/>
      </w:rPr>
    </w:pPr>
    <w:r w:rsidRPr="00CB0DDA">
      <w:rPr>
        <w:rFonts w:ascii="Arial" w:hAnsi="Arial" w:cs="Arial"/>
        <w:b/>
        <w:sz w:val="48"/>
      </w:rPr>
      <w:t>BG</w:t>
    </w:r>
    <w:r w:rsidRPr="00CB0DDA">
      <w:rPr>
        <w:rFonts w:ascii="Arial" w:hAnsi="Arial" w:cs="Arial"/>
        <w:b/>
        <w:sz w:val="48"/>
      </w:rPr>
      <w:tab/>
    </w:r>
    <w:r w:rsidRPr="00CB0DDA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CB0DDA">
      <w:tab/>
    </w:r>
    <w:r w:rsidRPr="00CB0DDA"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DDA" w:rsidRPr="00CB0DDA" w:rsidRDefault="00CB0DDA" w:rsidP="00CB0DDA"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2A" w:rsidRDefault="00B2622A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2A" w:rsidRDefault="00CB0DDA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21290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622A" w:rsidRDefault="00B2622A">
        <w:pPr>
          <w:pStyle w:val="Footer"/>
          <w:jc w:val="center"/>
        </w:pPr>
      </w:p>
      <w:p w:rsidR="00B2622A" w:rsidRDefault="00CB0D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2622A" w:rsidRDefault="00B2622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22A" w:rsidRDefault="00CB0DDA">
      <w:pPr>
        <w:spacing w:after="0"/>
      </w:pPr>
      <w:r>
        <w:separator/>
      </w:r>
    </w:p>
  </w:footnote>
  <w:footnote w:type="continuationSeparator" w:id="0">
    <w:p w:rsidR="00B2622A" w:rsidRDefault="00CB0DDA">
      <w:pPr>
        <w:spacing w:after="0"/>
      </w:pPr>
      <w:r>
        <w:continuationSeparator/>
      </w:r>
    </w:p>
  </w:footnote>
  <w:footnote w:id="1">
    <w:p w:rsidR="00B2622A" w:rsidRDefault="00CB0DDA">
      <w:pPr>
        <w:pStyle w:val="FootnoteText"/>
        <w:spacing w:after="0"/>
      </w:pPr>
      <w:r>
        <w:rPr>
          <w:rStyle w:val="FootnoteReference"/>
          <w:sz w:val="16"/>
        </w:rPr>
        <w:footnoteRef/>
      </w:r>
      <w:r>
        <w:rPr>
          <w:sz w:val="16"/>
        </w:rPr>
        <w:t xml:space="preserve"> </w:t>
      </w:r>
      <w:r>
        <w:tab/>
      </w:r>
      <w:hyperlink r:id="rId1">
        <w:r>
          <w:rPr>
            <w:rStyle w:val="Hyperlink"/>
          </w:rPr>
          <w:t>http://eur-lex.europa.eu/legal-content/BG/TXT/?qid=1495472820549&amp;uri=CELEX:32013R0526</w:t>
        </w:r>
      </w:hyperlink>
      <w:r>
        <w:t xml:space="preserve">  </w:t>
      </w:r>
    </w:p>
  </w:footnote>
  <w:footnote w:id="2">
    <w:p w:rsidR="00B2622A" w:rsidRDefault="00CB0DDA">
      <w:pPr>
        <w:pStyle w:val="FootnoteText"/>
        <w:spacing w:after="0"/>
        <w:jc w:val="left"/>
        <w:rPr>
          <w:sz w:val="16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hyperlink r:id="rId2">
        <w:r>
          <w:rPr>
            <w:rStyle w:val="Hyperlink"/>
          </w:rPr>
          <w:t>http://eur-lex.europa.eu/legal-content/EN/TXT/?uri=uriserv:OJ.L_.2016.194.01.0001.01.ENG&amp;toc=OJ:L:2016:194:TOC</w:t>
        </w:r>
      </w:hyperlink>
      <w:r>
        <w:rPr>
          <w:sz w:val="16"/>
        </w:rPr>
        <w:t xml:space="preserve"> </w:t>
      </w:r>
    </w:p>
  </w:footnote>
  <w:footnote w:id="3">
    <w:p w:rsidR="00B2622A" w:rsidRDefault="00CB0DDA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Съобщение на Комисията „Укрепване на отбранителната способност на Европа </w:t>
      </w:r>
      <w:r>
        <w:t>срещу кибератаки и изграждане на конкурентен и иновативeн сектор на киберсигурността“, COM/2016/0410 final.</w:t>
      </w:r>
    </w:p>
  </w:footnote>
  <w:footnote w:id="4">
    <w:p w:rsidR="00B2622A" w:rsidRDefault="00CB0DDA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>
        <w:tab/>
        <w:t>Заключения на Съвета относно укрепването на отбранителната способност на Европа срещу кибератаки и изграждането на конкурентен и иновативeн секто</w:t>
      </w:r>
      <w:r>
        <w:t>р на киберсигурността — 15 ноември 2016 г.</w:t>
      </w:r>
    </w:p>
  </w:footnote>
  <w:footnote w:id="5">
    <w:p w:rsidR="00B2622A" w:rsidRDefault="00CB0DDA">
      <w:pPr>
        <w:pStyle w:val="FootnoteText"/>
        <w:spacing w:after="0"/>
        <w:rPr>
          <w:lang w:val="pt-PT"/>
        </w:rPr>
      </w:pPr>
      <w:r>
        <w:rPr>
          <w:rStyle w:val="FootnoteReference"/>
        </w:rPr>
        <w:footnoteRef/>
      </w:r>
      <w:r>
        <w:t xml:space="preserve"> </w:t>
      </w:r>
      <w:r>
        <w:tab/>
        <w:t xml:space="preserve">COM (2015)215 final SWD (2015)111 final; </w:t>
      </w:r>
    </w:p>
    <w:p w:rsidR="00B2622A" w:rsidRDefault="00CB0DDA">
      <w:pPr>
        <w:pStyle w:val="FootnoteText"/>
        <w:spacing w:after="0"/>
        <w:ind w:firstLine="0"/>
        <w:rPr>
          <w:lang w:val="pt-PT"/>
        </w:rPr>
      </w:pPr>
      <w:hyperlink r:id="rId3">
        <w:r>
          <w:t>http://ec.europa.eu/smart-regulation/guidelines/docs/swd_br_guidelines_</w:t>
        </w:r>
        <w:r>
          <w:t>en.pdf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DDA" w:rsidRPr="00CB0DDA" w:rsidRDefault="00CB0DDA" w:rsidP="00CB0D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DDA" w:rsidRPr="00CB0DDA" w:rsidRDefault="00CB0DDA" w:rsidP="00CB0DDA"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DDA" w:rsidRPr="00CB0DDA" w:rsidRDefault="00CB0DDA" w:rsidP="00CB0DDA"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2A" w:rsidRDefault="00B2622A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2A" w:rsidRDefault="00B2622A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22A" w:rsidRDefault="00B2622A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F"/>
    <w:multiLevelType w:val="singleLevel"/>
    <w:tmpl w:val="16F40A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1AED2654"/>
    <w:multiLevelType w:val="hybridMultilevel"/>
    <w:tmpl w:val="58E6F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C535229"/>
    <w:multiLevelType w:val="hybridMultilevel"/>
    <w:tmpl w:val="852C5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734306"/>
    <w:multiLevelType w:val="multilevel"/>
    <w:tmpl w:val="D266108E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2B06E07"/>
    <w:multiLevelType w:val="hybridMultilevel"/>
    <w:tmpl w:val="A04AC9B0"/>
    <w:lvl w:ilvl="0" w:tplc="11146B96">
      <w:start w:val="1"/>
      <w:numFmt w:val="bullet"/>
      <w:lvlText w:val="•"/>
      <w:lvlJc w:val="left"/>
      <w:pPr>
        <w:ind w:left="720" w:hanging="360"/>
      </w:pPr>
      <w:rPr>
        <w:rFonts w:ascii="TimesNewRoman" w:eastAsia="Calibri" w:hAnsi="TimesNewRoman" w:cs="TimesNew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2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35A715C1"/>
    <w:multiLevelType w:val="hybridMultilevel"/>
    <w:tmpl w:val="8F3C763E"/>
    <w:lvl w:ilvl="0" w:tplc="BC3AA064">
      <w:start w:val="1"/>
      <w:numFmt w:val="bullet"/>
      <w:lvlText w:val="•"/>
      <w:lvlJc w:val="left"/>
      <w:pPr>
        <w:ind w:left="720" w:hanging="360"/>
      </w:pPr>
      <w:rPr>
        <w:rFonts w:ascii="TimesNewRoman" w:eastAsia="Calibri" w:hAnsi="TimesNewRoman" w:cs="TimesNew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6">
    <w:nsid w:val="45481EA4"/>
    <w:multiLevelType w:val="multilevel"/>
    <w:tmpl w:val="28525E6E"/>
    <w:lvl w:ilvl="0">
      <w:start w:val="1"/>
      <w:numFmt w:val="decimal"/>
      <w:lvlText w:val="(%1)"/>
      <w:lvlJc w:val="left"/>
      <w:pPr>
        <w:tabs>
          <w:tab w:val="num" w:pos="1418"/>
        </w:tabs>
        <w:ind w:left="1418" w:hanging="709"/>
      </w:pPr>
    </w:lvl>
    <w:lvl w:ilvl="1">
      <w:start w:val="1"/>
      <w:numFmt w:val="lowerLetter"/>
      <w:lvlText w:val="(%2)"/>
      <w:lvlJc w:val="left"/>
      <w:pPr>
        <w:tabs>
          <w:tab w:val="num" w:pos="2126"/>
        </w:tabs>
        <w:ind w:left="2126" w:hanging="708"/>
      </w:pPr>
    </w:lvl>
    <w:lvl w:ilvl="2">
      <w:start w:val="1"/>
      <w:numFmt w:val="bullet"/>
      <w:lvlText w:val="–"/>
      <w:lvlJc w:val="left"/>
      <w:pPr>
        <w:tabs>
          <w:tab w:val="num" w:pos="2835"/>
        </w:tabs>
        <w:ind w:left="2835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3544"/>
        </w:tabs>
        <w:ind w:left="3544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432"/>
        </w:tabs>
        <w:ind w:left="1432" w:hanging="360"/>
      </w:pPr>
    </w:lvl>
    <w:lvl w:ilvl="5">
      <w:start w:val="1"/>
      <w:numFmt w:val="lowerRoman"/>
      <w:lvlText w:val="(%6)"/>
      <w:lvlJc w:val="left"/>
      <w:pPr>
        <w:tabs>
          <w:tab w:val="num" w:pos="1792"/>
        </w:tabs>
        <w:ind w:left="1792" w:hanging="360"/>
      </w:pPr>
    </w:lvl>
    <w:lvl w:ilvl="6">
      <w:start w:val="1"/>
      <w:numFmt w:val="decimal"/>
      <w:lvlText w:val="%7."/>
      <w:lvlJc w:val="left"/>
      <w:pPr>
        <w:tabs>
          <w:tab w:val="num" w:pos="2152"/>
        </w:tabs>
        <w:ind w:left="2152" w:hanging="360"/>
      </w:pPr>
    </w:lvl>
    <w:lvl w:ilvl="7">
      <w:start w:val="1"/>
      <w:numFmt w:val="lowerLetter"/>
      <w:lvlText w:val="%8."/>
      <w:lvlJc w:val="left"/>
      <w:pPr>
        <w:tabs>
          <w:tab w:val="num" w:pos="2512"/>
        </w:tabs>
        <w:ind w:left="2512" w:hanging="360"/>
      </w:pPr>
    </w:lvl>
    <w:lvl w:ilvl="8">
      <w:start w:val="1"/>
      <w:numFmt w:val="lowerRoman"/>
      <w:lvlText w:val="%9."/>
      <w:lvlJc w:val="left"/>
      <w:pPr>
        <w:tabs>
          <w:tab w:val="num" w:pos="2872"/>
        </w:tabs>
        <w:ind w:left="2872" w:hanging="360"/>
      </w:pPr>
    </w:lvl>
  </w:abstractNum>
  <w:abstractNum w:abstractNumId="17">
    <w:nsid w:val="458E1E5D"/>
    <w:multiLevelType w:val="multilevel"/>
    <w:tmpl w:val="449C82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9">
    <w:nsid w:val="4E3F1B9F"/>
    <w:multiLevelType w:val="hybridMultilevel"/>
    <w:tmpl w:val="3F8660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4E7BF5"/>
    <w:multiLevelType w:val="hybridMultilevel"/>
    <w:tmpl w:val="3DB0E976"/>
    <w:lvl w:ilvl="0" w:tplc="A48860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5A3711"/>
    <w:multiLevelType w:val="hybridMultilevel"/>
    <w:tmpl w:val="91EA67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3">
    <w:nsid w:val="55015224"/>
    <w:multiLevelType w:val="hybridMultilevel"/>
    <w:tmpl w:val="15A239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60AAE"/>
    <w:multiLevelType w:val="hybridMultilevel"/>
    <w:tmpl w:val="EF3C9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7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>
    <w:nsid w:val="6494546C"/>
    <w:multiLevelType w:val="hybridMultilevel"/>
    <w:tmpl w:val="CFD26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8903EC"/>
    <w:multiLevelType w:val="hybridMultilevel"/>
    <w:tmpl w:val="AF48F2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B1A2033"/>
    <w:multiLevelType w:val="hybridMultilevel"/>
    <w:tmpl w:val="FAD41A86"/>
    <w:lvl w:ilvl="0" w:tplc="11146B96">
      <w:start w:val="1"/>
      <w:numFmt w:val="bullet"/>
      <w:lvlText w:val="•"/>
      <w:lvlJc w:val="left"/>
      <w:pPr>
        <w:ind w:left="1440" w:hanging="360"/>
      </w:pPr>
      <w:rPr>
        <w:rFonts w:ascii="TimesNewRoman" w:eastAsia="Calibri" w:hAnsi="TimesNewRoman" w:cs="TimesNew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D3D0A9C"/>
    <w:multiLevelType w:val="hybridMultilevel"/>
    <w:tmpl w:val="AACAB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72CA75C3"/>
    <w:multiLevelType w:val="hybridMultilevel"/>
    <w:tmpl w:val="D70C8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5"/>
  </w:num>
  <w:num w:numId="5">
    <w:abstractNumId w:val="9"/>
  </w:num>
  <w:num w:numId="6">
    <w:abstractNumId w:val="14"/>
  </w:num>
  <w:num w:numId="7">
    <w:abstractNumId w:val="27"/>
  </w:num>
  <w:num w:numId="8">
    <w:abstractNumId w:val="32"/>
  </w:num>
  <w:num w:numId="9">
    <w:abstractNumId w:val="11"/>
  </w:num>
  <w:num w:numId="10">
    <w:abstractNumId w:val="26"/>
  </w:num>
  <w:num w:numId="11">
    <w:abstractNumId w:val="25"/>
  </w:num>
  <w:num w:numId="12">
    <w:abstractNumId w:val="18"/>
  </w:num>
  <w:num w:numId="13">
    <w:abstractNumId w:val="22"/>
  </w:num>
  <w:num w:numId="14">
    <w:abstractNumId w:val="8"/>
  </w:num>
  <w:num w:numId="15">
    <w:abstractNumId w:val="12"/>
  </w:num>
  <w:num w:numId="16">
    <w:abstractNumId w:val="4"/>
  </w:num>
  <w:num w:numId="17">
    <w:abstractNumId w:val="10"/>
  </w:num>
  <w:num w:numId="18">
    <w:abstractNumId w:val="33"/>
  </w:num>
  <w:num w:numId="19">
    <w:abstractNumId w:val="34"/>
  </w:num>
  <w:num w:numId="20">
    <w:abstractNumId w:val="19"/>
  </w:num>
  <w:num w:numId="21">
    <w:abstractNumId w:val="23"/>
  </w:num>
  <w:num w:numId="22">
    <w:abstractNumId w:val="20"/>
  </w:num>
  <w:num w:numId="23">
    <w:abstractNumId w:val="16"/>
  </w:num>
  <w:num w:numId="24">
    <w:abstractNumId w:val="30"/>
  </w:num>
  <w:num w:numId="25">
    <w:abstractNumId w:val="24"/>
  </w:num>
  <w:num w:numId="26">
    <w:abstractNumId w:val="28"/>
  </w:num>
  <w:num w:numId="27">
    <w:abstractNumId w:val="7"/>
  </w:num>
  <w:num w:numId="28">
    <w:abstractNumId w:val="13"/>
  </w:num>
  <w:num w:numId="29">
    <w:abstractNumId w:val="31"/>
  </w:num>
  <w:num w:numId="30">
    <w:abstractNumId w:val="3"/>
  </w:num>
  <w:num w:numId="31">
    <w:abstractNumId w:val="5"/>
  </w:num>
  <w:num w:numId="32">
    <w:abstractNumId w:val="17"/>
  </w:num>
  <w:num w:numId="33">
    <w:abstractNumId w:val="29"/>
  </w:num>
  <w:num w:numId="34">
    <w:abstractNumId w:val="1"/>
  </w:num>
  <w:num w:numId="35">
    <w:abstractNumId w:val="2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/EU RESTRICTED"/>
    <w:docVar w:name="LW_CORRIGENDUM" w:val="&lt;UNUSED&gt;"/>
    <w:docVar w:name="LW_COVERPAGE_GUID" w:val="0FC9A43890714C7E9A28D7C883531F53"/>
    <w:docVar w:name="LW_CROSSREFERENCE" w:val="&lt;UNUSED&gt;"/>
    <w:docVar w:name="LW_DocType" w:val="REP"/>
    <w:docVar w:name="LW_EMISSION" w:val="13.9.2017"/>
    <w:docVar w:name="LW_EMISSION_ISODATE" w:val="2017-09-13"/>
    <w:docVar w:name="LW_EMISSION_LOCATION" w:val="BRX"/>
    <w:docVar w:name="LW_EMISSION_PREFIX" w:val="\u1041?\u1088?\u1102?\u1082?\u1089?\u1077?\u1083?, "/>
    <w:docVar w:name="LW_EMISSION_SUFFIX" w:val=" \u1075?."/>
    <w:docVar w:name="LW_ID_DOCTYPE_NONLW" w:val="CP-006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7) 478"/>
    <w:docVar w:name="LW_REF.INTERNE" w:val="&lt;UNUSED&gt;"/>
    <w:docVar w:name="LW_SOUS.TITRE.OBJ.CP" w:val="&lt;UNUSED&gt;"/>
    <w:docVar w:name="LW_SUPERTITRE" w:val="&lt;UNUSED&gt;"/>
    <w:docVar w:name="LW_TITRE.OBJ.CP" w:val="\u1086?\u1090?\u1085?\u1086?\u1089?\u1085?\u1086? \u1086?\u1094?\u1077?\u1085?\u1082?\u1072?\u1090?\u1072? \u1085?\u1072? \u1040?\u1075?\u1077?\u1085?\u1094?\u1080?\u1103?\u1090?\u1072? \u1085?\u1072? \u1045?\u1074?\u1088?\u1086?\u1087?\u1077?\u1081?\u1089?\u1082?\u1080?\u1103? \u1089?\u1098?\u1102?\u1079? \u1079?\u1072? \u1084?\u1088?\u1077?\u1078?\u1086?\u1074?\u1072? \u1080? \u1080?\u1085?\u1092?\u1086?\u1088?\u1084?\u1072?\u1094?\u1080?\u1086?\u1085?\u1085?\u1072? \u1089?\u1080?\u1075?\u1091?\u1088?\u1085?\u1086?\u1089?\u1090? (ENISA)"/>
    <w:docVar w:name="LW_TYPE.DOC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"/>
  </w:docVars>
  <w:rsids>
    <w:rsidRoot w:val="00B2622A"/>
    <w:rsid w:val="00B2622A"/>
    <w:rsid w:val="00CB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semiHidden="0" w:uiPriority="35" w:unhideWhenUsed="0" w:qFormat="1"/>
    <w:lsdException w:name="footnote reference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240"/>
      <w:jc w:val="both"/>
    </w:pPr>
    <w:rPr>
      <w:sz w:val="24"/>
    </w:rPr>
  </w:style>
  <w:style w:type="paragraph" w:styleId="Heading1">
    <w:name w:val="heading 1"/>
    <w:basedOn w:val="Normal"/>
    <w:next w:val="Text1"/>
    <w:uiPriority w:val="9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uiPriority w:val="9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uiPriority w:val="9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aliases w:val="Footnote,Footnote text,Testo nota a piè di pagina_Rientro,stile 1,Footnote1,Footnote2,Footnote3,Footnote4,Footnote5,Footnote6,Footnote7,Footnote8,Footnote9,Footnote10,Footnote11,Footnote21,Footnote31,Footnote41,Footnote51,ft,Footnote61,fn"/>
    <w:basedOn w:val="Normal"/>
    <w:link w:val="FootnoteTextChar"/>
    <w:uiPriority w:val="99"/>
    <w:qFormat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link w:val="NoteHeadChar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al"/>
    <w:qFormat/>
    <w:pPr>
      <w:spacing w:after="0"/>
      <w:jc w:val="center"/>
    </w:pPr>
    <w:rPr>
      <w:b/>
      <w:caps/>
      <w:sz w:val="32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sz w:val="16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  <w:lang w:eastAsia="bg-BG"/>
    </w:rPr>
  </w:style>
  <w:style w:type="character" w:styleId="FootnoteReference">
    <w:name w:val="footnote reference"/>
    <w:aliases w:val="Footnote symbol,number,SUPERS,Footnote Reference Superscript,stylish,BVI fnr,-E Fußnotenzeichen,Source Reference,Footnote reference number,note TESI,Times 10 Point,Exposant 3 Point,Ref,de nota al pie,EN Footnote Reference,BVI fn,fr,FR"/>
    <w:link w:val="FootnoteReferenceCharCarCharCharCarCharCarCharCarCharCarCharCharCarCarCharCharCharCharCharCarCharCarCharCharCarCharCar"/>
    <w:uiPriority w:val="99"/>
    <w:unhideWhenUsed/>
    <w:qFormat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NoteHeadChar">
    <w:name w:val="NoteHead Char"/>
    <w:basedOn w:val="DefaultParagraphFont"/>
    <w:link w:val="NoteHead"/>
    <w:rPr>
      <w:b/>
      <w:smallCaps/>
      <w:sz w:val="24"/>
      <w:lang w:eastAsia="bg-BG"/>
    </w:rPr>
  </w:style>
  <w:style w:type="character" w:customStyle="1" w:styleId="FooterCoverPageChar">
    <w:name w:val="Footer Cover Page Char"/>
    <w:basedOn w:val="NoteHeadChar"/>
    <w:link w:val="FooterCoverPage"/>
    <w:rPr>
      <w:b w:val="0"/>
      <w:smallCaps w:val="0"/>
      <w:sz w:val="24"/>
      <w:lang w:eastAsia="bg-BG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</w:pPr>
  </w:style>
  <w:style w:type="character" w:customStyle="1" w:styleId="HeaderCoverPageChar">
    <w:name w:val="Header Cover Page Char"/>
    <w:basedOn w:val="NoteHeadChar"/>
    <w:link w:val="HeaderCoverPage"/>
    <w:rPr>
      <w:b w:val="0"/>
      <w:smallCaps w:val="0"/>
      <w:sz w:val="24"/>
      <w:lang w:eastAsia="bg-BG"/>
    </w:rPr>
  </w:style>
  <w:style w:type="character" w:customStyle="1" w:styleId="FootnoteTextChar">
    <w:name w:val="Footnote Text Char"/>
    <w:aliases w:val="Footnote Char,Footnote text Char,Testo nota a piè di pagina_Rientro Char,stile 1 Char,Footnote1 Char,Footnote2 Char,Footnote3 Char,Footnote4 Char,Footnote5 Char,Footnote6 Char,Footnote7 Char,Footnote8 Char,Footnote9 Char,ft Char"/>
    <w:basedOn w:val="DefaultParagraphFont"/>
    <w:link w:val="FootnoteText"/>
    <w:uiPriority w:val="99"/>
    <w:rPr>
      <w:lang w:eastAsia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Pr>
      <w:lang w:eastAsia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lang w:eastAsia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FootnoteReferenceCharCarCharCharCarCharCarCharCarCharCarCharCharCarCarCharCharCharCharCharCarCharCarCharCharCarCharCar">
    <w:name w:val="Footnote Reference Char Car Char Char Car Char Car Char Car Char Car Char Char Car Car Char Char Char Char Char Car Char Car Char Char Car Char Car"/>
    <w:aliases w:val="Footnotes refss Car Char Car,callout Car Car Char Char Car,Footnotes refss Car1"/>
    <w:basedOn w:val="Normal"/>
    <w:link w:val="FootnoteReference"/>
    <w:uiPriority w:val="99"/>
    <w:pPr>
      <w:spacing w:after="160" w:line="240" w:lineRule="exact"/>
      <w:jc w:val="left"/>
    </w:pPr>
    <w:rPr>
      <w:sz w:val="20"/>
      <w:vertAlign w:val="superscript"/>
    </w:rPr>
  </w:style>
  <w:style w:type="paragraph" w:customStyle="1" w:styleId="CM1">
    <w:name w:val="CM1"/>
    <w:basedOn w:val="Default"/>
    <w:next w:val="Default"/>
    <w:uiPriority w:val="99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Pr>
      <w:rFonts w:ascii="EUAlbertina" w:hAnsi="EUAlbertina"/>
      <w:color w:val="auto"/>
    </w:rPr>
  </w:style>
  <w:style w:type="paragraph" w:styleId="Revision">
    <w:name w:val="Revision"/>
    <w:hidden/>
    <w:uiPriority w:val="99"/>
    <w:semiHidden/>
    <w:rPr>
      <w:sz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semiHidden="0" w:uiPriority="35" w:unhideWhenUsed="0" w:qFormat="1"/>
    <w:lsdException w:name="footnote reference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240"/>
      <w:jc w:val="both"/>
    </w:pPr>
    <w:rPr>
      <w:sz w:val="24"/>
    </w:rPr>
  </w:style>
  <w:style w:type="paragraph" w:styleId="Heading1">
    <w:name w:val="heading 1"/>
    <w:basedOn w:val="Normal"/>
    <w:next w:val="Text1"/>
    <w:uiPriority w:val="9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uiPriority w:val="9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uiPriority w:val="9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aliases w:val="Footnote,Footnote text,Testo nota a piè di pagina_Rientro,stile 1,Footnote1,Footnote2,Footnote3,Footnote4,Footnote5,Footnote6,Footnote7,Footnote8,Footnote9,Footnote10,Footnote11,Footnote21,Footnote31,Footnote41,Footnote51,ft,Footnote61,fn"/>
    <w:basedOn w:val="Normal"/>
    <w:link w:val="FootnoteTextChar"/>
    <w:uiPriority w:val="99"/>
    <w:qFormat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link w:val="NoteHeadChar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al"/>
    <w:qFormat/>
    <w:pPr>
      <w:spacing w:after="0"/>
      <w:jc w:val="center"/>
    </w:pPr>
    <w:rPr>
      <w:b/>
      <w:caps/>
      <w:sz w:val="32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character" w:customStyle="1" w:styleId="FooterChar">
    <w:name w:val="Footer Char"/>
    <w:basedOn w:val="DefaultParagraphFont"/>
    <w:link w:val="Footer"/>
    <w:uiPriority w:val="99"/>
    <w:rPr>
      <w:rFonts w:ascii="Arial" w:hAnsi="Arial"/>
      <w:sz w:val="16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  <w:lang w:eastAsia="bg-BG"/>
    </w:rPr>
  </w:style>
  <w:style w:type="character" w:styleId="FootnoteReference">
    <w:name w:val="footnote reference"/>
    <w:aliases w:val="Footnote symbol,number,SUPERS,Footnote Reference Superscript,stylish,BVI fnr,-E Fußnotenzeichen,Source Reference,Footnote reference number,note TESI,Times 10 Point,Exposant 3 Point,Ref,de nota al pie,EN Footnote Reference,BVI fn,fr,FR"/>
    <w:link w:val="FootnoteReferenceCharCarCharCharCarCharCarCharCarCharCarCharCharCarCarCharCharCharCharCharCarCharCarCharCharCarCharCar"/>
    <w:uiPriority w:val="99"/>
    <w:unhideWhenUsed/>
    <w:qFormat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eastAsia="bg-BG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/>
    </w:pPr>
    <w:rPr>
      <w:rFonts w:eastAsiaTheme="minorHAnsi"/>
      <w:szCs w:val="22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NoteHeadChar">
    <w:name w:val="NoteHead Char"/>
    <w:basedOn w:val="DefaultParagraphFont"/>
    <w:link w:val="NoteHead"/>
    <w:rPr>
      <w:b/>
      <w:smallCaps/>
      <w:sz w:val="24"/>
      <w:lang w:eastAsia="bg-BG"/>
    </w:rPr>
  </w:style>
  <w:style w:type="character" w:customStyle="1" w:styleId="FooterCoverPageChar">
    <w:name w:val="Footer Cover Page Char"/>
    <w:basedOn w:val="NoteHeadChar"/>
    <w:link w:val="FooterCoverPage"/>
    <w:rPr>
      <w:b w:val="0"/>
      <w:smallCaps w:val="0"/>
      <w:sz w:val="24"/>
      <w:lang w:eastAsia="bg-BG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</w:pPr>
  </w:style>
  <w:style w:type="character" w:customStyle="1" w:styleId="HeaderCoverPageChar">
    <w:name w:val="Header Cover Page Char"/>
    <w:basedOn w:val="NoteHeadChar"/>
    <w:link w:val="HeaderCoverPage"/>
    <w:rPr>
      <w:b w:val="0"/>
      <w:smallCaps w:val="0"/>
      <w:sz w:val="24"/>
      <w:lang w:eastAsia="bg-BG"/>
    </w:rPr>
  </w:style>
  <w:style w:type="character" w:customStyle="1" w:styleId="FootnoteTextChar">
    <w:name w:val="Footnote Text Char"/>
    <w:aliases w:val="Footnote Char,Footnote text Char,Testo nota a piè di pagina_Rientro Char,stile 1 Char,Footnote1 Char,Footnote2 Char,Footnote3 Char,Footnote4 Char,Footnote5 Char,Footnote6 Char,Footnote7 Char,Footnote8 Char,Footnote9 Char,ft Char"/>
    <w:basedOn w:val="DefaultParagraphFont"/>
    <w:link w:val="FootnoteText"/>
    <w:uiPriority w:val="99"/>
    <w:rPr>
      <w:lang w:eastAsia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Pr>
      <w:lang w:eastAsia="bg-BG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lang w:eastAsia="bg-BG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FootnoteReferenceCharCarCharCharCarCharCarCharCarCharCarCharCharCarCarCharCharCharCharCharCarCharCarCharCharCarCharCar">
    <w:name w:val="Footnote Reference Char Car Char Char Car Char Car Char Car Char Car Char Char Car Car Char Char Char Char Char Car Char Car Char Char Car Char Car"/>
    <w:aliases w:val="Footnotes refss Car Char Car,callout Car Car Char Char Car,Footnotes refss Car1"/>
    <w:basedOn w:val="Normal"/>
    <w:link w:val="FootnoteReference"/>
    <w:uiPriority w:val="99"/>
    <w:pPr>
      <w:spacing w:after="160" w:line="240" w:lineRule="exact"/>
      <w:jc w:val="left"/>
    </w:pPr>
    <w:rPr>
      <w:sz w:val="20"/>
      <w:vertAlign w:val="superscript"/>
    </w:rPr>
  </w:style>
  <w:style w:type="paragraph" w:customStyle="1" w:styleId="CM1">
    <w:name w:val="CM1"/>
    <w:basedOn w:val="Default"/>
    <w:next w:val="Default"/>
    <w:uiPriority w:val="99"/>
    <w:rPr>
      <w:rFonts w:ascii="EUAlbertina" w:hAnsi="EUAlbertina"/>
      <w:color w:val="auto"/>
    </w:rPr>
  </w:style>
  <w:style w:type="paragraph" w:customStyle="1" w:styleId="CM3">
    <w:name w:val="CM3"/>
    <w:basedOn w:val="Default"/>
    <w:next w:val="Default"/>
    <w:uiPriority w:val="99"/>
    <w:rPr>
      <w:rFonts w:ascii="EUAlbertina" w:hAnsi="EUAlbertina"/>
      <w:color w:val="auto"/>
    </w:rPr>
  </w:style>
  <w:style w:type="paragraph" w:styleId="Revision">
    <w:name w:val="Revision"/>
    <w:hidden/>
    <w:uiPriority w:val="99"/>
    <w:semiHidden/>
    <w:rPr>
      <w:sz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smart-regulation/guidelines/docs/swd_br_guidelines_en.pdf" TargetMode="External"/><Relationship Id="rId2" Type="http://schemas.openxmlformats.org/officeDocument/2006/relationships/hyperlink" Target="http://eur-lex.europa.eu/legal-content/EN/TXT/?uri=uriserv:OJ.L_.2016.194.01.0001.01.ENG&amp;toc=OJ:L:2016:194:TOC" TargetMode="External"/><Relationship Id="rId1" Type="http://schemas.openxmlformats.org/officeDocument/2006/relationships/hyperlink" Target="http://eur-lex.europa.eu/legal-content/BG/TXT/?qid=1495472820549&amp;uri=CELEX:32013R052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BEBE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575CE-0DFE-43AE-8DAD-DAB47FCE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32</TotalTime>
  <Pages>7</Pages>
  <Words>2276</Words>
  <Characters>13682</Characters>
  <Application>Microsoft Office Word</Application>
  <DocSecurity>0</DocSecurity>
  <PresentationFormat>Microsoft Word 14.0</PresentationFormat>
  <Lines>240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EL4</cp:keywords>
  <cp:lastModifiedBy>LAGES CARVALHO Patrick (SG)</cp:lastModifiedBy>
  <cp:revision>25</cp:revision>
  <cp:lastPrinted>2017-08-04T13:28:00Z</cp:lastPrinted>
  <dcterms:created xsi:type="dcterms:W3CDTF">2017-09-04T09:38:00Z</dcterms:created>
  <dcterms:modified xsi:type="dcterms:W3CDTF">2017-10-10T11:24:00Z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4.6.2.4290</vt:lpwstr>
  </property>
  <property fmtid="{D5CDD505-2E9C-101B-9397-08002B2CF9AE}" pid="3" name="EurolookVersion">
    <vt:lpwstr>4.6</vt:lpwstr>
  </property>
  <property fmtid="{D5CDD505-2E9C-101B-9397-08002B2CF9AE}" pid="4" name="DocID_EU">
    <vt:lpwstr> </vt:lpwstr>
  </property>
  <property fmtid="{D5CDD505-2E9C-101B-9397-08002B2CF9AE}" pid="5" name="ELDocType">
    <vt:lpwstr>rep.dot</vt:lpwstr>
  </property>
  <property fmtid="{D5CDD505-2E9C-101B-9397-08002B2CF9AE}" pid="6" name="Created using">
    <vt:lpwstr>EL 4.6 Build 34000</vt:lpwstr>
  </property>
  <property fmtid="{D5CDD505-2E9C-101B-9397-08002B2CF9AE}" pid="7" name="Formatting">
    <vt:lpwstr>4.1</vt:lpwstr>
  </property>
  <property fmtid="{D5CDD505-2E9C-101B-9397-08002B2CF9AE}" pid="8" name="Last edited using">
    <vt:lpwstr>EL 4.6 Build 50000</vt:lpwstr>
  </property>
  <property fmtid="{D5CDD505-2E9C-101B-9397-08002B2CF9AE}" pid="9" name="EL_Author">
    <vt:lpwstr>Robert Nuij</vt:lpwstr>
  </property>
  <property fmtid="{D5CDD505-2E9C-101B-9397-08002B2CF9AE}" pid="10" name="Type">
    <vt:lpwstr>Eurolook Report</vt:lpwstr>
  </property>
  <property fmtid="{D5CDD505-2E9C-101B-9397-08002B2CF9AE}" pid="11" name="Language">
    <vt:lpwstr>EN</vt:lpwstr>
  </property>
  <property fmtid="{D5CDD505-2E9C-101B-9397-08002B2CF9AE}" pid="12" name="EL_Language">
    <vt:lpwstr>EN</vt:lpwstr>
  </property>
  <property fmtid="{D5CDD505-2E9C-101B-9397-08002B2CF9AE}" pid="13" name="Part">
    <vt:lpwstr>1</vt:lpwstr>
  </property>
  <property fmtid="{D5CDD505-2E9C-101B-9397-08002B2CF9AE}" pid="14" name="Total parts">
    <vt:lpwstr>1</vt:lpwstr>
  </property>
  <property fmtid="{D5CDD505-2E9C-101B-9397-08002B2CF9AE}" pid="15" name="Classification">
    <vt:lpwstr> </vt:lpwstr>
  </property>
  <property fmtid="{D5CDD505-2E9C-101B-9397-08002B2CF9AE}" pid="16" name="DocStatus">
    <vt:lpwstr>Green</vt:lpwstr>
  </property>
</Properties>
</file>