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D1BCDDF209F4283867DD678F8871B3A" style="width:450.4pt;height:408.5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031" w:type="dxa"/>
        <w:tblLook w:val="01E0" w:firstRow="1" w:lastRow="1" w:firstColumn="1" w:lastColumn="1" w:noHBand="0" w:noVBand="0"/>
      </w:tblPr>
      <w:tblGrid>
        <w:gridCol w:w="10031"/>
      </w:tblGrid>
      <w:tr>
        <w:tc>
          <w:tcPr>
            <w:tcW w:w="10031"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Обобщение</w:t>
            </w:r>
          </w:p>
        </w:tc>
      </w:tr>
      <w:tr>
        <w:tc>
          <w:tcPr>
            <w:tcW w:w="10031"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 xml:space="preserve">Оценка на въздействието на </w:t>
            </w:r>
            <w:r>
              <w:rPr>
                <w:rFonts w:ascii="Tahoma" w:hAnsi="Tahoma"/>
                <w:b/>
                <w:i/>
                <w:noProof/>
                <w:color w:val="FFFFFF" w:themeColor="background1"/>
                <w:sz w:val="20"/>
              </w:rPr>
              <w:t>законодателното предложение относно рамка за свободното движение на данни в ЕС</w:t>
            </w:r>
          </w:p>
        </w:tc>
      </w:tr>
      <w:tr>
        <w:tc>
          <w:tcPr>
            <w:tcW w:w="10031"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031"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031" w:type="dxa"/>
            <w:tcBorders>
              <w:bottom w:val="single" w:sz="4" w:space="0" w:color="auto"/>
            </w:tcBorders>
            <w:shd w:val="clear" w:color="auto" w:fill="auto"/>
          </w:tcPr>
          <w:p>
            <w:pPr>
              <w:widowControl w:val="0"/>
              <w:suppressAutoHyphens/>
              <w:spacing w:before="120" w:after="120"/>
              <w:jc w:val="both"/>
              <w:rPr>
                <w:b/>
                <w:noProof/>
              </w:rPr>
            </w:pPr>
            <w:r>
              <w:rPr>
                <w:noProof/>
              </w:rPr>
              <w:t>Възможностите да се изгради в Европейския съюз основана на данни икономика и да се извлече полза от новите технологии, разчитащи на данни, са ограничени от редица пречки пред мобилността на данните, което се отразява на предприятията и тяхната дейност на единния пазар. В тази връзка пречките пред мобилността на данните на единния пазар на ЕС се посочват като основен проблем. Основните причини за проблемите са законодателните и административните ограничения във връзка с локализирането; локализирането на данни поради правна несигурност и липса на доверие в пазара; и практиките на създаване на зависимост от конкретен доставчик на услуги, които възпрепятстват мобилността на данните между различните доставчици на услуги за съхранение и/или друга обработка на данни и между различните информационни системи.</w:t>
            </w:r>
          </w:p>
        </w:tc>
      </w:tr>
      <w:tr>
        <w:tc>
          <w:tcPr>
            <w:tcW w:w="10031"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031" w:type="dxa"/>
            <w:tcBorders>
              <w:bottom w:val="single" w:sz="4" w:space="0" w:color="auto"/>
            </w:tcBorders>
            <w:shd w:val="clear" w:color="auto" w:fill="auto"/>
          </w:tcPr>
          <w:p>
            <w:pPr>
              <w:spacing w:before="120" w:after="120"/>
              <w:jc w:val="both"/>
              <w:rPr>
                <w:noProof/>
                <w:sz w:val="22"/>
              </w:rPr>
            </w:pPr>
            <w:r>
              <w:rPr>
                <w:noProof/>
              </w:rPr>
              <w:t>Целта на инициативата е да бъде постигнат по-конкурентен и интегриран пазар на ЕС за услуги и дейности за съхранение и/или обработка на данни. По-конкретно това означава да се намали броят и обхватът на ограниченията във връзка с локализирането на данни и да се подобри правната сигурност;</w:t>
            </w:r>
            <w:r>
              <w:rPr>
                <w:noProof/>
                <w:sz w:val="22"/>
              </w:rPr>
              <w:t xml:space="preserve"> </w:t>
            </w:r>
            <w:r>
              <w:rPr>
                <w:noProof/>
              </w:rPr>
              <w:t>да се подпомогне трансграничният достъп до данни за целите на регулаторния контрол; да се подобрят условията, при които потребителите могат да сменят доставчиците на услуги за съхранение и/или обработка на данни или да прехвърлят своите данни обратно в собствените си информационни системи;</w:t>
            </w:r>
            <w:r>
              <w:rPr>
                <w:noProof/>
                <w:sz w:val="22"/>
              </w:rPr>
              <w:t xml:space="preserve"> </w:t>
            </w:r>
            <w:r>
              <w:rPr>
                <w:noProof/>
              </w:rPr>
              <w:t xml:space="preserve">да се повиши доверието в системите за трансгранично съхранение и/или обработка на данни, както и сигурността на тези системи. </w:t>
            </w:r>
          </w:p>
        </w:tc>
      </w:tr>
      <w:tr>
        <w:tc>
          <w:tcPr>
            <w:tcW w:w="10031"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10031" w:type="dxa"/>
            <w:tcBorders>
              <w:bottom w:val="single" w:sz="4" w:space="0" w:color="auto"/>
            </w:tcBorders>
            <w:shd w:val="clear" w:color="auto" w:fill="auto"/>
          </w:tcPr>
          <w:p>
            <w:pPr>
              <w:jc w:val="both"/>
              <w:rPr>
                <w:rFonts w:ascii="Arial" w:hAnsi="Arial" w:cs="Arial"/>
                <w:noProof/>
                <w:sz w:val="20"/>
                <w:szCs w:val="20"/>
              </w:rPr>
            </w:pPr>
            <w:r>
              <w:rPr>
                <w:noProof/>
              </w:rPr>
              <w:t>Изграждането на конкурентоспособна основана на данни европейска икономика означава да се използва потенциалът за икономии от мащаба при трансграничното съхранение и обработка на данни в ЕС. Действия на равнището на държавите членки не биха донесли правната сигурност, необходима за трансгранично упражняване на тази дейност в рамките на ЕС, нито биха премахнали липсата на доверие, необходимо за развитието на сектора за съхранение и/или обработка на данните. Намесата на ЕС ще допринесе също така за развитието на сигурното съхранение на данни в целия ЕС.</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noProof/>
              </w:rPr>
            </w:pPr>
            <w:r>
              <w:rPr>
                <w:b/>
                <w:noProof/>
                <w:u w:val="single"/>
              </w:rPr>
              <w:t xml:space="preserve">Вариант 0 — Базов сценарий. </w:t>
            </w:r>
            <w:r>
              <w:rPr>
                <w:noProof/>
              </w:rPr>
              <w:t xml:space="preserve">Този вариант няма да доведе до промяна в политиката на ЕС. </w:t>
            </w:r>
          </w:p>
          <w:p>
            <w:pPr>
              <w:spacing w:before="120" w:after="120"/>
              <w:jc w:val="both"/>
              <w:rPr>
                <w:noProof/>
              </w:rPr>
            </w:pPr>
            <w:r>
              <w:rPr>
                <w:b/>
                <w:noProof/>
                <w:u w:val="single"/>
              </w:rPr>
              <w:t>Вариант 1 — Незаконодателни инициативи.</w:t>
            </w:r>
            <w:r>
              <w:rPr>
                <w:noProof/>
              </w:rPr>
              <w:t xml:space="preserve"> Този вариант ще предостави насоки за по-добро правоприлагане на съществуващите инструменти на ЕС по отношение на неоправданите ограничения във връзка с локализирането на данни, налагани от държавите членки. Достъпът до данни за целите на регулаторния контрол следва да се улесни в съответствие с действащите в държавите членки правила. Чрез насоки за добри практики на равнище ЕС следва да се облекчат замяната на един доставчик на компютърни услуги „в облак“ с друг и прехвърлянето на данни </w:t>
            </w:r>
            <w:r>
              <w:rPr>
                <w:noProof/>
              </w:rPr>
              <w:lastRenderedPageBreak/>
              <w:t>към друг доставчик на услуги или обратно към собствените информационни системи на потребителите.</w:t>
            </w:r>
          </w:p>
          <w:p>
            <w:pPr>
              <w:spacing w:before="120" w:after="120"/>
              <w:jc w:val="both"/>
              <w:rPr>
                <w:noProof/>
              </w:rPr>
            </w:pPr>
            <w:r>
              <w:rPr>
                <w:b/>
                <w:noProof/>
                <w:u w:val="single"/>
              </w:rPr>
              <w:t>Вариант 2 — Основаваща се на принципи законодателна инициатива и рамка за сътрудничество.</w:t>
            </w:r>
            <w:r>
              <w:rPr>
                <w:b/>
                <w:noProof/>
              </w:rPr>
              <w:t xml:space="preserve"> </w:t>
            </w:r>
            <w:r>
              <w:rPr>
                <w:noProof/>
              </w:rPr>
              <w:t xml:space="preserve">С този вариант ще бъде определен принципът на свободно движение на данни в рамките на ЕС, който ще забранява прилагането на мерки за локализиране на данни, освен ако те не са оправдани от съображения за национална сигурност, и ще изисква уведомяване за всяка такава нова мярка. Предприятия, които съхраняват и/или обработват своите данни в друга държава членка, ще трябва да предоставят данни на регулаторния орган, ако това бъде изискано от тях в съответствие със закона. Следва да се даде възможност за замяната на един доставчик на компютърни услуги „в облак“ с друг и за пренасянето на данни към нов доставчик или обратно към собствените информационни системи на потребителите, както и да бъдат въведени чрез специални разпоредби надеждни общи стандарти и/или схеми за сертифициране на сигурността на съхранението и/или обработката на данни. Посредством единни звена за контакт, определени от държавите членки, и група за общоевропейска политика, състояща се от такива звена за контакт, следва да се даде възможност за обмен и сътрудничество с цел разработване на съвместни подходи и най-добри практики, както и да се осигури ефективното прилагане на въведените принципи.  </w:t>
            </w:r>
          </w:p>
          <w:p>
            <w:pPr>
              <w:rPr>
                <w:b/>
                <w:noProof/>
              </w:rPr>
            </w:pPr>
            <w:r>
              <w:rPr>
                <w:b/>
                <w:noProof/>
                <w:u w:val="single"/>
              </w:rPr>
              <w:t xml:space="preserve">Вариант: </w:t>
            </w:r>
            <w:r>
              <w:rPr>
                <w:noProof/>
                <w:u w:val="single"/>
              </w:rPr>
              <w:t xml:space="preserve">- </w:t>
            </w:r>
            <w:r>
              <w:rPr>
                <w:b/>
                <w:noProof/>
                <w:u w:val="single"/>
              </w:rPr>
              <w:t>подвариант 2а</w:t>
            </w:r>
            <w:r>
              <w:rPr>
                <w:noProof/>
              </w:rPr>
              <w:t xml:space="preserve"> — Вместо законодателна разпоредба и съвместното регулиране на прехвърлянето на данни, този подвариант предвижда подход на саморегулиране за подобряването на условията за прехвърляне на данни при смяна на доставчици или за прехвърлянето на данни обратно към информационните системи на потребителите, включително процесите, сроковете и таксите, които могат да се прилагат. В областта на намеса, засягаща сигурността на съхранението и обработката на данните, този подвариант би изисквал уточнението, че всички вече приложими изисквания за сигурност продължават да се прилагат за бизнес потребителите, когато те съхраняват и обработват своите данни в други държави — членки на ЕС, включително когато това става чрез възлагане на дейности на външни изпълнители, например на доставчици на компютърни услуги „в облак“.</w:t>
            </w:r>
          </w:p>
          <w:p>
            <w:pPr>
              <w:spacing w:before="120" w:after="120"/>
              <w:jc w:val="both"/>
              <w:rPr>
                <w:rFonts w:asciiTheme="minorHAnsi" w:hAnsiTheme="minorHAnsi" w:cstheme="minorBidi"/>
                <w:noProof/>
                <w:sz w:val="22"/>
                <w:szCs w:val="22"/>
              </w:rPr>
            </w:pPr>
            <w:r>
              <w:rPr>
                <w:b/>
                <w:noProof/>
                <w:u w:val="single"/>
              </w:rPr>
              <w:t xml:space="preserve">Вариант 3 — Подробна законодателна инициатива. </w:t>
            </w:r>
            <w:r>
              <w:rPr>
                <w:noProof/>
              </w:rPr>
              <w:t>При този вариант се създават напълно хармонизирани правила относно неоправдани изисквания за локализирането на данни (бели или черни списъци). Задължителна рамка за сътрудничество ще дава възможност за принудително предоставяне на трансграничен достъп до съответните данни на регулаторните органи. Доставчиците на компютърни услуги „в облак“ ще бъдат задължени да улесняват прехвърлянето на данни и да оповестяват достатъчно подробно процесите, техническите изисквания и разходите за това. Ще бъдат разработени общи стандарти и отделна Европейска схема за сертифициране на сигурността в областта на съхранението и/или обработката на данни за компютърни услуги „в облак“.</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Кой подкрепя отделните варианти?</w:t>
            </w:r>
            <w:r>
              <w:rPr>
                <w:rFonts w:ascii="Tahoma" w:hAnsi="Tahoma"/>
                <w:noProof/>
                <w:sz w:val="20"/>
              </w:rPr>
              <w:t xml:space="preserve"> </w:t>
            </w:r>
          </w:p>
        </w:tc>
      </w:tr>
      <w:tr>
        <w:tc>
          <w:tcPr>
            <w:tcW w:w="10188" w:type="dxa"/>
            <w:shd w:val="clear" w:color="auto" w:fill="auto"/>
          </w:tcPr>
          <w:p>
            <w:pPr>
              <w:rPr>
                <w:b/>
                <w:noProof/>
              </w:rPr>
            </w:pPr>
            <w:r>
              <w:rPr>
                <w:noProof/>
              </w:rPr>
              <w:t xml:space="preserve">61,9 % от участвалите в обществената консултация посочиха, че следва да бъдат премахнати ограниченията във връзка с локализирането на данни, а 55,3 % застъпиха мнението, че за постигането на тази цел трябва да се приложи законодателен подход. 16 държави членки изрично поискаха законодателен подход в писмо до председателя Доналд Туск. Следователно, заинтересованите страни изглежда предпочитат да се използва законодателен подход (вариант 2 или 3) при решаването на проблема с ограниченията във връзка с локализирането на данни и осигуряването на достъп до данните за целите на регулаторния контрол, като средство за постигане на повече яснота и правна сигурност. Фактите обаче сочат, че законодателните действия в областта на сигурността, смяната на доставчика и прехвърлянето на данни не следва да регулират областта твърде подробно, тъй като това би могло да има неблагоприятен ефект. Въз основа на събираните данни, </w:t>
            </w:r>
            <w:r>
              <w:rPr>
                <w:noProof/>
                <w:u w:val="single"/>
              </w:rPr>
              <w:t xml:space="preserve">професионалните потребители на услуги за съхранение и обработка на данни в ЕС </w:t>
            </w:r>
            <w:r>
              <w:rPr>
                <w:noProof/>
              </w:rPr>
              <w:t xml:space="preserve">предпочитат вариант 2 или 3, докато </w:t>
            </w:r>
            <w:r>
              <w:rPr>
                <w:noProof/>
                <w:u w:val="single"/>
              </w:rPr>
              <w:t>доставчиците на компютърни услуги „в облак“</w:t>
            </w:r>
            <w:r>
              <w:rPr>
                <w:noProof/>
              </w:rPr>
              <w:t xml:space="preserve"> предпочитат вариант 2а. </w:t>
            </w:r>
            <w:r>
              <w:rPr>
                <w:noProof/>
                <w:u w:val="single"/>
              </w:rPr>
              <w:t>Публичните органи на държавите членки</w:t>
            </w:r>
            <w:r>
              <w:rPr>
                <w:noProof/>
              </w:rPr>
              <w:t xml:space="preserve"> предпочитат вариант 2.</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rPr>
                <w:noProof/>
              </w:rPr>
            </w:pPr>
            <w:r>
              <w:rPr>
                <w:noProof/>
              </w:rPr>
              <w:t>Той ще гарантира ефективното премахване на съществуващите неоправдани ограничения във връзка с локализирането, както и избягването на такива ограничения в бъдеще чрез установяване на ясен правен принцип в съчетание с процедура за преглед. Чрез повишаването на осведомеността за правните принципи, които се установяват с регламента, той ще допринесе също така за по-голяма правна сигурност на пазара. Освен това, чрез поощряване на разработването на кодекси за поведение относно смяната на доставчици и прехвърлянето на данни, той ще доведе до по-конкурентен вътрешен пазар за доставчиците на компютърни услуги „в облак“.</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rPr>
                <w:noProof/>
              </w:rPr>
            </w:pPr>
            <w:r>
              <w:rPr>
                <w:noProof/>
              </w:rPr>
              <w:t xml:space="preserve">Доставчиците на услуги за съхранение и обработка на данни са най-силно засегнати от инициативата от гледна точка на финансовите разходи, като общият ефект все пак остава  умерен. В процеса на привеждането в съответствие могат да възникнат разходи за правен анализ, разработване на нови образци за договори за смяна на доставчици на компютърни услуги („в облак“) за съхранение и обработка на данни, разработване на кодекси за поведение, определяне на стандарти и т.н. Допълнителните разходи ще бъдат разходи за прехвърляне на данните на бивши клиенти на ново място, както и разходи, дължащи се на загубата на пазарен дял в полза на други/нови доставчици на компютърни услуги „в облак“.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noProof/>
                <w:u w:val="single"/>
              </w:rPr>
              <w:t>Стартиращите предприятия и МСП</w:t>
            </w:r>
            <w:r>
              <w:rPr>
                <w:noProof/>
              </w:rPr>
              <w:t xml:space="preserve"> подкрепят силно варианта със законодателни действия по отношение на свободното движение на данни като средство за подобряване на правната сигурност и процеса на смяна на доставчика, тъй като това непосредствено ще намали техните разходи и по този начин ще им осигури по-добра позиция спрямо конкурентите на пазара. Конкретно биха могли да се избегнат разходите за дублирането на инфраструктура, например когато дадено МСП е активно в няколко държави членки и в една или повече от тях се прилагат ограничения във връзка с локализирането на данни.</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w:t>
            </w:r>
            <w:r>
              <w:rPr>
                <w:rFonts w:ascii="Tahoma" w:hAnsi="Tahoma"/>
                <w:noProof/>
                <w:sz w:val="20"/>
              </w:rPr>
              <w:t xml:space="preserve"> </w:t>
            </w:r>
            <w:r>
              <w:rPr>
                <w:rFonts w:ascii="Tahoma" w:hAnsi="Tahoma"/>
                <w:b/>
                <w:noProof/>
                <w:sz w:val="20"/>
              </w:rPr>
              <w:t>върху националните бюджети и администрации?</w:t>
            </w:r>
          </w:p>
        </w:tc>
      </w:tr>
      <w:tr>
        <w:tc>
          <w:tcPr>
            <w:tcW w:w="10188" w:type="dxa"/>
            <w:shd w:val="clear" w:color="auto" w:fill="auto"/>
          </w:tcPr>
          <w:p>
            <w:pPr>
              <w:rPr>
                <w:noProof/>
              </w:rPr>
            </w:pPr>
            <w:r>
              <w:rPr>
                <w:noProof/>
              </w:rPr>
              <w:t>За публичните органи на държавите членки ще възникне умерена административна тежест в резултат на разпределянето на човешки ресурси за осъществяване на структурирано сътрудничество между държавите членки посредством „единните звена за контакт“, както и за привеждане в съответствие с изискванията на процедурите за уведомяване и преразглеждане на механизма за прозрачност, предвиден в Директивата за прозрачността в рамките на единния пазар. Като цяло това би могло да доведе до среден годишен разход в размер на 34 539 EUR на държава членка.</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друго значително въздействие?</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noProof/>
              </w:rPr>
            </w:pPr>
            <w:r>
              <w:rPr>
                <w:noProof/>
              </w:rPr>
              <w:t xml:space="preserve">Да, ще има общо положително въздействие върху икономическото развитие, дължащо се на подобряването на основаната на данни европейска икономика и на създаването на по-конкурентен пазар на услуги за съхранение и обработка на данни. Това би могло например да доведе до намаляване на разходите за бизнес потребителите. Инициативата ще доведе до намаляване на съществуващите разходи за бизнес потребителите. Това намаляване на разходите може да се изрази в намаляване на разходите за предприятията, използващи услуги за съхранение и обработка на данни, и за предприятията, които извършват понастоящем или възнамеряват да извършват в бъдеще трансгранична дейност, както и в по-ниски разходи за пускането на нови продукти или услуги на пазара.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tabs>
                <w:tab w:val="left" w:pos="2160"/>
              </w:tabs>
              <w:spacing w:before="120" w:after="120"/>
              <w:jc w:val="both"/>
              <w:rPr>
                <w:noProof/>
                <w:highlight w:val="yellow"/>
              </w:rPr>
            </w:pPr>
            <w:r>
              <w:rPr>
                <w:noProof/>
              </w:rPr>
              <w:t xml:space="preserve">Цялостна оценка може да се извърши 5 години след началото на прилагане на правилата. Тази оценка ще се проведе в тясно сътрудничество с единните звена за контакт на държавите членки и въз основа на информацията, предоставена от тези звена. </w:t>
            </w:r>
          </w:p>
        </w:tc>
      </w:tr>
    </w:tbl>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76CF"/>
    <w:multiLevelType w:val="hybridMultilevel"/>
    <w:tmpl w:val="5458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2D55C4"/>
    <w:multiLevelType w:val="hybridMultilevel"/>
    <w:tmpl w:val="1D0EE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A20060"/>
    <w:multiLevelType w:val="hybridMultilevel"/>
    <w:tmpl w:val="326E05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7D1BCDDF209F4283867DD678F8871B3A"/>
    <w:docVar w:name="LW_CROSSREFERENCE" w:val="{COM(2017) 495 final}_x000b_{SWD(2017) 304 final}"/>
    <w:docVar w:name="LW_DocType" w:val="NORMAL"/>
    <w:docVar w:name="LW_EMISSION" w:val="13.9.2017"/>
    <w:docVar w:name="LW_EMISSION_ISODATE" w:val="2017-09-13"/>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8?\u1072?\u1084?\u1082?\u1072? \u1079?\u1072? \u1089?\u1074?\u1086?\u1073?\u1086?\u1076?\u1085?\u1086?\u1090?\u1086? \u1076?\u1074?\u1080?\u1078?\u1077?\u1085?\u1080?\u1077? \u1085?\u1072? \u1085?\u1077?\u1083?\u1080?\u1095?\u1085?\u1080? \u1076?\u1072?\u1085?\u1085?\u1080? \u1074? \u1045?\u1074?\u1088?\u1086?\u1087?\u1077?\u1081?\u1089?\u1082?\u1080?\u1103? \u1089?\u1098?\u1102?\u1079?"/>
    <w:docVar w:name="LW_PART_NBR" w:val="1"/>
    <w:docVar w:name="LW_PART_NBR_TOTAL" w:val="1"/>
    <w:docVar w:name="LW_REF.INST.NEW" w:val="SWD"/>
    <w:docVar w:name="LW_REF.INST.NEW_ADOPTED" w:val="final"/>
    <w:docVar w:name="LW_REF.INST.NEW_TEXT" w:val="(2017) 305"/>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56?\u1045?\u1044?\u1051?\u1054?\u1046?\u1045?\u1053?\u1048?\u1045? \u1047?\u1040? \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jc w:val="both"/>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Superscript Zchn Zchn,BVI fnr Zchn Zchn, BVI fnr Zchn Zchn,Footnote symbol Zchn Zchn,Footnote reference number Zchn Zchn,note TESI Zchn Zchn,Appel note de bas de p Zchn Zchn,Nota Zchn Zchn,SUPERS Zchn Zchn,BVI fnr"/>
    <w:link w:val="FootnoteReferenceSuperscriptZchn"/>
    <w:uiPriority w:val="99"/>
    <w:unhideWhenUsed/>
    <w:qFormat/>
    <w:rPr>
      <w:vertAlign w:val="superscript"/>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ListParagraph">
    <w:name w:val="List Paragraph"/>
    <w:aliases w:val="1st level - Bullet List Paragraph,List Paragraph1,Lettre d'introduction,Paragrafo elenco,Normal bullet 2,Bullet list,Numbered List,Bullet List Paragraph,List Paragraph11,Normal bullet 21,List Paragraph111,Bullet list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1st level - Bullet List Paragraph Char,List Paragraph1 Char,Lettre d'introduction Char,Paragrafo elenco Char,Normal bullet 2 Char,Bullet list Char,Numbered List Char,Bullet List Paragraph Char,List Paragraph11 Char,Bullet list1 Char"/>
    <w:basedOn w:val="DefaultParagraphFont"/>
    <w:link w:val="ListParagraph"/>
    <w:uiPriority w:val="34"/>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jc w:val="both"/>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Superscript Zchn Zchn,BVI fnr Zchn Zchn, BVI fnr Zchn Zchn,Footnote symbol Zchn Zchn,Footnote reference number Zchn Zchn,note TESI Zchn Zchn,Appel note de bas de p Zchn Zchn,Nota Zchn Zchn,SUPERS Zchn Zchn,BVI fnr"/>
    <w:link w:val="FootnoteReferenceSuperscriptZchn"/>
    <w:uiPriority w:val="99"/>
    <w:unhideWhenUsed/>
    <w:qFormat/>
    <w:rPr>
      <w:vertAlign w:val="superscript"/>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12D8-E12B-412F-9B1F-375B4B30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1637</Words>
  <Characters>9547</Characters>
  <Application>Microsoft Office Word</Application>
  <DocSecurity>0</DocSecurity>
  <Lines>153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36</cp:revision>
  <cp:lastPrinted>2017-08-10T12:40:00Z</cp:lastPrinted>
  <dcterms:created xsi:type="dcterms:W3CDTF">2017-09-04T11:19:00Z</dcterms:created>
  <dcterms:modified xsi:type="dcterms:W3CDTF">2017-10-10T16:27:00Z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