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48A" w:rsidRDefault="00642BCC">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828222842374288BBE8CFE921307B56" style="width:450pt;height:434.25pt">
            <v:imagedata r:id="rId7" o:title=""/>
          </v:shape>
        </w:pict>
      </w:r>
    </w:p>
    <w:bookmarkEnd w:id="0"/>
    <w:p w:rsidR="008D648A" w:rsidRDefault="008D648A">
      <w:pPr>
        <w:rPr>
          <w:noProof/>
        </w:rPr>
        <w:sectPr w:rsidR="008D648A">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8D648A" w:rsidRDefault="00642BCC">
      <w:pPr>
        <w:jc w:val="center"/>
        <w:rPr>
          <w:rFonts w:ascii="Times New Roman" w:hAnsi="Times New Roman" w:cs="Times New Roman"/>
          <w:b/>
          <w:noProof/>
          <w:sz w:val="24"/>
        </w:rPr>
      </w:pPr>
      <w:r>
        <w:rPr>
          <w:rFonts w:ascii="Times New Roman" w:hAnsi="Times New Roman"/>
          <w:b/>
          <w:noProof/>
          <w:sz w:val="24"/>
        </w:rPr>
        <w:lastRenderedPageBreak/>
        <w:t>EXIGENCES AUXQUELLES DOIVENT SATISFAIRE LES ORGANISMES D’ÉVALUATION DE LA CONFORMITÉ</w:t>
      </w:r>
    </w:p>
    <w:p w:rsidR="008D648A" w:rsidRDefault="00642BCC">
      <w:pPr>
        <w:jc w:val="both"/>
        <w:rPr>
          <w:rFonts w:ascii="Times New Roman" w:hAnsi="Times New Roman" w:cs="Times New Roman"/>
          <w:noProof/>
          <w:sz w:val="24"/>
        </w:rPr>
      </w:pPr>
      <w:r>
        <w:rPr>
          <w:rFonts w:ascii="Times New Roman" w:hAnsi="Times New Roman"/>
          <w:noProof/>
          <w:sz w:val="24"/>
        </w:rPr>
        <w:t xml:space="preserve">Les organismes </w:t>
      </w:r>
      <w:r>
        <w:rPr>
          <w:rFonts w:ascii="Times New Roman" w:hAnsi="Times New Roman"/>
          <w:noProof/>
          <w:sz w:val="24"/>
        </w:rPr>
        <w:t>d’évaluation de la conformité qui souhaitent être accrédités satisfont aux exigences suivantes:</w:t>
      </w:r>
    </w:p>
    <w:p w:rsidR="008D648A" w:rsidRDefault="00642BCC">
      <w:pPr>
        <w:jc w:val="both"/>
        <w:rPr>
          <w:rFonts w:ascii="Times New Roman" w:hAnsi="Times New Roman" w:cs="Times New Roman"/>
          <w:noProof/>
          <w:sz w:val="24"/>
        </w:rPr>
      </w:pPr>
      <w:r>
        <w:rPr>
          <w:rFonts w:ascii="Times New Roman" w:hAnsi="Times New Roman"/>
          <w:noProof/>
          <w:sz w:val="24"/>
        </w:rPr>
        <w:t>1. Un organisme d’évaluation de la conformité est constitué en vertu du droit national et possède la personnalité juridique.</w:t>
      </w:r>
    </w:p>
    <w:p w:rsidR="008D648A" w:rsidRDefault="00642BCC">
      <w:pPr>
        <w:jc w:val="both"/>
        <w:rPr>
          <w:rFonts w:ascii="Times New Roman" w:hAnsi="Times New Roman" w:cs="Times New Roman"/>
          <w:noProof/>
          <w:sz w:val="24"/>
        </w:rPr>
      </w:pPr>
      <w:r>
        <w:rPr>
          <w:rFonts w:ascii="Times New Roman" w:hAnsi="Times New Roman"/>
          <w:noProof/>
          <w:sz w:val="24"/>
        </w:rPr>
        <w:t xml:space="preserve">2. Un organisme d’évaluation de la </w:t>
      </w:r>
      <w:r>
        <w:rPr>
          <w:rFonts w:ascii="Times New Roman" w:hAnsi="Times New Roman"/>
          <w:noProof/>
          <w:sz w:val="24"/>
        </w:rPr>
        <w:t>conformité est un organisme tiers indépendant de l’organisation ou des produits ou services TIC qu’il évalue.</w:t>
      </w:r>
    </w:p>
    <w:p w:rsidR="008D648A" w:rsidRDefault="00642BCC">
      <w:pPr>
        <w:jc w:val="both"/>
        <w:rPr>
          <w:rFonts w:ascii="Times New Roman" w:hAnsi="Times New Roman" w:cs="Times New Roman"/>
          <w:noProof/>
          <w:sz w:val="24"/>
        </w:rPr>
      </w:pPr>
      <w:r>
        <w:rPr>
          <w:rFonts w:ascii="Times New Roman" w:hAnsi="Times New Roman"/>
          <w:noProof/>
          <w:sz w:val="24"/>
        </w:rPr>
        <w:t>3. Un organisme appartenant à une association d’entreprises ou à une fédération professionnelle qui représente des entreprises participant à la co</w:t>
      </w:r>
      <w:r>
        <w:rPr>
          <w:rFonts w:ascii="Times New Roman" w:hAnsi="Times New Roman"/>
          <w:noProof/>
          <w:sz w:val="24"/>
        </w:rPr>
        <w:t>nception, à la fabrication, à la fourniture, à l’assemblage, à l’utilisation ou à l’entretien des produits ou services TIC qu’il évalue peut, pour autant que son indépendance et que l’absence de tout conflit d’intérêts soient démontrées, être considéré com</w:t>
      </w:r>
      <w:r>
        <w:rPr>
          <w:rFonts w:ascii="Times New Roman" w:hAnsi="Times New Roman"/>
          <w:noProof/>
          <w:sz w:val="24"/>
        </w:rPr>
        <w:t>me un organisme d’évaluation de la conformité.</w:t>
      </w:r>
    </w:p>
    <w:p w:rsidR="008D648A" w:rsidRDefault="00642BCC">
      <w:pPr>
        <w:jc w:val="both"/>
        <w:rPr>
          <w:rFonts w:ascii="Times New Roman" w:hAnsi="Times New Roman" w:cs="Times New Roman"/>
          <w:noProof/>
          <w:sz w:val="24"/>
        </w:rPr>
      </w:pPr>
      <w:r>
        <w:rPr>
          <w:rFonts w:ascii="Times New Roman" w:hAnsi="Times New Roman"/>
          <w:noProof/>
          <w:sz w:val="24"/>
        </w:rPr>
        <w:t>4. Un organisme d'évaluation de la conformité, ses cadres supérieurs et le personnel chargé d’exécuter les tâches d’évaluation de la conformité ne peuvent être ni le concepteur, le fabricant, le fournisseur, l</w:t>
      </w:r>
      <w:r>
        <w:rPr>
          <w:rFonts w:ascii="Times New Roman" w:hAnsi="Times New Roman"/>
          <w:noProof/>
          <w:sz w:val="24"/>
        </w:rPr>
        <w:t>’installateur, l’acheteur, le propriétaire, l’utilisateur ou le responsable de l’entretien du produit ou service TIC qui est évalué, ni le mandataire d’aucune de ces parties. Cela n’exclut pas l’utilisation de produits évalués qui sont nécessaires au fonct</w:t>
      </w:r>
      <w:r>
        <w:rPr>
          <w:rFonts w:ascii="Times New Roman" w:hAnsi="Times New Roman"/>
          <w:noProof/>
          <w:sz w:val="24"/>
        </w:rPr>
        <w:t>ionnement de l’organisme d'évaluation de la conformité ou l’utilisation de ces produits à des fins personnelles.</w:t>
      </w:r>
    </w:p>
    <w:p w:rsidR="008D648A" w:rsidRDefault="00642BCC">
      <w:pPr>
        <w:jc w:val="both"/>
        <w:rPr>
          <w:rFonts w:ascii="Times New Roman" w:hAnsi="Times New Roman" w:cs="Times New Roman"/>
          <w:noProof/>
          <w:sz w:val="24"/>
        </w:rPr>
      </w:pPr>
      <w:r>
        <w:rPr>
          <w:rFonts w:ascii="Times New Roman" w:hAnsi="Times New Roman"/>
          <w:noProof/>
          <w:sz w:val="24"/>
        </w:rPr>
        <w:t>5. Un organisme d’évaluation de la conformité, ses cadres supérieurs et le personnel chargé d’exécuter les tâches d’évaluation de la conformité</w:t>
      </w:r>
      <w:r>
        <w:rPr>
          <w:rFonts w:ascii="Times New Roman" w:hAnsi="Times New Roman"/>
          <w:noProof/>
          <w:sz w:val="24"/>
        </w:rPr>
        <w:t xml:space="preserve"> ne peuvent intervenir, ni directement ni comme mandataires, dans la conception, la fabrication ou la construction, la commercialisation, l’installation, l’utilisation ou l’entretien des produits ou services TIC. Ils ne peuvent participer à aucune activité</w:t>
      </w:r>
      <w:r>
        <w:rPr>
          <w:rFonts w:ascii="Times New Roman" w:hAnsi="Times New Roman"/>
          <w:noProof/>
          <w:sz w:val="24"/>
        </w:rPr>
        <w:t xml:space="preserve"> qui peut entrer en conflit avec l’indépendance de leur jugement et l’intégrité des activités d’évaluation de la conformité pour lesquelles ils sont notifiés. Cela vaut en particulier pour les services de conseil.</w:t>
      </w:r>
    </w:p>
    <w:p w:rsidR="008D648A" w:rsidRDefault="00642BCC">
      <w:pPr>
        <w:jc w:val="both"/>
        <w:rPr>
          <w:rFonts w:ascii="Times New Roman" w:hAnsi="Times New Roman" w:cs="Times New Roman"/>
          <w:noProof/>
          <w:sz w:val="24"/>
        </w:rPr>
      </w:pPr>
      <w:r>
        <w:rPr>
          <w:rFonts w:ascii="Times New Roman" w:hAnsi="Times New Roman"/>
          <w:noProof/>
          <w:sz w:val="24"/>
        </w:rPr>
        <w:t>6. Les organismes d’évaluation de la confo</w:t>
      </w:r>
      <w:r>
        <w:rPr>
          <w:rFonts w:ascii="Times New Roman" w:hAnsi="Times New Roman"/>
          <w:noProof/>
          <w:sz w:val="24"/>
        </w:rPr>
        <w:t>rmité veillent à ce que les activités de leurs filiales ou sous-traitants n’aient pas d’incidence sur la confidentialité, l’objectivité ou l’impartialité de leurs activités d’évaluation de la conformité.</w:t>
      </w:r>
    </w:p>
    <w:p w:rsidR="008D648A" w:rsidRDefault="00642BCC">
      <w:pPr>
        <w:jc w:val="both"/>
        <w:rPr>
          <w:rFonts w:ascii="Times New Roman" w:hAnsi="Times New Roman" w:cs="Times New Roman"/>
          <w:noProof/>
          <w:sz w:val="24"/>
        </w:rPr>
      </w:pPr>
      <w:r>
        <w:rPr>
          <w:rFonts w:ascii="Times New Roman" w:hAnsi="Times New Roman"/>
          <w:noProof/>
          <w:sz w:val="24"/>
        </w:rPr>
        <w:t>7. Les organismes d’évaluation de la conformité et l</w:t>
      </w:r>
      <w:r>
        <w:rPr>
          <w:rFonts w:ascii="Times New Roman" w:hAnsi="Times New Roman"/>
          <w:noProof/>
          <w:sz w:val="24"/>
        </w:rPr>
        <w:t>eur personnel accomplissent les activités d’évaluation de la conformité avec la plus haute intégrité professionnelle et la compétence technique requise dans le domaine spécifique et sont à l’abri de toute pression ou incitation, notamment d’ordre financier</w:t>
      </w:r>
      <w:r>
        <w:rPr>
          <w:rFonts w:ascii="Times New Roman" w:hAnsi="Times New Roman"/>
          <w:noProof/>
          <w:sz w:val="24"/>
        </w:rPr>
        <w:t>, susceptible d’influencer leur jugement ou les résultats de leurs travaux d’évaluation de la conformité, en particulier de la part de personnes ou de groupes de personnes intéressés par ces résultats.</w:t>
      </w:r>
    </w:p>
    <w:p w:rsidR="008D648A" w:rsidRDefault="00642BCC">
      <w:pPr>
        <w:jc w:val="both"/>
        <w:rPr>
          <w:rFonts w:ascii="Times New Roman" w:hAnsi="Times New Roman" w:cs="Times New Roman"/>
          <w:noProof/>
          <w:sz w:val="24"/>
        </w:rPr>
      </w:pPr>
      <w:r>
        <w:rPr>
          <w:rFonts w:ascii="Times New Roman" w:hAnsi="Times New Roman"/>
          <w:noProof/>
          <w:sz w:val="24"/>
        </w:rPr>
        <w:t>8. L'organisme d’évaluation de la conformité est capab</w:t>
      </w:r>
      <w:r>
        <w:rPr>
          <w:rFonts w:ascii="Times New Roman" w:hAnsi="Times New Roman"/>
          <w:noProof/>
          <w:sz w:val="24"/>
        </w:rPr>
        <w:t xml:space="preserve">le d’exécuter toutes les tâches d’évaluation de la conformité pour lesquelles il a été désigné au titre du présent règlement, </w:t>
      </w:r>
      <w:r>
        <w:rPr>
          <w:rFonts w:ascii="Times New Roman" w:hAnsi="Times New Roman"/>
          <w:noProof/>
          <w:sz w:val="24"/>
        </w:rPr>
        <w:lastRenderedPageBreak/>
        <w:t>que ces tâches soient exécutées par l’organisme d’évaluation de la conformité lui-même ou en son nom et sous sa responsabilité.</w:t>
      </w:r>
    </w:p>
    <w:p w:rsidR="008D648A" w:rsidRDefault="00642BCC">
      <w:pPr>
        <w:jc w:val="both"/>
        <w:rPr>
          <w:rFonts w:ascii="Times New Roman" w:hAnsi="Times New Roman" w:cs="Times New Roman"/>
          <w:noProof/>
          <w:sz w:val="24"/>
        </w:rPr>
      </w:pPr>
      <w:r>
        <w:rPr>
          <w:rFonts w:ascii="Times New Roman" w:hAnsi="Times New Roman"/>
          <w:noProof/>
          <w:sz w:val="24"/>
        </w:rPr>
        <w:t>9.</w:t>
      </w:r>
      <w:r>
        <w:rPr>
          <w:rFonts w:ascii="Times New Roman" w:hAnsi="Times New Roman"/>
          <w:noProof/>
          <w:sz w:val="24"/>
        </w:rPr>
        <w:t xml:space="preserve"> En toutes circonstances et pour chaque procédure d’évaluation de la conformité, ainsi que pour tout type ou toute catégorie ou sous-catégorie de produits ou services TIC, l’organisme d’évaluation de la conformité dispose à suffisance:</w:t>
      </w:r>
    </w:p>
    <w:p w:rsidR="008D648A" w:rsidRDefault="00642BCC">
      <w:pPr>
        <w:ind w:left="720"/>
        <w:jc w:val="both"/>
        <w:rPr>
          <w:rFonts w:ascii="Times New Roman" w:hAnsi="Times New Roman" w:cs="Times New Roman"/>
          <w:noProof/>
          <w:sz w:val="24"/>
        </w:rPr>
      </w:pPr>
      <w:r>
        <w:rPr>
          <w:rFonts w:ascii="Times New Roman" w:hAnsi="Times New Roman"/>
          <w:noProof/>
          <w:sz w:val="24"/>
        </w:rPr>
        <w:t>a) du personnel requ</w:t>
      </w:r>
      <w:r>
        <w:rPr>
          <w:rFonts w:ascii="Times New Roman" w:hAnsi="Times New Roman"/>
          <w:noProof/>
          <w:sz w:val="24"/>
        </w:rPr>
        <w:t>is ayant les connaissances techniques et l’expérience suffisante et appropriée pour exécuter les tâches d’évaluation de la conformité;</w:t>
      </w:r>
    </w:p>
    <w:p w:rsidR="008D648A" w:rsidRDefault="00642BCC">
      <w:pPr>
        <w:ind w:left="720"/>
        <w:jc w:val="both"/>
        <w:rPr>
          <w:rFonts w:ascii="Times New Roman" w:hAnsi="Times New Roman" w:cs="Times New Roman"/>
          <w:noProof/>
          <w:sz w:val="24"/>
        </w:rPr>
      </w:pPr>
      <w:r>
        <w:rPr>
          <w:rFonts w:ascii="Times New Roman" w:hAnsi="Times New Roman"/>
          <w:noProof/>
          <w:sz w:val="24"/>
        </w:rPr>
        <w:t>b) de descriptions des procédures selon lesquelles l’évaluation de conformité est effectuée, garantissant la transparence</w:t>
      </w:r>
      <w:r>
        <w:rPr>
          <w:rFonts w:ascii="Times New Roman" w:hAnsi="Times New Roman"/>
          <w:noProof/>
          <w:sz w:val="24"/>
        </w:rPr>
        <w:t xml:space="preserve"> et à reproductibilité de ces procédures. Il se dote de politiques et de procédures appropriées faisant la distinction entre les tâches qu’il exécute en tant qu’organisme notifié et ses autres activités;</w:t>
      </w:r>
    </w:p>
    <w:p w:rsidR="008D648A" w:rsidRDefault="00642BCC">
      <w:pPr>
        <w:ind w:left="720"/>
        <w:jc w:val="both"/>
        <w:rPr>
          <w:rFonts w:ascii="Times New Roman" w:hAnsi="Times New Roman" w:cs="Times New Roman"/>
          <w:noProof/>
          <w:sz w:val="24"/>
        </w:rPr>
      </w:pPr>
      <w:r>
        <w:rPr>
          <w:rFonts w:ascii="Times New Roman" w:hAnsi="Times New Roman"/>
          <w:noProof/>
          <w:sz w:val="24"/>
        </w:rPr>
        <w:t>c) de procédures pour accomplir ses activités qui ti</w:t>
      </w:r>
      <w:r>
        <w:rPr>
          <w:rFonts w:ascii="Times New Roman" w:hAnsi="Times New Roman"/>
          <w:noProof/>
          <w:sz w:val="24"/>
        </w:rPr>
        <w:t xml:space="preserve">ennent dûment compte de la taille des entreprises, du secteur dans lequel elles exercent leurs activités, de leur structure, du degré de complexité de la technologie du produit ou service TIC en question et de la nature, en masse ou en série, du processus </w:t>
      </w:r>
      <w:r>
        <w:rPr>
          <w:rFonts w:ascii="Times New Roman" w:hAnsi="Times New Roman"/>
          <w:noProof/>
          <w:sz w:val="24"/>
        </w:rPr>
        <w:t>de production.</w:t>
      </w:r>
    </w:p>
    <w:p w:rsidR="008D648A" w:rsidRDefault="00642BCC">
      <w:pPr>
        <w:jc w:val="both"/>
        <w:rPr>
          <w:rFonts w:ascii="Times New Roman" w:hAnsi="Times New Roman" w:cs="Times New Roman"/>
          <w:noProof/>
          <w:sz w:val="24"/>
        </w:rPr>
      </w:pPr>
      <w:r>
        <w:rPr>
          <w:rFonts w:ascii="Times New Roman" w:hAnsi="Times New Roman"/>
          <w:noProof/>
          <w:sz w:val="24"/>
        </w:rPr>
        <w:t xml:space="preserve">10. Un organisme d’évaluation de la conformité se dote des moyens nécessaires à la bonne exécution des tâches techniques et administratives liées aux activités d’évaluation de la conformité et a accès à tous les équipements et installations </w:t>
      </w:r>
      <w:r>
        <w:rPr>
          <w:rFonts w:ascii="Times New Roman" w:hAnsi="Times New Roman"/>
          <w:noProof/>
          <w:sz w:val="24"/>
        </w:rPr>
        <w:t>nécessaires.</w:t>
      </w:r>
    </w:p>
    <w:p w:rsidR="008D648A" w:rsidRDefault="00642BCC">
      <w:pPr>
        <w:jc w:val="both"/>
        <w:rPr>
          <w:rFonts w:ascii="Times New Roman" w:hAnsi="Times New Roman" w:cs="Times New Roman"/>
          <w:noProof/>
          <w:sz w:val="24"/>
        </w:rPr>
      </w:pPr>
      <w:r>
        <w:rPr>
          <w:rFonts w:ascii="Times New Roman" w:hAnsi="Times New Roman"/>
          <w:noProof/>
          <w:sz w:val="24"/>
        </w:rPr>
        <w:t>11. Le personnel chargé d’accomplir des activités d’évaluation de la conformité possède:</w:t>
      </w:r>
    </w:p>
    <w:p w:rsidR="008D648A" w:rsidRDefault="00642BCC">
      <w:pPr>
        <w:ind w:left="720"/>
        <w:jc w:val="both"/>
        <w:rPr>
          <w:rFonts w:ascii="Times New Roman" w:hAnsi="Times New Roman" w:cs="Times New Roman"/>
          <w:noProof/>
          <w:sz w:val="24"/>
        </w:rPr>
      </w:pPr>
      <w:r>
        <w:rPr>
          <w:rFonts w:ascii="Times New Roman" w:hAnsi="Times New Roman"/>
          <w:noProof/>
          <w:sz w:val="24"/>
        </w:rPr>
        <w:t>a) une solide formation technique et professionnelle couvrant toutes les activités d’évaluation de la conformité;</w:t>
      </w:r>
    </w:p>
    <w:p w:rsidR="008D648A" w:rsidRDefault="00642BCC">
      <w:pPr>
        <w:ind w:left="720"/>
        <w:jc w:val="both"/>
        <w:rPr>
          <w:rFonts w:ascii="Times New Roman" w:hAnsi="Times New Roman" w:cs="Times New Roman"/>
          <w:noProof/>
          <w:sz w:val="24"/>
        </w:rPr>
      </w:pPr>
      <w:r>
        <w:rPr>
          <w:rFonts w:ascii="Times New Roman" w:hAnsi="Times New Roman"/>
          <w:noProof/>
          <w:sz w:val="24"/>
        </w:rPr>
        <w:t>b) une connaissance satisfaisante des ex</w:t>
      </w:r>
      <w:r>
        <w:rPr>
          <w:rFonts w:ascii="Times New Roman" w:hAnsi="Times New Roman"/>
          <w:noProof/>
          <w:sz w:val="24"/>
        </w:rPr>
        <w:t>igences applicables aux évaluations qu’il effectue et l’autorité nécessaire pour effectuer ces évaluations;</w:t>
      </w:r>
    </w:p>
    <w:p w:rsidR="008D648A" w:rsidRDefault="00642BCC">
      <w:pPr>
        <w:ind w:left="720"/>
        <w:jc w:val="both"/>
        <w:rPr>
          <w:rFonts w:ascii="Times New Roman" w:hAnsi="Times New Roman" w:cs="Times New Roman"/>
          <w:noProof/>
          <w:sz w:val="24"/>
        </w:rPr>
      </w:pPr>
      <w:r>
        <w:rPr>
          <w:rFonts w:ascii="Times New Roman" w:hAnsi="Times New Roman"/>
          <w:noProof/>
          <w:sz w:val="24"/>
        </w:rPr>
        <w:t>c) une connaissance et une compréhension adéquates des exigences et des normes d’essai applicables;</w:t>
      </w:r>
    </w:p>
    <w:p w:rsidR="008D648A" w:rsidRDefault="00642BCC">
      <w:pPr>
        <w:ind w:left="720"/>
        <w:jc w:val="both"/>
        <w:rPr>
          <w:rFonts w:ascii="Times New Roman" w:hAnsi="Times New Roman" w:cs="Times New Roman"/>
          <w:noProof/>
          <w:sz w:val="24"/>
        </w:rPr>
      </w:pPr>
      <w:r>
        <w:rPr>
          <w:rFonts w:ascii="Times New Roman" w:hAnsi="Times New Roman"/>
          <w:noProof/>
          <w:sz w:val="24"/>
        </w:rPr>
        <w:t>d) l’aptitude à rédiger les attestations, procès</w:t>
      </w:r>
      <w:r>
        <w:rPr>
          <w:rFonts w:ascii="Times New Roman" w:hAnsi="Times New Roman"/>
          <w:noProof/>
          <w:sz w:val="24"/>
        </w:rPr>
        <w:t>-verbaux et rapports qui constituent la matérialisation des évaluations effectuées.</w:t>
      </w:r>
    </w:p>
    <w:p w:rsidR="008D648A" w:rsidRDefault="00642BCC">
      <w:pPr>
        <w:jc w:val="both"/>
        <w:rPr>
          <w:rFonts w:ascii="Times New Roman" w:hAnsi="Times New Roman" w:cs="Times New Roman"/>
          <w:noProof/>
          <w:sz w:val="24"/>
        </w:rPr>
      </w:pPr>
      <w:r>
        <w:rPr>
          <w:rFonts w:ascii="Times New Roman" w:hAnsi="Times New Roman"/>
          <w:noProof/>
          <w:sz w:val="24"/>
        </w:rPr>
        <w:t>12. L’impartialité des organismes d’évaluation de la conformité, de leurs cadres supérieurs et de leur personnel effectuant l’évaluation est garantie.</w:t>
      </w:r>
    </w:p>
    <w:p w:rsidR="008D648A" w:rsidRDefault="00642BCC">
      <w:pPr>
        <w:jc w:val="both"/>
        <w:rPr>
          <w:rFonts w:ascii="Times New Roman" w:hAnsi="Times New Roman" w:cs="Times New Roman"/>
          <w:noProof/>
          <w:sz w:val="24"/>
        </w:rPr>
      </w:pPr>
      <w:r>
        <w:rPr>
          <w:rFonts w:ascii="Times New Roman" w:hAnsi="Times New Roman"/>
          <w:noProof/>
          <w:sz w:val="24"/>
        </w:rPr>
        <w:t xml:space="preserve">13. La rémunération </w:t>
      </w:r>
      <w:r>
        <w:rPr>
          <w:rFonts w:ascii="Times New Roman" w:hAnsi="Times New Roman"/>
          <w:noProof/>
          <w:sz w:val="24"/>
        </w:rPr>
        <w:t>des cadres supérieurs et du personnel chargé de l’évaluation au sein d’un organisme d’évaluation de la conformité ne dépend pas du nombre d’évaluations effectuées ni de leurs résultats.</w:t>
      </w:r>
    </w:p>
    <w:p w:rsidR="008D648A" w:rsidRDefault="00642BCC">
      <w:pPr>
        <w:jc w:val="both"/>
        <w:rPr>
          <w:rFonts w:ascii="Times New Roman" w:hAnsi="Times New Roman" w:cs="Times New Roman"/>
          <w:noProof/>
          <w:sz w:val="24"/>
        </w:rPr>
      </w:pPr>
      <w:r>
        <w:rPr>
          <w:rFonts w:ascii="Times New Roman" w:hAnsi="Times New Roman"/>
          <w:noProof/>
          <w:sz w:val="24"/>
        </w:rPr>
        <w:t>14. Les organismes d’évaluation de la conformité souscrivent une assur</w:t>
      </w:r>
      <w:r>
        <w:rPr>
          <w:rFonts w:ascii="Times New Roman" w:hAnsi="Times New Roman"/>
          <w:noProof/>
          <w:sz w:val="24"/>
        </w:rPr>
        <w:t>ance couvrant leur responsabilité civile, à moins que cette responsabilité ne soit assumée par l’État en vertu du droit national ou que l’évaluation de la conformité ne soit effectuée sous la responsabilité directe de l’État membre.</w:t>
      </w:r>
    </w:p>
    <w:p w:rsidR="008D648A" w:rsidRDefault="00642BCC">
      <w:pPr>
        <w:jc w:val="both"/>
        <w:rPr>
          <w:rFonts w:ascii="Times New Roman" w:hAnsi="Times New Roman" w:cs="Times New Roman"/>
          <w:noProof/>
          <w:sz w:val="24"/>
        </w:rPr>
      </w:pPr>
      <w:r>
        <w:rPr>
          <w:rFonts w:ascii="Times New Roman" w:hAnsi="Times New Roman"/>
          <w:noProof/>
          <w:sz w:val="24"/>
        </w:rPr>
        <w:t>15. Le personnel d’un o</w:t>
      </w:r>
      <w:r>
        <w:rPr>
          <w:rFonts w:ascii="Times New Roman" w:hAnsi="Times New Roman"/>
          <w:noProof/>
          <w:sz w:val="24"/>
        </w:rPr>
        <w:t xml:space="preserve">rganisme d’évaluation de la conformité est lié par le secret professionnel pour toutes les informations obtenues dans l’exercice de ses fonctions au titre du présent règlement ou de toute disposition de droit national lui donnant effet, sauf à l’égard des </w:t>
      </w:r>
      <w:r>
        <w:rPr>
          <w:rFonts w:ascii="Times New Roman" w:hAnsi="Times New Roman"/>
          <w:noProof/>
          <w:sz w:val="24"/>
        </w:rPr>
        <w:t>autorités compétentes de l’État membre où il exerce ses activités.</w:t>
      </w:r>
    </w:p>
    <w:p w:rsidR="008D648A" w:rsidRDefault="00642BCC">
      <w:pPr>
        <w:jc w:val="both"/>
        <w:rPr>
          <w:rFonts w:ascii="Times New Roman" w:hAnsi="Times New Roman" w:cs="Times New Roman"/>
          <w:noProof/>
          <w:sz w:val="24"/>
        </w:rPr>
      </w:pPr>
      <w:r>
        <w:rPr>
          <w:rFonts w:ascii="Times New Roman" w:hAnsi="Times New Roman"/>
          <w:noProof/>
          <w:sz w:val="24"/>
        </w:rPr>
        <w:t>16. Les organismes d’évaluation de la conformité respectent les exigences de la norme EN ISO/IEC 17065:2012.</w:t>
      </w:r>
    </w:p>
    <w:p w:rsidR="008D648A" w:rsidRDefault="00642BCC">
      <w:pPr>
        <w:jc w:val="both"/>
        <w:rPr>
          <w:rFonts w:ascii="Times New Roman" w:hAnsi="Times New Roman" w:cs="Times New Roman"/>
          <w:noProof/>
          <w:sz w:val="24"/>
        </w:rPr>
      </w:pPr>
      <w:r>
        <w:rPr>
          <w:rFonts w:ascii="Times New Roman" w:hAnsi="Times New Roman"/>
          <w:noProof/>
          <w:sz w:val="24"/>
        </w:rPr>
        <w:t>17. Les organismes d’évaluation de la conformité veillent à ce que les laboratoi</w:t>
      </w:r>
      <w:r>
        <w:rPr>
          <w:rFonts w:ascii="Times New Roman" w:hAnsi="Times New Roman"/>
          <w:noProof/>
          <w:sz w:val="24"/>
        </w:rPr>
        <w:t>res d’essai auxquels il est fait appel à des fins d’évaluation de la conformité respectent les exigences de la norme EN ISO/IEC 17025:2005.</w:t>
      </w:r>
    </w:p>
    <w:sectPr w:rsidR="008D648A" w:rsidSect="00642BCC">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48A" w:rsidRDefault="00642BCC">
      <w:pPr>
        <w:spacing w:after="0" w:line="240" w:lineRule="auto"/>
      </w:pPr>
      <w:r>
        <w:separator/>
      </w:r>
    </w:p>
  </w:endnote>
  <w:endnote w:type="continuationSeparator" w:id="0">
    <w:p w:rsidR="008D648A" w:rsidRDefault="00642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BCC" w:rsidRDefault="00642B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48A" w:rsidRDefault="00642BCC">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BCC" w:rsidRDefault="00642BC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48A" w:rsidRDefault="008D648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797522"/>
      <w:docPartObj>
        <w:docPartGallery w:val="Page Numbers (Bottom of Page)"/>
        <w:docPartUnique/>
      </w:docPartObj>
    </w:sdtPr>
    <w:sdtEndPr>
      <w:rPr>
        <w:noProof/>
      </w:rPr>
    </w:sdtEndPr>
    <w:sdtContent>
      <w:p w:rsidR="00642BCC" w:rsidRDefault="00642BCC">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8D648A" w:rsidRDefault="008D648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48A" w:rsidRDefault="008D64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48A" w:rsidRDefault="00642BCC">
      <w:pPr>
        <w:spacing w:after="0" w:line="240" w:lineRule="auto"/>
      </w:pPr>
      <w:r>
        <w:separator/>
      </w:r>
    </w:p>
  </w:footnote>
  <w:footnote w:type="continuationSeparator" w:id="0">
    <w:p w:rsidR="008D648A" w:rsidRDefault="00642B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BCC" w:rsidRDefault="00642B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BCC" w:rsidRDefault="00642B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BCC" w:rsidRDefault="00642B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48A" w:rsidRDefault="008D648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48A" w:rsidRDefault="008D648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48A" w:rsidRDefault="008D64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de la "/>
    <w:docVar w:name="LW_ANNEX_NBR_FIRST" w:val="1"/>
    <w:docVar w:name="LW_ANNEX_NBR_LAST" w:val="1"/>
    <w:docVar w:name="LW_CONFIDENCE" w:val=" "/>
    <w:docVar w:name="LW_CONST_RESTREINT_UE" w:val="RESTREINT UE"/>
    <w:docVar w:name="LW_CORRIGENDUM" w:val="&lt;UNUSED&gt;"/>
    <w:docVar w:name="LW_COVERPAGE_GUID" w:val="5828222842374288BBE8CFE921307B56"/>
    <w:docVar w:name="LW_CROSSREFERENCE" w:val="{SWD(2017) 500 final}_x000b_{SWD(2017) 501 final}_x000b_{SWD(2017) 502 final}"/>
    <w:docVar w:name="LW_DocType" w:val="NORMAL"/>
    <w:docVar w:name="LW_EMISSION" w:val="13.9.2017"/>
    <w:docVar w:name="LW_EMISSION_ISODATE" w:val="2017-09-13"/>
    <w:docVar w:name="LW_EMISSION_LOCATION" w:val="BRX"/>
    <w:docVar w:name="LW_EMISSION_PREFIX" w:val="Bruxelles, le "/>
    <w:docVar w:name="LW_EMISSION_SUFFIX" w:val=" "/>
    <w:docVar w:name="LW_ID_DOCTYPE_NONLW" w:val="CP-036"/>
    <w:docVar w:name="LW_LANGUE" w:val="FR"/>
    <w:docVar w:name="LW_MARKING" w:val="&lt;EMPTY&gt;"/>
    <w:docVar w:name="LW_NOM.INST" w:val="COMMISSION EUROPÉENNE"/>
    <w:docVar w:name="LW_NOM.INST_JOINTDOC" w:val="&lt;EMPTY&gt;"/>
    <w:docVar w:name="LW_OBJETACTEPRINCIPAL.CP" w:val="relatif à l\u8217?ENISA, Agence de l'Union européenne pour la cybersécurité, et abrogeant le règlement (UE) n° 526/2013, et relatif à la certification des technologies de l\u8217?information et des communications en matière de cybersécurité (règlement sur la cybersécurité)"/>
    <w:docVar w:name="LW_PART_NBR" w:val="1"/>
    <w:docVar w:name="LW_PART_NBR_TOTAL" w:val="1"/>
    <w:docVar w:name="LW_REF.INST.NEW" w:val="COM"/>
    <w:docVar w:name="LW_REF.INST.NEW_ADOPTED" w:val="final"/>
    <w:docVar w:name="LW_REF.INST.NEW_TEXT" w:val="(2017) 477"/>
    <w:docVar w:name="LW_REF.INTERNE" w:val="&lt;UNUSED&gt;"/>
    <w:docVar w:name="LW_SUPERTITRE" w:val="&lt;UNUSED&gt;"/>
    <w:docVar w:name="LW_TITRE.OBJ.CP" w:val="&lt;UNUSED&gt;"/>
    <w:docVar w:name="LW_TYPE.DOC.CP" w:val="ANNEXE_x000b_"/>
    <w:docVar w:name="LW_TYPEACTEPRINCIPAL.CP" w:val="PROPOSITION DE RÈGLEMENT DU PARLEMENT EUROPÉEN ET DU CONSEIL"/>
  </w:docVars>
  <w:rsids>
    <w:rsidRoot w:val="008D648A"/>
    <w:rsid w:val="00642BCC"/>
    <w:rsid w:val="008D6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spacing w:before="480" w:after="0" w:line="240" w:lineRule="auto"/>
      <w:jc w:val="center"/>
      <w:outlineLvl w:val="0"/>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eastAsia="fr-FR"/>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color w:val="000000"/>
      <w:sz w:val="24"/>
      <w:szCs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color w:val="000000"/>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color w:val="000000"/>
      <w:sz w:val="24"/>
      <w:szCs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spacing w:before="480" w:after="0" w:line="240" w:lineRule="auto"/>
      <w:jc w:val="center"/>
      <w:outlineLvl w:val="0"/>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eastAsia="fr-FR"/>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color w:val="000000"/>
      <w:sz w:val="24"/>
      <w:szCs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color w:val="000000"/>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color w:val="000000"/>
      <w:sz w:val="24"/>
      <w:szCs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LEGROS Juliette (CNECT)</dc:creator>
  <cp:lastModifiedBy>WADHWANIA Nadia (MARE-EXT)</cp:lastModifiedBy>
  <cp:revision>17</cp:revision>
  <dcterms:created xsi:type="dcterms:W3CDTF">2017-08-30T11:36:00Z</dcterms:created>
  <dcterms:modified xsi:type="dcterms:W3CDTF">2017-10-11T10:20:00Z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