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69258FA2018428A98A97DC7B6FFFB89"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pStyle w:val="Text1"/>
        <w:ind w:left="0"/>
        <w:rPr>
          <w:noProof/>
        </w:rPr>
      </w:pPr>
      <w:r>
        <w:rPr>
          <w:noProof/>
        </w:rPr>
        <w:t>Настоящото предложение се отнася до решението за установяване на позицията, която да бъде заета от името на Съюза в рамките на Съвместния комитет ЕС—ЕАСТ за опростяване на формалностите при търговията със стоки (наричан по-нататък „Съвместният комитет“) във връзка с предвиденото приемане от страна на Съвместния комитет на решение за изменение на приложенията към Конвенцията от 20 май 1987 г. за опростяване на формалностите при търговия със стоки (наричана по-нататък „Конвенцията“).</w:t>
      </w:r>
    </w:p>
    <w:p>
      <w:pPr>
        <w:pStyle w:val="ManualHeading1"/>
        <w:rPr>
          <w:noProof/>
        </w:rPr>
      </w:pPr>
      <w:r>
        <w:rPr>
          <w:noProof/>
        </w:rPr>
        <w:t>2.</w:t>
      </w:r>
      <w:r>
        <w:rPr>
          <w:noProof/>
        </w:rPr>
        <w:tab/>
        <w:t>КОНТЕКСТ НА ПРЕДЛОЖЕНИЕТО</w:t>
      </w:r>
    </w:p>
    <w:p>
      <w:pPr>
        <w:pStyle w:val="ManualHeading2"/>
        <w:rPr>
          <w:rFonts w:eastAsia="Arial Unicode MS"/>
          <w:noProof/>
          <w:color w:val="000000"/>
          <w:u w:color="000000"/>
          <w:bdr w:val="nil"/>
        </w:rPr>
      </w:pPr>
      <w:r>
        <w:rPr>
          <w:noProof/>
          <w:color w:val="000000"/>
          <w:u w:color="000000"/>
          <w:bdr w:val="nil"/>
        </w:rPr>
        <w:t>2.1</w:t>
      </w:r>
      <w:r>
        <w:rPr>
          <w:noProof/>
        </w:rPr>
        <w:tab/>
      </w:r>
      <w:r>
        <w:rPr>
          <w:noProof/>
          <w:color w:val="000000"/>
          <w:u w:color="000000"/>
          <w:bdr w:val="nil"/>
        </w:rPr>
        <w:t>Конвенцията за опростяване на формалностите при търговия със стоки</w:t>
      </w:r>
    </w:p>
    <w:p>
      <w:pPr>
        <w:pStyle w:val="Text1"/>
        <w:ind w:left="0"/>
        <w:rPr>
          <w:noProof/>
        </w:rPr>
      </w:pPr>
      <w:r>
        <w:rPr>
          <w:noProof/>
        </w:rPr>
        <w:t>Конвенцията има за цел да улеснява търговията между Европейския съюз и други държави, които са договарящи страни по нея, чрез въвеждане на единен документ, изготвен въз основа на формуляр за декларация, който да служи като декларация за износ, транзит или внос. Конвенцията влезе в сила на 1 януари 1988 г.</w:t>
      </w:r>
    </w:p>
    <w:p>
      <w:pPr>
        <w:pStyle w:val="Text1"/>
        <w:ind w:left="0"/>
        <w:rPr>
          <w:noProof/>
        </w:rPr>
      </w:pPr>
      <w:r>
        <w:rPr>
          <w:noProof/>
        </w:rPr>
        <w:t>Европейският съюз е договаряща страна по Конвенцията.</w:t>
      </w:r>
    </w:p>
    <w:p>
      <w:pPr>
        <w:pStyle w:val="ManualHeading2"/>
        <w:rPr>
          <w:rFonts w:eastAsia="Arial Unicode MS"/>
          <w:noProof/>
          <w:color w:val="000000"/>
          <w:u w:color="000000"/>
          <w:bdr w:val="nil"/>
        </w:rPr>
      </w:pPr>
      <w:r>
        <w:rPr>
          <w:noProof/>
          <w:color w:val="000000"/>
          <w:u w:color="000000"/>
          <w:bdr w:val="nil"/>
        </w:rPr>
        <w:t>2.2</w:t>
      </w:r>
      <w:r>
        <w:rPr>
          <w:noProof/>
        </w:rPr>
        <w:tab/>
      </w:r>
      <w:r>
        <w:rPr>
          <w:noProof/>
          <w:color w:val="000000"/>
          <w:u w:color="000000"/>
          <w:bdr w:val="nil"/>
        </w:rPr>
        <w:t>Съвместният комитет ЕС—ЕАСТ</w:t>
      </w:r>
    </w:p>
    <w:p>
      <w:pPr>
        <w:pStyle w:val="Text1"/>
        <w:ind w:left="0"/>
        <w:rPr>
          <w:noProof/>
        </w:rPr>
      </w:pPr>
      <w:r>
        <w:rPr>
          <w:noProof/>
        </w:rPr>
        <w:t>Съвместният комитет ЕС—ЕАСТ отговаря за прилагането и правилното изпълнение на Конвенцията. Комитетът приема изменения на приложенията към Конвенцията посредством решения.</w:t>
      </w:r>
    </w:p>
    <w:p>
      <w:pPr>
        <w:pStyle w:val="Text1"/>
        <w:ind w:left="0"/>
        <w:rPr>
          <w:noProof/>
        </w:rPr>
      </w:pPr>
      <w:r>
        <w:rPr>
          <w:noProof/>
        </w:rPr>
        <w:t>Решенията на Съвместния комитет се приемат с единодушие от договарящите страни.</w:t>
      </w:r>
    </w:p>
    <w:p>
      <w:pPr>
        <w:pStyle w:val="ManualHeading2"/>
        <w:rPr>
          <w:rFonts w:eastAsia="Arial Unicode MS"/>
          <w:noProof/>
          <w:color w:val="000000"/>
          <w:u w:color="000000"/>
          <w:bdr w:val="nil"/>
        </w:rPr>
      </w:pPr>
      <w:r>
        <w:rPr>
          <w:noProof/>
          <w:color w:val="000000"/>
          <w:u w:color="000000"/>
          <w:bdr w:val="nil"/>
        </w:rPr>
        <w:t>2.3</w:t>
      </w:r>
      <w:r>
        <w:rPr>
          <w:noProof/>
        </w:rPr>
        <w:tab/>
      </w:r>
      <w:r>
        <w:rPr>
          <w:noProof/>
          <w:color w:val="000000"/>
          <w:u w:color="000000"/>
          <w:bdr w:val="nil"/>
        </w:rPr>
        <w:t>Решението на Съвместния комитет ЕС—ЕАСТ</w:t>
      </w:r>
    </w:p>
    <w:p>
      <w:pPr>
        <w:pStyle w:val="Text1"/>
        <w:ind w:left="0"/>
        <w:rPr>
          <w:noProof/>
        </w:rPr>
      </w:pPr>
      <w:r>
        <w:rPr>
          <w:noProof/>
        </w:rPr>
        <w:t>Очаква се на 5 декември 2017 г. Съвместният комитет да приеме решение за изменение на приложенията към Конвенцията по време на своето 30-то заседание.</w:t>
      </w:r>
    </w:p>
    <w:p>
      <w:pPr>
        <w:pStyle w:val="Text1"/>
        <w:ind w:left="0"/>
        <w:rPr>
          <w:noProof/>
          <w:highlight w:val="yellow"/>
        </w:rPr>
      </w:pPr>
      <w:r>
        <w:rPr>
          <w:noProof/>
        </w:rPr>
        <w:t>Конвенцията за опростяване на формалностите при търговия със стоки разширява използването на единния административен документ и данните, необходими за целите на различните митнически режими, като включва договарящите страни по Конвенцията, които не са държави — членки на Съюза.</w:t>
      </w:r>
    </w:p>
    <w:p>
      <w:pPr>
        <w:pStyle w:val="Text1"/>
        <w:ind w:left="0"/>
        <w:rPr>
          <w:noProof/>
        </w:rPr>
      </w:pPr>
      <w:r>
        <w:rPr>
          <w:noProof/>
        </w:rPr>
        <w:t xml:space="preserve">Разпоредбите на правния пакет за МКС, свързани с данните, ще започнат да се прилагат след 1 май 2016 г., като се има предвид необходимостта от модернизиране или въвеждане в експлоатация на съответните трансевропейски и национални електронни системи, за което се предвижда да бъде завършено в следващите няколко години, както и искането на икономическите оператори да разполагат с достатъчно време, за да се подготвят за новите правила и да пригодят съответно своите митнически системи. </w:t>
      </w:r>
    </w:p>
    <w:p>
      <w:pPr>
        <w:pStyle w:val="Text1"/>
        <w:ind w:left="0"/>
        <w:rPr>
          <w:noProof/>
        </w:rPr>
      </w:pPr>
      <w:r>
        <w:rPr>
          <w:noProof/>
        </w:rPr>
        <w:t>Поради това, с цел и на договарящите страни по Конвенцията, които не са държави — членки на Съюза, да бъде отпуснато достатъчно време, за да се подготвят за прилагането на изменените разпоредби и изисквания за данните, когато те станат напълно приложими по митническото законодателство на Съюза, Конвенцията трябва да бъде изменена, така че да стане напълно съвместима с правния пакет за МКС.</w:t>
      </w:r>
    </w:p>
    <w:p>
      <w:pPr>
        <w:pStyle w:val="Text1"/>
        <w:ind w:left="0"/>
        <w:rPr>
          <w:noProof/>
        </w:rPr>
      </w:pPr>
      <w:r>
        <w:rPr>
          <w:noProof/>
        </w:rPr>
        <w:t>Процесът по установяване на обща позиция на ЕС по проекта на решение относно измененията на Конвенцията за опростяване на формалностите при търговия със стоки следва да бъде сравнително безпроблемен, тъй като те се основават на правилата на ЕС, по които държавите членки са постигнали съгласие и които са включени в МКС, който влезе в сила на 1 май 2016 г.</w:t>
      </w:r>
    </w:p>
    <w:p>
      <w:pPr>
        <w:pStyle w:val="Text1"/>
        <w:ind w:left="0"/>
        <w:rPr>
          <w:noProof/>
        </w:rPr>
      </w:pPr>
      <w:r>
        <w:rPr>
          <w:noProof/>
        </w:rPr>
        <w:t>Комисията се приканва да приеме проекта на решение и да го предаде на Съвета.</w:t>
      </w:r>
    </w:p>
    <w:p>
      <w:pPr>
        <w:pStyle w:val="Text1"/>
        <w:ind w:left="0"/>
        <w:rPr>
          <w:noProof/>
        </w:rPr>
      </w:pPr>
      <w:r>
        <w:rPr>
          <w:noProof/>
        </w:rPr>
        <w:t>Решението на Съвместния комитет за изменение на Конвенцията става обвързващо за договарящите страни в съответствие с член 2 от същото решение, в който се предвижда, че „настоящото решение влиза в сила в деня на приемането му“.</w:t>
      </w:r>
    </w:p>
    <w:p>
      <w:pPr>
        <w:pStyle w:val="Text1"/>
        <w:ind w:left="0"/>
        <w:rPr>
          <w:noProof/>
        </w:rPr>
      </w:pPr>
      <w:r>
        <w:rPr>
          <w:noProof/>
        </w:rPr>
        <w:t>В съответствие с член 11, параграф 3 от Конвенцията този вид решения се привеждат в действие от договарящите страни в съответствие с тяхното законодателство.</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Изменението на Конвенцията има за цел да я приведе в съответствие с някои разпоредби на Делегирания акт и на Акта за изпълнение на МКС във връзка с общите изисквания за данните за митническите декларации, които ще станат приложими от определени дати в бъдещето. </w:t>
      </w:r>
    </w:p>
    <w:p>
      <w:pPr>
        <w:pBdr>
          <w:top w:val="nil"/>
          <w:left w:val="nil"/>
          <w:bottom w:val="nil"/>
          <w:right w:val="nil"/>
          <w:between w:val="nil"/>
          <w:bar w:val="nil"/>
        </w:pBdr>
        <w:spacing w:before="0" w:after="240"/>
        <w:rPr>
          <w:rFonts w:eastAsia="Arial Unicode MS"/>
          <w:noProof/>
        </w:rPr>
      </w:pPr>
      <w:r>
        <w:rPr>
          <w:noProof/>
        </w:rPr>
        <w:t>По този начин се цели да се подобри опростяването на формалностите при търговията със стоки между договарящите страни. Подобренията следва да доведат до съществени и осезаеми ползи за търговците и митническите администрации.</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Предложеното решение е съвместимо с общата политика в областта на търговията.</w:t>
      </w:r>
    </w:p>
    <w:p>
      <w:pPr>
        <w:pStyle w:val="ManualHeading1"/>
        <w:rPr>
          <w:noProof/>
        </w:rPr>
      </w:pPr>
      <w:r>
        <w:rPr>
          <w:noProof/>
        </w:rPr>
        <w:t>3.</w:t>
      </w:r>
      <w:r>
        <w:rPr>
          <w:noProof/>
        </w:rPr>
        <w:tab/>
        <w:t>ПОЗИЦИЯ, КОЯТО ДА БЪДЕ ЗАЕТА ОТ ИМЕТО НА СЪЮЗА</w:t>
      </w:r>
    </w:p>
    <w:p>
      <w:pPr>
        <w:rPr>
          <w:noProof/>
        </w:rPr>
      </w:pPr>
      <w:r>
        <w:rPr>
          <w:noProof/>
        </w:rPr>
        <w:t xml:space="preserve">С предложението се изменят разпоредби от приложенията към Конвенцията. Измененията предлагат привеждането в съответствие на някои разпоредби на Конвенцията с разпоредби на Делегирания акт и на Акта за изпълнение на МКС във връзка с изискванията за данните, използвани за целите на митническите декларации за внос, износ и транзит, които ще станат приложими едва на определени дати в бъдещето. </w:t>
      </w:r>
    </w:p>
    <w:p>
      <w:pPr>
        <w:rPr>
          <w:noProof/>
        </w:rPr>
      </w:pPr>
      <w:r>
        <w:rPr>
          <w:noProof/>
        </w:rPr>
        <w:t>Целта е да се поддържат хармонизирани изискванията за данните, използвани за митническите декларации, в контекста на търговията между договарящите държави. Измененията следва да доведат до съществени и осезаеми ползи за търговците и митническите администрации чрез повишаване на яснотата и осигуряване на плавен преход към новите електронни процедури.</w:t>
      </w:r>
    </w:p>
    <w:p>
      <w:pPr>
        <w:rPr>
          <w:rFonts w:eastAsia="Arial Unicode MS"/>
          <w:noProof/>
        </w:rPr>
      </w:pPr>
      <w:r>
        <w:rPr>
          <w:noProof/>
        </w:rPr>
        <w:t>Предлаган инструмент: решение на Съвместния комитет ЕС—ЕАСТ за опростяване на формалностите при търговията със стоки.</w:t>
      </w:r>
    </w:p>
    <w:p>
      <w:pPr>
        <w:rPr>
          <w:rFonts w:eastAsia="Arial Unicode MS"/>
          <w:noProof/>
        </w:rPr>
      </w:pPr>
      <w:r>
        <w:rPr>
          <w:noProof/>
        </w:rPr>
        <w:t>Няма друг по-подходящ вид нормативен акт.</w:t>
      </w:r>
    </w:p>
    <w:p>
      <w:pPr>
        <w:pStyle w:val="Text1"/>
        <w:ind w:left="0"/>
        <w:rPr>
          <w:noProof/>
        </w:rPr>
      </w:pPr>
      <w:r>
        <w:rPr>
          <w:noProof/>
        </w:rPr>
        <w:t>Предложеното решение е съвместимо с общата политика в областта на търговията и транспорта.</w:t>
      </w:r>
    </w:p>
    <w:p>
      <w:pPr>
        <w:pStyle w:val="ManualHeading1"/>
        <w:rPr>
          <w:noProof/>
        </w:rPr>
      </w:pPr>
      <w:r>
        <w:rPr>
          <w:noProof/>
        </w:rPr>
        <w:t>4.</w:t>
      </w:r>
      <w:r>
        <w:rPr>
          <w:noProof/>
        </w:rPr>
        <w:tab/>
        <w:t>ПРАВНО ОСНОВАНИЕ</w:t>
      </w:r>
    </w:p>
    <w:p>
      <w:pPr>
        <w:pStyle w:val="ManualHeading2"/>
        <w:rPr>
          <w:rFonts w:eastAsia="Arial Unicode MS"/>
          <w:noProof/>
          <w:color w:val="000000"/>
          <w:u w:color="000000"/>
          <w:bdr w:val="nil"/>
        </w:rPr>
      </w:pPr>
      <w:r>
        <w:rPr>
          <w:noProof/>
          <w:color w:val="000000"/>
          <w:u w:color="000000"/>
          <w:bdr w:val="nil"/>
        </w:rPr>
        <w:t>4.1.</w:t>
      </w:r>
      <w:r>
        <w:rPr>
          <w:noProof/>
        </w:rPr>
        <w:tab/>
      </w:r>
      <w:r>
        <w:rPr>
          <w:noProof/>
          <w:color w:val="000000"/>
          <w:u w:color="000000"/>
          <w:bdr w:val="nil"/>
        </w:rPr>
        <w:t>Процесуалноправно основание</w:t>
      </w:r>
    </w:p>
    <w:p>
      <w:pPr>
        <w:pStyle w:val="Text1"/>
        <w:ind w:left="0"/>
        <w:rPr>
          <w:i/>
          <w:noProof/>
        </w:rPr>
      </w:pPr>
      <w:r>
        <w:rPr>
          <w:i/>
          <w:noProof/>
        </w:rPr>
        <w:t>4.1.1.</w:t>
      </w:r>
      <w:r>
        <w:rPr>
          <w:noProof/>
        </w:rPr>
        <w:tab/>
      </w:r>
      <w:r>
        <w:rPr>
          <w:i/>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pBdr>
          <w:top w:val="nil"/>
          <w:left w:val="nil"/>
          <w:bottom w:val="nil"/>
          <w:right w:val="nil"/>
          <w:between w:val="nil"/>
          <w:bar w:val="nil"/>
        </w:pBdr>
        <w:spacing w:before="0" w:after="240"/>
        <w:rPr>
          <w:rFonts w:eastAsia="Arial Unicode MS"/>
          <w:noProof/>
        </w:rPr>
      </w:pPr>
      <w:r>
        <w:rPr>
          <w:noProof/>
        </w:rPr>
        <w:t>В член 11, параграф 3 от Конвенцията се посочва, че Съвместният комитет ЕС—ЕАСТ приема с решение изменения на приложенията към Конвенцията.</w:t>
      </w:r>
    </w:p>
    <w:p>
      <w:pPr>
        <w:pStyle w:val="Text1"/>
        <w:ind w:left="0"/>
        <w:rPr>
          <w:i/>
          <w:noProof/>
        </w:rPr>
      </w:pPr>
      <w:r>
        <w:rPr>
          <w:i/>
          <w:noProof/>
        </w:rPr>
        <w:t>4.2.1.</w:t>
      </w:r>
      <w:r>
        <w:rPr>
          <w:noProof/>
        </w:rPr>
        <w:tab/>
      </w:r>
      <w:r>
        <w:rPr>
          <w:i/>
          <w:noProof/>
        </w:rPr>
        <w:t>Приложение в конкретния случай</w:t>
      </w:r>
    </w:p>
    <w:p>
      <w:pPr>
        <w:rPr>
          <w:noProof/>
        </w:rPr>
      </w:pPr>
      <w:r>
        <w:rPr>
          <w:noProof/>
        </w:rPr>
        <w:t>Съвместният комитет е орган, създаден по силата на член 10 от Конвенцията.</w:t>
      </w:r>
    </w:p>
    <w:p>
      <w:pPr>
        <w:rPr>
          <w:noProof/>
        </w:rPr>
      </w:pPr>
      <w:r>
        <w:rPr>
          <w:noProof/>
        </w:rPr>
        <w:t>Решението, което Съвместният комитет има за задача да приеме, представлява акт с правно действие. Това решение ще бъде обвързващо съгласно международното право в съответствие с член 15 от Конвенцията.</w:t>
      </w:r>
    </w:p>
    <w:p>
      <w:pPr>
        <w:rPr>
          <w:noProof/>
        </w:rPr>
      </w:pPr>
      <w:r>
        <w:rPr>
          <w:noProof/>
        </w:rPr>
        <w:t>Решението не допълва, нито изменя институционалната рамка на Конвенцията.</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rFonts w:eastAsia="Arial Unicode MS"/>
          <w:noProof/>
          <w:color w:val="000000"/>
          <w:u w:color="000000"/>
          <w:bdr w:val="nil"/>
        </w:rPr>
      </w:pPr>
      <w:r>
        <w:rPr>
          <w:noProof/>
          <w:color w:val="000000"/>
          <w:u w:color="000000"/>
          <w:bdr w:val="nil"/>
        </w:rPr>
        <w:t>4.2.</w:t>
      </w:r>
      <w:r>
        <w:rPr>
          <w:noProof/>
        </w:rPr>
        <w:tab/>
      </w:r>
      <w:r>
        <w:rPr>
          <w:noProof/>
          <w:color w:val="000000"/>
          <w:u w:color="000000"/>
          <w:bdr w:val="nil"/>
        </w:rPr>
        <w:t>Материалноправно основание</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w:t>
      </w:r>
    </w:p>
    <w:p>
      <w:pPr>
        <w:rPr>
          <w:noProof/>
        </w:rPr>
      </w:pPr>
      <w:r>
        <w:rPr>
          <w:noProof/>
        </w:rPr>
        <w:t>Поради това материалноправното основание за предложеното решение е член 207 от ДФЕС.</w:t>
      </w:r>
    </w:p>
    <w:p>
      <w:pPr>
        <w:pStyle w:val="ManualHeading2"/>
        <w:tabs>
          <w:tab w:val="clear" w:pos="850"/>
        </w:tabs>
        <w:ind w:left="0" w:firstLine="0"/>
        <w:rPr>
          <w:rFonts w:eastAsia="Arial Unicode MS"/>
          <w:noProof/>
          <w:u w:color="000000"/>
          <w:bdr w:val="nil"/>
        </w:rPr>
      </w:pPr>
      <w:r>
        <w:rPr>
          <w:b w:val="0"/>
          <w:noProof/>
        </w:rPr>
        <w:t>Опростяванията, постигнати благодарение на Конвенцията, и предвижданото изменение засягат ефикасните митнически формалности и съответно общата търговска политика на ЕС.</w:t>
      </w:r>
    </w:p>
    <w:p>
      <w:pPr>
        <w:pStyle w:val="ManualHeading2"/>
        <w:rPr>
          <w:rFonts w:eastAsia="Arial Unicode MS"/>
          <w:noProof/>
          <w:color w:val="000000"/>
          <w:u w:color="000000"/>
          <w:bdr w:val="nil"/>
        </w:rPr>
      </w:pPr>
      <w:r>
        <w:rPr>
          <w:noProof/>
          <w:color w:val="000000"/>
          <w:u w:color="000000"/>
          <w:bdr w:val="nil"/>
        </w:rPr>
        <w:t>4.3.</w:t>
      </w:r>
      <w:r>
        <w:rPr>
          <w:noProof/>
        </w:rPr>
        <w:tab/>
      </w:r>
      <w:r>
        <w:rPr>
          <w:noProof/>
          <w:color w:val="000000"/>
          <w:u w:color="000000"/>
          <w:bdr w:val="nil"/>
        </w:rPr>
        <w:t>Заключения</w:t>
      </w:r>
    </w:p>
    <w:p>
      <w:pPr>
        <w:rPr>
          <w:rFonts w:eastAsia="Arial Unicode MS"/>
          <w:noProof/>
          <w:u w:color="000000"/>
          <w:bdr w:val="nil"/>
        </w:rPr>
      </w:pPr>
      <w:r>
        <w:rPr>
          <w:noProof/>
        </w:rPr>
        <w:t>Правното основание за предложеното решение следва да бъде член 207 от ДФЕС във връзка с член 218, параграф 9 от ДФЕС.</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2017/0258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заета от името на Европейския съюз в рамките на Съвместния комитет, създаден по силата на Конвенцията от 20 май 1987 г. за опростяване на формалностите при търговия със стоки, във връзка с предложенията за изменения на същата конвенция</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Конвенцията за опростяване на формалностите при търговия със стоки (наричана по-нататък „Конвенцията“) бе сключена от Европейския съюз с решение на Съвета</w:t>
      </w:r>
      <w:r>
        <w:rPr>
          <w:rStyle w:val="FootnoteReference"/>
          <w:noProof/>
        </w:rPr>
        <w:footnoteReference w:id="1"/>
      </w:r>
      <w:r>
        <w:rPr>
          <w:noProof/>
        </w:rPr>
        <w:t xml:space="preserve"> и влезе в сила на 1 януари 1988 г.</w:t>
      </w:r>
    </w:p>
    <w:p>
      <w:pPr>
        <w:pStyle w:val="ManualConsidrant"/>
        <w:rPr>
          <w:noProof/>
        </w:rPr>
      </w:pPr>
      <w:r>
        <w:t>(2)</w:t>
      </w:r>
      <w:r>
        <w:tab/>
      </w:r>
      <w:r>
        <w:rPr>
          <w:noProof/>
        </w:rPr>
        <w:t>Съгласно член 11, параграф 3 от Конвенцията Съвместният комитет ЕС—ЕАСТ за опростяване на формалностите при търговията със стоки, създаден по силата на същата конвенция (наричан по-нататък „Съвместният комитет“), може да приема с решение изменения на приложенията към Конвенцията.</w:t>
      </w:r>
    </w:p>
    <w:p>
      <w:pPr>
        <w:pStyle w:val="ManualConsidrant"/>
        <w:rPr>
          <w:noProof/>
        </w:rPr>
      </w:pPr>
      <w:r>
        <w:t>(3)</w:t>
      </w:r>
      <w:r>
        <w:tab/>
      </w:r>
      <w:r>
        <w:rPr>
          <w:noProof/>
        </w:rPr>
        <w:t>Очаква се на 5 декември 2017 г. Съвместният комитет да приеме решение за изменение на приложенията към Конвенцията по време на своето 30-то заседание.</w:t>
      </w:r>
    </w:p>
    <w:p>
      <w:pPr>
        <w:pStyle w:val="ManualConsidrant"/>
        <w:rPr>
          <w:noProof/>
        </w:rPr>
      </w:pPr>
      <w:r>
        <w:t>(4)</w:t>
      </w:r>
      <w:r>
        <w:tab/>
      </w:r>
      <w:r>
        <w:rPr>
          <w:noProof/>
        </w:rPr>
        <w:t>Тъй като неговото решение ще бъде обвързващо за Съюза, е целесъобразно да се определи позицията, която да бъде заета от името на Съюза в рамките на Съвместния комитет.</w:t>
      </w:r>
    </w:p>
    <w:p>
      <w:pPr>
        <w:pStyle w:val="ManualConsidrant"/>
        <w:rPr>
          <w:noProof/>
          <w:szCs w:val="24"/>
        </w:rPr>
      </w:pPr>
      <w:r>
        <w:t>(5)</w:t>
      </w:r>
      <w:r>
        <w:tab/>
      </w:r>
      <w:r>
        <w:rPr>
          <w:noProof/>
        </w:rPr>
        <w:t>Регламент (ЕС) № 952/2013 на Европейския парламент и на Съвета за създаване на Митнически кодекс на Съюза</w:t>
      </w:r>
      <w:r>
        <w:rPr>
          <w:rStyle w:val="FootnoteReference"/>
          <w:noProof/>
        </w:rPr>
        <w:footnoteReference w:id="2"/>
      </w:r>
      <w:r>
        <w:rPr>
          <w:noProof/>
        </w:rPr>
        <w:t>, неговият делегиран акт и неговият акт за изпълнение установяват общи изисквания за данните за митническите декларации, както и форматите и кодовете към тези общи изисквания за данните. Посочените разпоредби ще станат напълно приложими, когато бъдат модернизирани или въведени в експлоатация съответните електронни системи, както е предвидено в приложението към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w:t>
      </w:r>
      <w:r>
        <w:rPr>
          <w:rStyle w:val="FootnoteReference"/>
          <w:noProof/>
        </w:rPr>
        <w:footnoteReference w:id="3"/>
      </w:r>
      <w:r>
        <w:rPr>
          <w:noProof/>
        </w:rPr>
        <w:t xml:space="preserve">. </w:t>
      </w:r>
    </w:p>
    <w:p>
      <w:pPr>
        <w:pStyle w:val="ManualConsidrant"/>
        <w:rPr>
          <w:noProof/>
          <w:szCs w:val="24"/>
        </w:rPr>
      </w:pPr>
      <w:r>
        <w:t>(6)</w:t>
      </w:r>
      <w:r>
        <w:tab/>
      </w:r>
      <w:r>
        <w:rPr>
          <w:noProof/>
        </w:rPr>
        <w:t xml:space="preserve">С цел осигуряване на безпроблемното и ефикасно функциониране на търговията между Съюза и договарящите страни по Конвенцията, следва разпоредбите относно изискванията за данните за митническите декларации, съдържащи се в приложенията към Конвенцията, да бъдат приведени в съответствие с разпоредбите в съответното законодателство на Съюза. </w:t>
      </w:r>
    </w:p>
    <w:p>
      <w:pPr>
        <w:pStyle w:val="ManualConsidrant"/>
        <w:rPr>
          <w:noProof/>
          <w:szCs w:val="24"/>
        </w:rPr>
      </w:pPr>
      <w:r>
        <w:t>(7)</w:t>
      </w:r>
      <w:r>
        <w:tab/>
      </w:r>
      <w:r>
        <w:rPr>
          <w:noProof/>
        </w:rPr>
        <w:t xml:space="preserve">Всички държави — членки на Съюза, изразиха своето положително становище по предложените изменения в рамките на работната група ЕС—ЕАСТ за опростяване на формалностите при търговията със стоки. </w:t>
      </w:r>
    </w:p>
    <w:p>
      <w:pPr>
        <w:pStyle w:val="ManualConsidrant"/>
        <w:rPr>
          <w:noProof/>
          <w:szCs w:val="24"/>
        </w:rPr>
      </w:pPr>
      <w:r>
        <w:t>(8)</w:t>
      </w:r>
      <w:r>
        <w:tab/>
      </w:r>
      <w:r>
        <w:rPr>
          <w:noProof/>
        </w:rPr>
        <w:t xml:space="preserve">Тъй като решението на Съвместния комитет ще измени Конвенцията, е целесъобразно след приемането му то да бъде публикувано в </w:t>
      </w:r>
      <w:r>
        <w:rPr>
          <w:i/>
          <w:noProof/>
        </w:rPr>
        <w:t>Официален вестник на Европейския съюз</w:t>
      </w:r>
      <w:r>
        <w:rPr>
          <w:noProof/>
        </w:rPr>
        <w:t>.</w:t>
      </w:r>
    </w:p>
    <w:p>
      <w:pPr>
        <w:pStyle w:val="ManualConsidrant"/>
        <w:rPr>
          <w:noProof/>
          <w:szCs w:val="24"/>
        </w:rPr>
      </w:pPr>
      <w:r>
        <w:t>(9)</w:t>
      </w:r>
      <w:r>
        <w:tab/>
      </w:r>
      <w:r>
        <w:rPr>
          <w:noProof/>
        </w:rPr>
        <w:t>В рамките на Съвместния комитет Съюзът се представлява от Комисията в съответствие с член 17, параграф 1 от Договора за Европейския съюз (ДЕС). Поради това позицията на Съюза по отношение на предложените изменения следва да се основава на приложения проект на решение,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да бъде заета от името на Съюза по време на заседанието на Съвместния комитет относно измененията на Конвенцията, се определя в проекта на Решение № 1/2017 на Съвместния комитет, приложен към настоящото решение.</w:t>
      </w:r>
    </w:p>
    <w:p>
      <w:pPr>
        <w:rPr>
          <w:noProof/>
        </w:rPr>
      </w:pPr>
      <w:r>
        <w:rPr>
          <w:noProof/>
        </w:rPr>
        <w:t>Представителите на Съюза в Съвместния комитет могат да приемат незначителни промени в проекта на решение, без да е необходимо допълнително решение на Съвета.</w:t>
      </w:r>
    </w:p>
    <w:p>
      <w:pPr>
        <w:pStyle w:val="Titrearticle"/>
        <w:keepNext w:val="0"/>
        <w:rPr>
          <w:noProof/>
        </w:rPr>
      </w:pPr>
      <w:r>
        <w:rPr>
          <w:noProof/>
        </w:rPr>
        <w:t>Член 2</w:t>
      </w:r>
    </w:p>
    <w:p>
      <w:pPr>
        <w:rPr>
          <w:i/>
          <w:noProof/>
        </w:rPr>
      </w:pPr>
      <w:r>
        <w:rPr>
          <w:noProof/>
        </w:rPr>
        <w:t xml:space="preserve">След като бъде прието, решението на Съвместния комитет се публикува в </w:t>
      </w:r>
      <w:r>
        <w:rPr>
          <w:i/>
          <w:noProof/>
        </w:rPr>
        <w:t>Официален вестник на Европейския съюз</w:t>
      </w:r>
      <w:r>
        <w:rPr>
          <w:noProof/>
        </w:rPr>
        <w:t>.</w:t>
      </w:r>
    </w:p>
    <w:p>
      <w:pPr>
        <w:pStyle w:val="Titrearticle"/>
        <w:rPr>
          <w:noProof/>
        </w:rPr>
      </w:pPr>
      <w:r>
        <w:rPr>
          <w:noProof/>
        </w:rPr>
        <w:t>Член 3</w:t>
      </w:r>
    </w:p>
    <w:p>
      <w:pPr>
        <w:keepLines/>
        <w:rPr>
          <w:noProof/>
        </w:rPr>
      </w:pPr>
      <w:r>
        <w:rPr>
          <w:noProof/>
        </w:rPr>
        <w:t>Адресат на настоящото решение е Комисията.</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134, 22.5.1987 г., стр. 2.</w:t>
      </w:r>
    </w:p>
  </w:footnote>
  <w:footnote w:id="2">
    <w:p>
      <w:pPr>
        <w:pStyle w:val="FootnoteText"/>
        <w:rPr>
          <w:lang w:val="pl-PL"/>
        </w:rPr>
      </w:pPr>
      <w:r>
        <w:rPr>
          <w:rStyle w:val="FootnoteReference"/>
        </w:rPr>
        <w:footnoteRef/>
      </w:r>
      <w:r>
        <w:tab/>
        <w:t>ОВ L 269, 10.10.2013 г., стр. 1.</w:t>
      </w:r>
    </w:p>
  </w:footnote>
  <w:footnote w:id="3">
    <w:p>
      <w:pPr>
        <w:pStyle w:val="FootnoteText"/>
        <w:rPr>
          <w:lang w:val="pl-PL"/>
        </w:rPr>
      </w:pPr>
      <w:r>
        <w:rPr>
          <w:rStyle w:val="FootnoteReference"/>
        </w:rPr>
        <w:footnoteRef/>
      </w:r>
      <w:r>
        <w:tab/>
        <w:t>ОВ L 99, 15.4.2016 г., стр.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82C11E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C6848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A0AC8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CB4C1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F9044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1679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BE8146C"/>
    <w:lvl w:ilvl="0">
      <w:start w:val="1"/>
      <w:numFmt w:val="decimal"/>
      <w:pStyle w:val="ListNumber"/>
      <w:lvlText w:val="%1."/>
      <w:lvlJc w:val="left"/>
      <w:pPr>
        <w:tabs>
          <w:tab w:val="num" w:pos="360"/>
        </w:tabs>
        <w:ind w:left="360" w:hanging="360"/>
      </w:pPr>
    </w:lvl>
  </w:abstractNum>
  <w:abstractNum w:abstractNumId="7">
    <w:nsid w:val="FFFFFF89"/>
    <w:multiLevelType w:val="singleLevel"/>
    <w:tmpl w:val="C6A413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3 07:50:2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7"/>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69258FA2018428A98A97DC7B6FFFB89"/>
    <w:docVar w:name="LW_CROSSREFERENCE" w:val="&lt;UNUSED&gt;"/>
    <w:docVar w:name="LW_DocType" w:val="COM"/>
    <w:docVar w:name="LW_EMISSION" w:val="13.10.2017"/>
    <w:docVar w:name="LW_EMISSION_ISODATE" w:val="2017-10-13"/>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58"/>
    <w:docVar w:name="LW_REF.II.NEW.CP_YEAR" w:val="2017"/>
    <w:docVar w:name="LW_REF.INST.NEW" w:val="COM"/>
    <w:docVar w:name="LW_REF.INST.NEW_ADOPTED" w:val="final"/>
    <w:docVar w:name="LW_REF.INST.NEW_TEXT" w:val="(2017) 593"/>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0?\u1086?\u1085?\u1074?\u1077?\u1085?\u1094?\u1080?\u1103?\u1090?\u1072? \u1086?\u1090? 20 \u1084?\u1072?\u1081? 1987 \u1075?. \u1079?\u1072? \u1086?\u1087?\u1088?\u1086?\u1089?\u1090?\u1103?\u1074?\u1072?\u1085?\u1077? \u1085?\u1072? \u1092?\u1086?\u1088?\u1084?\u1072?\u1083?\u1085?\u1086?\u1089?\u1090?\u1080?\u1090?\u1077? \u1087?\u1088?\u1080? \u1090?\u1098?\u1088?\u1075?\u1086?\u1074?\u1080?\u1103? \u1089?\u1098?\u1089? \u1089?\u1090?\u1086?\u1082?\u1080?, \u1074?\u1098?\u1074? \u1074?\u1088?\u1098?\u1079?\u1082?\u1072? \u1089? \u1087?\u1088?\u1077?\u1076?\u1083?\u1086?\u1078?\u1077?\u1085?\u1080?\u1103?\u1090?\u1072? \u1079?\u1072? \u1080?\u1079?\u1084?\u1077?\u1085?\u1077?\u1085?\u1080?\u1103? \u1085?\u1072? \u1089?\u1098?\u1097?\u1072?\u1090?\u1072? \u1082?\u1086?\u1085?\u1074?\u1077?\u1085?\u1094?\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4BAD2-263D-4BE5-A4B3-EEB7FD9F3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1574</Words>
  <Characters>9008</Characters>
  <Application>Microsoft Office Word</Application>
  <DocSecurity>0</DocSecurity>
  <Lines>176</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2017-09-12T13:47:00Z</cp:lastPrinted>
  <dcterms:created xsi:type="dcterms:W3CDTF">2017-10-12T09:29:00Z</dcterms:created>
  <dcterms:modified xsi:type="dcterms:W3CDTF">2017-10-13T05:50:00Z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