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EBE470169A549BB939A5A2515ABD8BD" style="width:450.75pt;height:497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Предложение за Решение № 1/2017 на Съвместния комитет ЕС—ЕАСТ за</w:t>
      </w:r>
      <w:r>
        <w:rPr>
          <w:b/>
          <w:noProof/>
        </w:rPr>
        <w:br/>
        <w:t>опростяване на формалностите при търговията със стоки от</w:t>
      </w:r>
      <w:r>
        <w:rPr>
          <w:b/>
          <w:noProof/>
        </w:rPr>
        <w:br/>
        <w:t>XX XXXX 2017 г.</w:t>
      </w:r>
      <w:r>
        <w:rPr>
          <w:b/>
          <w:noProof/>
        </w:rPr>
        <w:br/>
        <w:t>за изменение на Конвенцията от 20 май 1987 г. за опростяване на формалностите при търговия със стоки</w:t>
      </w:r>
    </w:p>
    <w:p>
      <w:pPr>
        <w:keepNext/>
        <w:spacing w:before="600"/>
        <w:rPr>
          <w:noProof/>
          <w:szCs w:val="24"/>
        </w:rPr>
      </w:pPr>
      <w:r>
        <w:rPr>
          <w:noProof/>
        </w:rPr>
        <w:t>СЪВМЕСТНИЯТ КОМИТЕТ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Като взе предвид Конвенцията от 20 май 1987 г. за опростяване на формалностите при търговия със стоки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и по-специално член 11, параграф 3 от нея, 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като има предвид, че: </w:t>
      </w:r>
    </w:p>
    <w:p>
      <w:pPr>
        <w:pStyle w:val="Point0number"/>
        <w:numPr>
          <w:ilvl w:val="0"/>
          <w:numId w:val="11"/>
        </w:numPr>
        <w:rPr>
          <w:noProof/>
        </w:rPr>
      </w:pPr>
      <w:r>
        <w:rPr>
          <w:noProof/>
        </w:rPr>
        <w:t>По силата на член 11, параграф 3 от Конвенцията от 20 май 1987 г. за опростяване на формалностите при търговия със стоки (наричана по-нататък „Конвенцията“) Съвместният комитет, създаден по силата на същата конвенция (наричан по-нататък „Съвместният комитет“), се оправомощава да приема с решение изменения на приложенията към Конвенцията.</w:t>
      </w:r>
    </w:p>
    <w:p>
      <w:pPr>
        <w:pStyle w:val="Point0number"/>
        <w:rPr>
          <w:noProof/>
          <w:szCs w:val="24"/>
        </w:rPr>
      </w:pPr>
      <w:r>
        <w:rPr>
          <w:noProof/>
        </w:rPr>
        <w:t>С Регламент (ЕС) № 952/2013 на Европейския парламент и на Съвета за създаване на Митнически кодекс на Съюза</w:t>
      </w:r>
      <w:r>
        <w:rPr>
          <w:rStyle w:val="FootnoteReference"/>
          <w:noProof/>
        </w:rPr>
        <w:footnoteReference w:id="2"/>
      </w:r>
      <w:r>
        <w:rPr>
          <w:noProof/>
        </w:rPr>
        <w:t>, с неговия делегиран акт и с неговия акт за изпълнение бяха въведени нови изисквания за данните в митническите декларации и бяха изменени кодовете във връзка с някои съществуващи елементи на данните. Посочените разпоредби ще станат напълно приложими в един по-късен момент, защото за тях се налага да бъдат модернизирани или въведени в експлоатация съответните електронни системи, което ще се случи съгласно предвиденото в приложението към Решение за изпълнение (ЕС) 2016/578 на Комисията от 11 април 2016 г. за създаване на работна програма относно разработването и въвеждането на електронните системи, предвидени в Митническия кодекс на Съюза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 </w:t>
      </w:r>
    </w:p>
    <w:p>
      <w:pPr>
        <w:pStyle w:val="Point0number"/>
        <w:rPr>
          <w:noProof/>
        </w:rPr>
      </w:pPr>
      <w:r>
        <w:rPr>
          <w:noProof/>
        </w:rPr>
        <w:t>С цел осигуряване на безпроблемното и ефикасно функциониране на търговията между Съюза и договарящите страни по Конвенцията, следва разпоредбите в приложенията към Конвенцията относно попълването на единния административен документ, да бъдат приведени в съответствие със съответните разпоредби в Делегирания акт и в Акта за изпълнение на МКС, които ще станат приложими едва на по-късен етап. За тази цел е наложително приложенията към Конвенцията да бъдат изменени.</w:t>
      </w:r>
    </w:p>
    <w:p>
      <w:pPr>
        <w:pStyle w:val="Point0number"/>
        <w:rPr>
          <w:noProof/>
          <w:szCs w:val="24"/>
        </w:rPr>
      </w:pPr>
      <w:r>
        <w:rPr>
          <w:noProof/>
        </w:rPr>
        <w:t>Поради това Конвенцията следва да бъде съответно изменена,</w:t>
      </w:r>
    </w:p>
    <w:p>
      <w:pPr>
        <w:keepNext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Текстът на допълнение 3 от приложение II към Конвенцията от 20 май 1987 г. за опростяване на формалностите при търговия със стоки („Конвенцията“) се изменя съгласно приложение А към настоящото решение.</w:t>
      </w:r>
    </w:p>
    <w:p>
      <w:pPr>
        <w:pStyle w:val="Point0number"/>
        <w:rPr>
          <w:noProof/>
        </w:rPr>
      </w:pPr>
      <w:r>
        <w:rPr>
          <w:noProof/>
        </w:rPr>
        <w:t xml:space="preserve">Текстът на приложение ІІІ към Конвенцията се изменя съгласно приложение Б към настоящото решение. 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keepNext/>
        <w:spacing w:after="0"/>
        <w:rPr>
          <w:noProof/>
          <w:sz w:val="22"/>
        </w:rPr>
      </w:pPr>
      <w:r>
        <w:rPr>
          <w:noProof/>
        </w:rPr>
        <w:t xml:space="preserve">Съставено в Осло на […] г. </w:t>
      </w:r>
    </w:p>
    <w:p>
      <w:pPr>
        <w:keepNext/>
        <w:tabs>
          <w:tab w:val="left" w:pos="4252"/>
        </w:tabs>
        <w:spacing w:before="720" w:after="0"/>
        <w:rPr>
          <w:i/>
          <w:noProof/>
        </w:rPr>
      </w:pPr>
      <w:r>
        <w:rPr>
          <w:i/>
          <w:noProof/>
        </w:rPr>
        <w:t>[За Съвместния комитет]</w:t>
      </w:r>
    </w:p>
    <w:p>
      <w:pPr>
        <w:tabs>
          <w:tab w:val="left" w:pos="4252"/>
        </w:tabs>
        <w:spacing w:before="0" w:after="0"/>
        <w:jc w:val="left"/>
        <w:rPr>
          <w:i/>
          <w:noProof/>
        </w:rPr>
      </w:pPr>
      <w:r>
        <w:rPr>
          <w:i/>
          <w:noProof/>
        </w:rPr>
        <w:t>Председател</w:t>
      </w:r>
    </w:p>
    <w:p>
      <w:pPr>
        <w:rPr>
          <w:noProof/>
        </w:rPr>
      </w:pPr>
    </w:p>
    <w:p>
      <w:pPr>
        <w:pStyle w:val="ListParagraph"/>
        <w:ind w:left="0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ПРИЛОЖЕНИЕ А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</w:rPr>
      </w:pPr>
    </w:p>
    <w:p>
      <w:pPr>
        <w:rPr>
          <w:noProof/>
        </w:rPr>
      </w:pPr>
      <w:r>
        <w:rPr>
          <w:noProof/>
        </w:rPr>
        <w:t>Дял II от приложение II, допълнение 3 към Конвенцията от 20 май 1987 г. за опростяване на формалностите при търговия със стоки („Конвенцията“) се изменя, както следва:</w:t>
      </w:r>
    </w:p>
    <w:p>
      <w:pPr>
        <w:pStyle w:val="Point1number"/>
        <w:rPr>
          <w:noProof/>
        </w:rPr>
      </w:pPr>
      <w:r>
        <w:rPr>
          <w:noProof/>
        </w:rPr>
        <w:t>Част I. „Формалности на държавата на износ“ се изменя, както следва:</w:t>
      </w:r>
    </w:p>
    <w:p>
      <w:pPr>
        <w:pStyle w:val="Point3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бележките към „Клетка 44: Допълнителна информация, представени документи, сертификати и разрешителни“ първото изречение се заменя, както следва:</w:t>
      </w:r>
    </w:p>
    <w:p>
      <w:pPr>
        <w:pStyle w:val="ListParagraph"/>
        <w:ind w:left="1418"/>
        <w:jc w:val="both"/>
        <w:rPr>
          <w:i/>
          <w:noProof/>
        </w:rPr>
      </w:pPr>
      <w:r>
        <w:rPr>
          <w:rFonts w:ascii="Times New Roman" w:hAnsi="Times New Roman"/>
          <w:i/>
          <w:noProof/>
        </w:rPr>
        <w:t>„Въвеждат се данните, които се изискват по силата на всякакви специални разпоредби, приложими в държавата на износ, заедно със сведенията за документите, представени в подкрепа на декларацията, или всякакви други сведения, счетени за необходими във връзка с декларацията или със стоките, обхванати от декларацията. (Това може да включва номера на лицензията/разрешителното за износ; данни във връзка с ветеринарните и фитосанитарните разпоредби; номер на товарителницата или сведения за страни, митническо учреждение или отписване на лицензии и т.н.)“.</w:t>
      </w:r>
    </w:p>
    <w:p>
      <w:pPr>
        <w:pStyle w:val="ListParagraph"/>
        <w:ind w:left="0"/>
        <w:rPr>
          <w:noProof/>
        </w:rPr>
      </w:pP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бележките към „Клетка 50: Отговорно лице и упълномощен представител, място, дата и подпис“ първата алинея се заменя, както следва:</w:t>
      </w:r>
    </w:p>
    <w:p>
      <w:pPr>
        <w:pStyle w:val="ListParagraph"/>
        <w:ind w:left="1418"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t xml:space="preserve">„Вписват се пълното име/фирма (за физическо лице или търговско дружество) и адрес на титуляря на режим транзит (отговорното лице), заедно с идентификационния номер, ако има такъв, определен от компетентните </w:t>
      </w:r>
      <w:r>
        <w:rPr>
          <w:rFonts w:ascii="Times New Roman" w:hAnsi="Times New Roman"/>
          <w:i/>
          <w:noProof/>
        </w:rPr>
        <w:lastRenderedPageBreak/>
        <w:t xml:space="preserve">органи. </w:t>
      </w:r>
      <w:r>
        <w:rPr>
          <w:noProof/>
        </w:rPr>
        <w:t xml:space="preserve"> </w:t>
      </w:r>
      <w:r>
        <w:rPr>
          <w:rFonts w:ascii="Times New Roman" w:hAnsi="Times New Roman"/>
          <w:i/>
          <w:noProof/>
        </w:rPr>
        <w:t>Когато е целесъобразно, се вписва пълното име/фирма (за физическо лице или търговско дружество) на упълномощения представител, който се подписва за сметка на титуляря на режим транзит (отговорното лице).“.</w:t>
      </w:r>
    </w:p>
    <w:p>
      <w:pPr>
        <w:pStyle w:val="ListParagraph"/>
        <w:ind w:left="0"/>
        <w:rPr>
          <w:rFonts w:ascii="Times New Roman" w:hAnsi="Times New Roman" w:cs="Times New Roman"/>
          <w:i/>
          <w:noProof/>
        </w:rPr>
      </w:pPr>
    </w:p>
    <w:p>
      <w:pPr>
        <w:pStyle w:val="Point1number"/>
        <w:rPr>
          <w:noProof/>
        </w:rPr>
      </w:pPr>
      <w:r>
        <w:rPr>
          <w:noProof/>
        </w:rPr>
        <w:t>В част III. „Митнически формалности в държавата на получаване“ бележките към „</w:t>
      </w:r>
      <w:r>
        <w:rPr>
          <w:i/>
          <w:noProof/>
        </w:rPr>
        <w:t>Клетка 44: Допълнителна информация/представени документи/сертификати и разрешителни</w:t>
      </w:r>
      <w:r>
        <w:rPr>
          <w:noProof/>
        </w:rPr>
        <w:t>“ се заменят със следния текст:</w:t>
      </w:r>
    </w:p>
    <w:p>
      <w:pPr>
        <w:spacing w:after="0"/>
        <w:ind w:left="1080"/>
        <w:rPr>
          <w:i/>
          <w:noProof/>
        </w:rPr>
      </w:pPr>
      <w:r>
        <w:rPr>
          <w:i/>
          <w:noProof/>
        </w:rPr>
        <w:t>„Въвеждат се данните, които се изискват по силата на всякакви специални разпоредби, приложими в държавата на получаване, заедно със сведенията за документите, представени в подкрепа на декларацията, или всякакви други сведения, счетени за необходими във връзка с декларацията или със стоките, обхванати от декларацията. (Това може да включва номера на лицензията/разрешителното за износ; данни във връзка с ветеринарните и фитосанитарните разпоредби; номер на товарителницата или сведения за страни, митническо учреждение или отписване на лицензии и т.н.). Когато във връзка със съответния митнически режим се изисква предоставяне на обезпечение, данните за обезпечението се вписват в тази клетка.</w:t>
      </w:r>
      <w:r>
        <w:rPr>
          <w:rFonts w:ascii="CG Times" w:hAnsi="CG Times"/>
          <w:noProof/>
          <w:sz w:val="18"/>
        </w:rPr>
        <w:t xml:space="preserve"> </w:t>
      </w:r>
      <w:r>
        <w:rPr>
          <w:i/>
          <w:noProof/>
        </w:rPr>
        <w:t>Подразделението „Допълнителна информация, код Д. И.“ не трябва да се попълва.“</w:t>
      </w:r>
    </w:p>
    <w:p>
      <w:pPr>
        <w:rPr>
          <w:rFonts w:asciiTheme="minorHAnsi" w:hAnsiTheme="minorHAnsi" w:cstheme="minorBidi"/>
          <w:noProof/>
        </w:rPr>
      </w:pPr>
    </w:p>
    <w:p>
      <w:pPr>
        <w:pStyle w:val="ListParagraph"/>
        <w:ind w:left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  <w:sz w:val="24"/>
        </w:rPr>
        <w:t>ПРИЛОЖЕНИЕ Б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</w:rPr>
      </w:pPr>
    </w:p>
    <w:p>
      <w:pPr>
        <w:rPr>
          <w:noProof/>
        </w:rPr>
      </w:pPr>
      <w:r>
        <w:rPr>
          <w:noProof/>
        </w:rPr>
        <w:t>Приложение III „Кодове, които се използват в единния документ“ към Конвенцията от 20 май 1987 г. за опростяване на формалностите при търговия със стоки се изменя, както следва:</w:t>
      </w:r>
    </w:p>
    <w:p>
      <w:pPr>
        <w:pStyle w:val="Point1number"/>
        <w:numPr>
          <w:ilvl w:val="2"/>
          <w:numId w:val="10"/>
        </w:numPr>
        <w:rPr>
          <w:noProof/>
        </w:rPr>
      </w:pPr>
      <w:r>
        <w:rPr>
          <w:noProof/>
        </w:rPr>
        <w:t>в бележките към „</w:t>
      </w:r>
      <w:r>
        <w:rPr>
          <w:i/>
          <w:noProof/>
        </w:rPr>
        <w:t>Клетка 1: Декларация</w:t>
      </w:r>
      <w:r>
        <w:rPr>
          <w:noProof/>
        </w:rPr>
        <w:t>“ текстът към първото подразделение на клетката се заменя, както следва:</w:t>
      </w:r>
    </w:p>
    <w:p>
      <w:pPr>
        <w:ind w:left="360" w:firstLine="426"/>
        <w:rPr>
          <w:noProof/>
        </w:rPr>
      </w:pPr>
      <w:r>
        <w:rPr>
          <w:noProof/>
        </w:rPr>
        <w:t>„Първо подразделение:</w:t>
      </w:r>
    </w:p>
    <w:p>
      <w:pPr>
        <w:ind w:left="360" w:firstLine="426"/>
        <w:rPr>
          <w:noProof/>
        </w:rPr>
      </w:pPr>
      <w:r>
        <w:rPr>
          <w:noProof/>
        </w:rPr>
        <w:t>Символът EU може да се използва за:</w:t>
      </w:r>
    </w:p>
    <w:p>
      <w:pPr>
        <w:ind w:left="360" w:firstLine="426"/>
        <w:rPr>
          <w:noProof/>
        </w:rPr>
      </w:pPr>
      <w:r>
        <w:rPr>
          <w:noProof/>
        </w:rPr>
        <w:t>-</w:t>
      </w:r>
      <w:r>
        <w:rPr>
          <w:noProof/>
        </w:rPr>
        <w:tab/>
        <w:t>декларация за износ в друга договаряща страна,</w:t>
      </w:r>
    </w:p>
    <w:p>
      <w:pPr>
        <w:ind w:left="360" w:firstLine="426"/>
        <w:rPr>
          <w:noProof/>
        </w:rPr>
      </w:pPr>
      <w:r>
        <w:rPr>
          <w:noProof/>
        </w:rPr>
        <w:t>-</w:t>
      </w:r>
      <w:r>
        <w:rPr>
          <w:noProof/>
        </w:rPr>
        <w:tab/>
        <w:t>декларация за внос от друга договаряща страна.“.</w:t>
      </w:r>
    </w:p>
    <w:p>
      <w:pPr>
        <w:pStyle w:val="Point1number"/>
        <w:numPr>
          <w:ilvl w:val="2"/>
          <w:numId w:val="10"/>
        </w:numPr>
        <w:rPr>
          <w:noProof/>
        </w:rPr>
      </w:pPr>
      <w:r>
        <w:rPr>
          <w:noProof/>
        </w:rPr>
        <w:t>в бележките към „</w:t>
      </w:r>
      <w:r>
        <w:rPr>
          <w:i/>
          <w:noProof/>
        </w:rPr>
        <w:t>Клетка 25: Вид транспорт на границата</w:t>
      </w:r>
      <w:r>
        <w:rPr>
          <w:noProof/>
        </w:rPr>
        <w:t>“ описанието на кодове „5“ и „9“ се заменя, както следва: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675"/>
        <w:gridCol w:w="567"/>
        <w:gridCol w:w="4961"/>
      </w:tblGrid>
      <w:tr>
        <w:tc>
          <w:tcPr>
            <w:tcW w:w="67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Б</w:t>
            </w:r>
          </w:p>
        </w:tc>
        <w:tc>
          <w:tcPr>
            <w:tcW w:w="496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Наименование</w:t>
            </w:r>
          </w:p>
        </w:tc>
      </w:tr>
      <w:tr>
        <w:tc>
          <w:tcPr>
            <w:tcW w:w="67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7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496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Поща (активното транспортно средство не е известно)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Неизвестен вид (напр. собствено задвижване)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 L 134, 22.5.1987 г., стр. 2.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 L 269, 10.10.2013 г., стр. 1.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 L 99, 15.4.2016 г., стр. 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C485D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0C0B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C28CB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F3E25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F068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17C79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C2EC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EC897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C1425A"/>
    <w:multiLevelType w:val="multilevel"/>
    <w:tmpl w:val="B31E2D62"/>
    <w:name w:val="Point2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3 07:50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8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EBE470169A549BB939A5A2515ABD8BD"/>
    <w:docVar w:name="LW_CROSSREFERENCE" w:val="&lt;UNUSED&gt;"/>
    <w:docVar w:name="LW_DocType" w:val="ANNEX"/>
    <w:docVar w:name="LW_EMISSION" w:val="13.10.2017"/>
    <w:docVar w:name="LW_EMISSION_ISODATE" w:val="2017-10-1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50?\u1086?\u1085?\u1074?\u1077?\u1085?\u1094?\u1080?\u1103?\u1090?\u1072? \u1086?\u1090? 20 \u1084?\u1072?\u1081? 1987 \u1075?. \u1079?\u1072? \u1086?\u1087?\u1088?\u1086?\u1089?\u1090?\u1103?\u1074?\u1072?\u1085?\u1077? \u1085?\u1072? \u1092?\u1086?\u1088?\u1084?\u1072?\u1083?\u1085?\u1086?\u1089?\u1090?\u1080?\u1090?\u1077? \u1087?\u1088?\u1080? \u1090?\u1098?\u1088?\u1075?\u1086?\u1074?\u1080?\u1103? \u1089?\u1098?\u1089? \u1089?\u1090?\u1086?\u1082?\u1080?, \u1074?\u1098?\u1074? \u1074?\u1088?\u1098?\u1079?\u1082?\u1072? \u1089? \u1087?\u1088?\u1077?\u1076?\u1083?\u1086?\u1078?\u1077?\u1085?\u1080?\u1103?\u1090?\u1072? \u1079?\u1072? \u1080?\u1079?\u1084?\u1077?\u1085?\u1077?\u1085?\u1080?\u1103? \u1085?\u1072? \u1089?\u1098?\u1097?\u1072?\u1090?\u1072? \u1082?\u1086?\u1085?\u1074?\u1077?\u1085?\u1094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7) 593"/>
    <w:docVar w:name="LW_REF.INTERNE" w:val="&lt;UNUSED&gt;"/>
    <w:docVar w:name="LW_SUPERTITRE" w:val="&lt;UNUSED&gt;"/>
    <w:docVar w:name="LW_TITRE.OBJ.CP" w:val="\u1055?\u1088?\u1077?\u1076?\u1083?\u1086?\u1078?\u1077?\u1085?\u1080?\u1077? \u1079?\u1072? \u1056?\u1077?\u1096?\u1077?\u1085?\u1080?\u1077? \u8470? 1/2017 \u1085?\u1072? \u1057?\u1098?\u1074?\u1084?\u1077?\u1089?\u1090?\u1085?\u1080?\u1103? \u1082?\u1086?\u1084?\u1080?\u1090?\u1077?\u1090? \u1045?\u1057?\u8212?\u1045?\u1040?\u1057?\u1058? \u1079?\u1072?_x000b_\u1086?\u1087?\u1088?\u1086?\u1089?\u1090?\u1103?\u1074?\u1072?\u1085?\u1077? \u1085?\u1072? \u1092?\u1086?\u1088?\u1084?\u1072?\u1083?\u1085?\u1086?\u1089?\u1090?\u1080?\u1090?\u1077? \u1087?\u1088?\u1080? \u1090?\u1098?\u1088?\u1075?\u1086?\u1074?\u1080?\u1103?\u1090?\u1072? \u1089?\u1098?\u1089? \u1089?\u1090?\u1086?\u1082?\u1080? \u1086?\u1090?_x000b_XX XXXX 2017 \u1075?._x000b_\u1079?\u1072? \u1080?\u1079?\u1084?\u1077?\u1085?\u1077?\u1085?\u1080?\u1077? \u1085?\u1072? \u1050?\u1086?\u1085?\u1074?\u1077?\u1085?\u1094?\u1080?\u1103?\u1090?\u1072? \u1086?\u1090? 20 \u1084?\u1072?\u1081? 1987 \u1075?. \u1079?\u1072? \u1086?\u1087?\u1088?\u1086?\u1089?\u1090?\u1103?\u1074?\u1072?\u1085?\u1077? \u1085?\u1072? \u1092?\u1086?\u1088?\u1084?\u1072?\u1083?\u1085?\u1086?\u1089?\u1090?\u1080?\u1090?\u1077? \u1087?\u1088?\u1080? \u1090?\u1098?\u1088?\u1075?\u1086?\u1074?\u1080?\u1103? \u1089?\u1098?\u1089? \u1089?\u1090?\u1086?\u1082?\u1080?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C742-CF45-4D48-9C04-F34D3C6A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848</Words>
  <Characters>4876</Characters>
  <Application>Microsoft Office Word</Application>
  <DocSecurity>0</DocSecurity>
  <Lines>121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ROYEMANS Nancy (TAXUD)</dc:creator>
  <cp:lastModifiedBy>DIGIT/A3</cp:lastModifiedBy>
  <cp:revision>7</cp:revision>
  <cp:lastPrinted>2017-09-12T13:46:00Z</cp:lastPrinted>
  <dcterms:created xsi:type="dcterms:W3CDTF">2017-09-28T09:18:00Z</dcterms:created>
  <dcterms:modified xsi:type="dcterms:W3CDTF">2017-10-13T05:50:00Z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