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D35A31C295749EF89052E92E6108C7E" style="width:450.75pt;height:483.7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b/>
          <w:noProof/>
        </w:rPr>
      </w:pPr>
      <w:bookmarkStart w:id="0" w:name="_GoBack"/>
      <w:bookmarkEnd w:id="0"/>
      <w:r>
        <w:rPr>
          <w:b/>
          <w:noProof/>
        </w:rPr>
        <w:lastRenderedPageBreak/>
        <w:t>ANNEX</w:t>
      </w:r>
    </w:p>
    <w:p>
      <w:pPr>
        <w:jc w:val="center"/>
        <w:rPr>
          <w:b/>
          <w:noProof/>
        </w:rPr>
      </w:pPr>
      <w:r>
        <w:rPr>
          <w:b/>
          <w:noProof/>
        </w:rPr>
        <w:t>Proposal for a Decision No 1/2017 of the EU-EFTA Joint Committee on the</w:t>
      </w:r>
      <w:r>
        <w:rPr>
          <w:b/>
          <w:noProof/>
        </w:rPr>
        <w:br/>
        <w:t>simplification of formalities in trade in goods of</w:t>
      </w:r>
      <w:r>
        <w:rPr>
          <w:b/>
          <w:noProof/>
        </w:rPr>
        <w:br/>
        <w:t>XX XXXX 2017</w:t>
      </w:r>
      <w:r>
        <w:rPr>
          <w:b/>
          <w:noProof/>
        </w:rPr>
        <w:br/>
        <w:t>amending the Convention of 20 May 1987 on the simplification of formalities in trade</w:t>
      </w:r>
      <w:r>
        <w:rPr>
          <w:b/>
          <w:noProof/>
        </w:rPr>
        <w:br/>
        <w:t>in goods</w:t>
      </w:r>
    </w:p>
    <w:p>
      <w:pPr>
        <w:keepNext/>
        <w:spacing w:before="600"/>
        <w:rPr>
          <w:noProof/>
          <w:szCs w:val="24"/>
        </w:rPr>
      </w:pPr>
      <w:r>
        <w:rPr>
          <w:noProof/>
          <w:szCs w:val="24"/>
        </w:rPr>
        <w:t>THE JOINT COMMITTEE</w:t>
      </w:r>
    </w:p>
    <w:p>
      <w:pPr>
        <w:spacing w:before="0" w:after="200" w:line="276" w:lineRule="auto"/>
        <w:jc w:val="left"/>
        <w:rPr>
          <w:noProof/>
          <w:szCs w:val="24"/>
        </w:rPr>
      </w:pPr>
      <w:r>
        <w:rPr>
          <w:noProof/>
          <w:szCs w:val="24"/>
        </w:rPr>
        <w:t>Having regard to the Convention of 20 May 1987 on the simplification of formalities in trade in goods</w:t>
      </w:r>
      <w:r>
        <w:rPr>
          <w:rStyle w:val="FootnoteReference"/>
          <w:noProof/>
        </w:rPr>
        <w:footnoteReference w:id="1"/>
      </w:r>
      <w:r>
        <w:rPr>
          <w:noProof/>
          <w:szCs w:val="24"/>
        </w:rPr>
        <w:t xml:space="preserve">, and in particular Article 11(3) thereof, </w:t>
      </w:r>
    </w:p>
    <w:p>
      <w:pPr>
        <w:spacing w:before="0" w:after="200" w:line="276" w:lineRule="auto"/>
        <w:jc w:val="left"/>
        <w:rPr>
          <w:noProof/>
          <w:szCs w:val="24"/>
        </w:rPr>
      </w:pPr>
      <w:r>
        <w:rPr>
          <w:noProof/>
          <w:szCs w:val="24"/>
        </w:rPr>
        <w:t xml:space="preserve">Whereas: </w:t>
      </w:r>
    </w:p>
    <w:p>
      <w:pPr>
        <w:pStyle w:val="Point0number"/>
        <w:numPr>
          <w:ilvl w:val="0"/>
          <w:numId w:val="46"/>
        </w:numPr>
        <w:rPr>
          <w:noProof/>
        </w:rPr>
      </w:pPr>
      <w:r>
        <w:rPr>
          <w:noProof/>
        </w:rPr>
        <w:t>Article 11(3) of the Convention of 20 May 1987 on the simplification of formalities in trade in goods ("the Convention") empowers the Joint Committee set up by that Convention ("the Joint Committee") to adopt by decision amendments to the Annexes to the Convention.</w:t>
      </w:r>
    </w:p>
    <w:p>
      <w:pPr>
        <w:pStyle w:val="Point0number"/>
        <w:rPr>
          <w:noProof/>
          <w:szCs w:val="24"/>
        </w:rPr>
      </w:pPr>
      <w:r>
        <w:rPr>
          <w:noProof/>
          <w:szCs w:val="24"/>
        </w:rPr>
        <w:t>Regulation (EU) No 952/2013 of the European Parliament and of the Council laying down the Union Customs Code</w:t>
      </w:r>
      <w:r>
        <w:rPr>
          <w:rStyle w:val="FootnoteReference"/>
          <w:noProof/>
        </w:rPr>
        <w:footnoteReference w:id="2"/>
      </w:r>
      <w:r>
        <w:rPr>
          <w:noProof/>
          <w:szCs w:val="24"/>
        </w:rPr>
        <w:t xml:space="preserve"> ("UCC") and its Delegated and Implementing acts introduced new data requirements in customs declarations and amended the codes in relation with certain existing data elements. Those provisions will become fully applicable at a later point in time, because they require the relevant electronic systems to be upgraded or deployed, which will take place as foreseen in the Annex to Commission Implementing Decision (EU) 2016/578 of 11 April 2016 establishing the Work Programme relating to the development and deployment of the electronic systems provided for in the Union Customs Code</w:t>
      </w:r>
      <w:r>
        <w:rPr>
          <w:rStyle w:val="FootnoteReference"/>
          <w:noProof/>
        </w:rPr>
        <w:footnoteReference w:id="3"/>
      </w:r>
      <w:r>
        <w:rPr>
          <w:noProof/>
          <w:szCs w:val="24"/>
        </w:rPr>
        <w:t xml:space="preserve">.  </w:t>
      </w:r>
    </w:p>
    <w:p>
      <w:pPr>
        <w:pStyle w:val="Point0number"/>
        <w:rPr>
          <w:noProof/>
        </w:rPr>
      </w:pPr>
      <w:r>
        <w:rPr>
          <w:noProof/>
        </w:rPr>
        <w:t xml:space="preserve">To ensure the </w:t>
      </w:r>
      <w:r>
        <w:rPr>
          <w:noProof/>
          <w:szCs w:val="24"/>
        </w:rPr>
        <w:t>smooth</w:t>
      </w:r>
      <w:r>
        <w:rPr>
          <w:noProof/>
        </w:rPr>
        <w:t>, efficient and harmonised functioning of trade between the Union and the Contracting Parties to the Convention, the provisions in the Annexes to the Convention concerning the completion of the single administrative document should be aligned with the respective provisions in the UCC Delegated and Implementing acts that will only be applicable at the later stage. For that purpose, amendments to the Annexes to the Convention are indispensable.</w:t>
      </w:r>
    </w:p>
    <w:p>
      <w:pPr>
        <w:pStyle w:val="Point0number"/>
        <w:rPr>
          <w:noProof/>
          <w:szCs w:val="24"/>
        </w:rPr>
      </w:pPr>
      <w:r>
        <w:rPr>
          <w:noProof/>
          <w:szCs w:val="24"/>
        </w:rPr>
        <w:t>Therefore, the Convention has to be amended accordingly. °</w:t>
      </w:r>
    </w:p>
    <w:p>
      <w:pPr>
        <w:keepNext/>
        <w:rPr>
          <w:noProof/>
        </w:rPr>
      </w:pPr>
      <w:r>
        <w:rPr>
          <w:noProof/>
        </w:rPr>
        <w:t xml:space="preserve">HAS ADOPTED THIS DECISION: </w:t>
      </w:r>
    </w:p>
    <w:p>
      <w:pPr>
        <w:keepNext/>
        <w:spacing w:before="360"/>
        <w:jc w:val="center"/>
        <w:rPr>
          <w:i/>
          <w:noProof/>
        </w:rPr>
      </w:pPr>
      <w:r>
        <w:rPr>
          <w:i/>
          <w:noProof/>
        </w:rPr>
        <w:t>Article 1</w:t>
      </w:r>
    </w:p>
    <w:p>
      <w:pPr>
        <w:pStyle w:val="Point0number"/>
        <w:numPr>
          <w:ilvl w:val="0"/>
          <w:numId w:val="2"/>
        </w:numPr>
        <w:rPr>
          <w:noProof/>
        </w:rPr>
      </w:pPr>
      <w:r>
        <w:rPr>
          <w:noProof/>
        </w:rPr>
        <w:t>The text of Annex II, Appendix 3 to the Convention of 20 May 1987 on the simplification of formalities in trade in goods ("the Convention") is amended as set out in Annex A to this Decision.</w:t>
      </w:r>
    </w:p>
    <w:p>
      <w:pPr>
        <w:pStyle w:val="Point0number"/>
        <w:rPr>
          <w:noProof/>
        </w:rPr>
      </w:pPr>
      <w:r>
        <w:rPr>
          <w:noProof/>
        </w:rPr>
        <w:lastRenderedPageBreak/>
        <w:t xml:space="preserve">The text of Annex III to the Convention is amended as set out in Annex B to this Decision. </w:t>
      </w:r>
    </w:p>
    <w:p>
      <w:pPr>
        <w:keepNext/>
        <w:spacing w:before="360"/>
        <w:jc w:val="center"/>
        <w:rPr>
          <w:i/>
          <w:noProof/>
        </w:rPr>
      </w:pPr>
      <w:r>
        <w:rPr>
          <w:i/>
          <w:noProof/>
        </w:rPr>
        <w:t>Article 2</w:t>
      </w:r>
    </w:p>
    <w:p>
      <w:pPr>
        <w:rPr>
          <w:noProof/>
        </w:rPr>
      </w:pPr>
      <w:r>
        <w:rPr>
          <w:noProof/>
        </w:rPr>
        <w:t>This Decision shall enter into force on the day of its adoption.</w:t>
      </w:r>
    </w:p>
    <w:p>
      <w:pPr>
        <w:keepNext/>
        <w:spacing w:after="0"/>
        <w:rPr>
          <w:noProof/>
          <w:sz w:val="22"/>
        </w:rPr>
      </w:pPr>
      <w:r>
        <w:rPr>
          <w:noProof/>
        </w:rPr>
        <w:t xml:space="preserve">Done at Oslo, </w:t>
      </w:r>
    </w:p>
    <w:p>
      <w:pPr>
        <w:keepNext/>
        <w:tabs>
          <w:tab w:val="left" w:pos="4252"/>
        </w:tabs>
        <w:spacing w:before="720" w:after="0"/>
        <w:rPr>
          <w:i/>
          <w:noProof/>
        </w:rPr>
      </w:pPr>
      <w:r>
        <w:rPr>
          <w:i/>
          <w:noProof/>
        </w:rPr>
        <w:t>For the Joint Committee</w:t>
      </w:r>
    </w:p>
    <w:p>
      <w:pPr>
        <w:tabs>
          <w:tab w:val="left" w:pos="4252"/>
        </w:tabs>
        <w:spacing w:before="0" w:after="0"/>
        <w:jc w:val="left"/>
        <w:rPr>
          <w:i/>
          <w:noProof/>
        </w:rPr>
      </w:pPr>
      <w:r>
        <w:rPr>
          <w:i/>
          <w:noProof/>
        </w:rPr>
        <w:t>The President</w:t>
      </w:r>
    </w:p>
    <w:p>
      <w:pPr>
        <w:rPr>
          <w:noProof/>
        </w:rPr>
      </w:pPr>
    </w:p>
    <w:p>
      <w:pPr>
        <w:pStyle w:val="ListParagraph"/>
        <w:ind w:left="0"/>
        <w:jc w:val="center"/>
        <w:rPr>
          <w:rFonts w:ascii="Times New Roman" w:hAnsi="Times New Roman" w:cs="Times New Roman"/>
          <w:b/>
          <w:noProof/>
          <w:sz w:val="24"/>
          <w:lang w:val="en-US"/>
        </w:rPr>
      </w:pPr>
      <w:r>
        <w:rPr>
          <w:rFonts w:ascii="Times New Roman" w:hAnsi="Times New Roman" w:cs="Times New Roman"/>
          <w:b/>
          <w:noProof/>
          <w:sz w:val="24"/>
          <w:lang w:val="en-US"/>
        </w:rPr>
        <w:t>ANNEX A</w:t>
      </w:r>
    </w:p>
    <w:p>
      <w:pPr>
        <w:pStyle w:val="ListParagraph"/>
        <w:ind w:left="0"/>
        <w:jc w:val="both"/>
        <w:rPr>
          <w:rFonts w:ascii="Times New Roman" w:hAnsi="Times New Roman" w:cs="Times New Roman"/>
          <w:noProof/>
          <w:lang w:val="en-US"/>
        </w:rPr>
      </w:pPr>
    </w:p>
    <w:p>
      <w:pPr>
        <w:rPr>
          <w:noProof/>
          <w:lang w:val="en-US"/>
        </w:rPr>
      </w:pPr>
      <w:r>
        <w:rPr>
          <w:noProof/>
          <w:lang w:val="en-US"/>
        </w:rPr>
        <w:t>Annex II, Appendix 3, Title II to the Convention of 20 May 1987 on the simplification of formalities in trade in goods is amended as follows:</w:t>
      </w:r>
    </w:p>
    <w:p>
      <w:pPr>
        <w:pStyle w:val="Point1number"/>
        <w:rPr>
          <w:noProof/>
          <w:lang w:val="en-US"/>
        </w:rPr>
      </w:pPr>
      <w:r>
        <w:rPr>
          <w:noProof/>
          <w:lang w:val="en-US"/>
        </w:rPr>
        <w:t>Part I. 'Formalities in the country of export' is amended as follows:</w:t>
      </w:r>
    </w:p>
    <w:p>
      <w:pPr>
        <w:pStyle w:val="Point3letter"/>
        <w:rPr>
          <w:noProof/>
          <w:lang w:val="en-US"/>
        </w:rPr>
      </w:pPr>
      <w:r>
        <w:rPr>
          <w:noProof/>
          <w:lang w:val="en-US"/>
        </w:rPr>
        <w:t>in the notes related to '</w:t>
      </w:r>
      <w:r>
        <w:rPr>
          <w:i/>
          <w:noProof/>
          <w:lang w:eastAsia="en-GB"/>
        </w:rPr>
        <w:t>Box 44: Additional information, documents produced, certificates and authorizations</w:t>
      </w:r>
      <w:r>
        <w:rPr>
          <w:noProof/>
          <w:lang w:eastAsia="en-GB"/>
        </w:rPr>
        <w:t>', t</w:t>
      </w:r>
      <w:r>
        <w:rPr>
          <w:noProof/>
          <w:lang w:val="en-US"/>
        </w:rPr>
        <w:t>he first sentence is replaced as follows:</w:t>
      </w:r>
    </w:p>
    <w:p>
      <w:pPr>
        <w:pStyle w:val="ListParagraph"/>
        <w:ind w:left="1418"/>
        <w:jc w:val="both"/>
        <w:rPr>
          <w:i/>
          <w:noProof/>
          <w:lang w:val="en-US"/>
        </w:rPr>
      </w:pPr>
      <w:r>
        <w:rPr>
          <w:rFonts w:ascii="Times New Roman" w:hAnsi="Times New Roman" w:cs="Times New Roman"/>
          <w:i/>
          <w:noProof/>
          <w:lang w:val="en-US"/>
        </w:rPr>
        <w:t xml:space="preserve">"Enter the details required by any specific regulations applicable in the country of export, together with the references of the documents produced in support of the declaration, or any additional reference deemed necessary in relation with the declaration or the goods covered by the declaration. </w:t>
      </w:r>
      <w:r>
        <w:rPr>
          <w:rFonts w:ascii="Times New Roman" w:hAnsi="Times New Roman" w:cs="Times New Roman"/>
          <w:i/>
          <w:noProof/>
        </w:rPr>
        <w:t>(This may include No of export licence/permit; data concerning veterinary and phytosanitary regulations; bill of lading No or reference to parties, customs office or writing-off of licences etc.)."</w:t>
      </w:r>
    </w:p>
    <w:p>
      <w:pPr>
        <w:pStyle w:val="ListParagraph"/>
        <w:ind w:left="0"/>
        <w:rPr>
          <w:noProof/>
          <w:lang w:val="en-US"/>
        </w:rPr>
      </w:pPr>
    </w:p>
    <w:p>
      <w:pPr>
        <w:pStyle w:val="Point3letter"/>
        <w:rPr>
          <w:noProof/>
          <w:lang w:val="en-US"/>
        </w:rPr>
      </w:pPr>
      <w:r>
        <w:rPr>
          <w:noProof/>
          <w:lang w:val="en-US"/>
        </w:rPr>
        <w:t>in the notes related to '</w:t>
      </w:r>
      <w:r>
        <w:rPr>
          <w:i/>
          <w:noProof/>
          <w:lang w:val="en-US"/>
        </w:rPr>
        <w:t>Box 50: Principal and authorized representative, place, date and signature</w:t>
      </w:r>
      <w:r>
        <w:rPr>
          <w:noProof/>
          <w:lang w:val="en-US"/>
        </w:rPr>
        <w:t>', the first paragraph is replaced as follows:</w:t>
      </w:r>
    </w:p>
    <w:p>
      <w:pPr>
        <w:pStyle w:val="ListParagraph"/>
        <w:ind w:left="1418"/>
        <w:jc w:val="both"/>
        <w:rPr>
          <w:rFonts w:ascii="Times New Roman" w:hAnsi="Times New Roman" w:cs="Times New Roman"/>
          <w:i/>
          <w:noProof/>
          <w:lang w:val="en-US"/>
        </w:rPr>
      </w:pPr>
      <w:r>
        <w:rPr>
          <w:rFonts w:ascii="Times New Roman" w:hAnsi="Times New Roman" w:cs="Times New Roman"/>
          <w:i/>
          <w:noProof/>
          <w:lang w:val="en-US"/>
        </w:rPr>
        <w:t>"Enter the full name (person or company) and address of the holder of the transit procedure</w:t>
      </w:r>
      <w:r>
        <w:rPr>
          <w:rFonts w:ascii="Times New Roman" w:hAnsi="Times New Roman" w:cs="Times New Roman"/>
          <w:i/>
          <w:strike/>
          <w:noProof/>
          <w:lang w:val="en-US"/>
        </w:rPr>
        <w:t xml:space="preserve"> </w:t>
      </w:r>
      <w:r>
        <w:rPr>
          <w:rFonts w:ascii="Times New Roman" w:hAnsi="Times New Roman" w:cs="Times New Roman"/>
          <w:i/>
          <w:noProof/>
          <w:lang w:val="en-US"/>
        </w:rPr>
        <w:t xml:space="preserve">(principal), together with the identification number, if any, allocated by the competent authorities. </w:t>
      </w:r>
      <w:r>
        <w:rPr>
          <w:noProof/>
          <w:lang w:val="en-US"/>
        </w:rPr>
        <w:t xml:space="preserve"> </w:t>
      </w:r>
      <w:r>
        <w:rPr>
          <w:rFonts w:ascii="Times New Roman" w:hAnsi="Times New Roman" w:cs="Times New Roman"/>
          <w:i/>
          <w:noProof/>
          <w:lang w:val="en-US"/>
        </w:rPr>
        <w:t>Where appropriate, enter the full name (person or company) of the authorised representative signing on behalf of the holder of the transit procedure (principal)."</w:t>
      </w:r>
    </w:p>
    <w:p>
      <w:pPr>
        <w:pStyle w:val="ListParagraph"/>
        <w:ind w:left="0"/>
        <w:rPr>
          <w:rFonts w:ascii="Times New Roman" w:hAnsi="Times New Roman" w:cs="Times New Roman"/>
          <w:i/>
          <w:noProof/>
          <w:lang w:val="en-US"/>
        </w:rPr>
      </w:pPr>
    </w:p>
    <w:p>
      <w:pPr>
        <w:pStyle w:val="Point1number"/>
        <w:rPr>
          <w:noProof/>
          <w:lang w:val="en-US"/>
        </w:rPr>
      </w:pPr>
      <w:r>
        <w:rPr>
          <w:noProof/>
          <w:lang w:val="en-US"/>
        </w:rPr>
        <w:t>In part III. 'Formalities in the country of destination', the notes related to '</w:t>
      </w:r>
      <w:r>
        <w:rPr>
          <w:i/>
          <w:noProof/>
          <w:lang w:val="en-US"/>
        </w:rPr>
        <w:t>Box 44: Additional information, documents produced, certificates and authorizations</w:t>
      </w:r>
      <w:r>
        <w:rPr>
          <w:noProof/>
          <w:lang w:val="en-US"/>
        </w:rPr>
        <w:t>' are replaced by the following text:</w:t>
      </w:r>
    </w:p>
    <w:p>
      <w:pPr>
        <w:spacing w:after="0"/>
        <w:ind w:left="1080"/>
        <w:rPr>
          <w:i/>
          <w:noProof/>
        </w:rPr>
      </w:pPr>
      <w:r>
        <w:rPr>
          <w:i/>
          <w:noProof/>
          <w:lang w:val="en-US"/>
        </w:rPr>
        <w:t xml:space="preserve">"Enter the details required by any specific regulations applicable in the country of destination, together with the references of the documents produced in support of the declaration, or any additional reference deemed necessary in relation with the </w:t>
      </w:r>
      <w:r>
        <w:rPr>
          <w:i/>
          <w:noProof/>
          <w:lang w:val="en-US"/>
        </w:rPr>
        <w:lastRenderedPageBreak/>
        <w:t xml:space="preserve">declaration or the goods covered by the declaration. </w:t>
      </w:r>
      <w:r>
        <w:rPr>
          <w:i/>
          <w:noProof/>
        </w:rPr>
        <w:t>(This may include No of export licence/permit; data concerning veterinary and phytosanitary regulations; bill of lading No or reference to parties, customs office or writing-off of licences etc.). In case the provision of guarantee is required in relation with the customs procedure concerned, the details of the guarantee shall be entered in this box.</w:t>
      </w:r>
      <w:r>
        <w:rPr>
          <w:rFonts w:ascii="CG Times" w:eastAsia="Times New Roman" w:hAnsi="CG Times"/>
          <w:noProof/>
          <w:sz w:val="18"/>
          <w:szCs w:val="20"/>
          <w:lang w:eastAsia="en-GB"/>
        </w:rPr>
        <w:t xml:space="preserve"> </w:t>
      </w:r>
      <w:r>
        <w:rPr>
          <w:i/>
          <w:noProof/>
          <w:lang w:val="en-US"/>
        </w:rPr>
        <w:t>The sub-division 'Additional information (A. I.) code' must not be used.</w:t>
      </w:r>
      <w:r>
        <w:rPr>
          <w:i/>
          <w:noProof/>
        </w:rPr>
        <w:t>"</w:t>
      </w:r>
    </w:p>
    <w:p>
      <w:pPr>
        <w:rPr>
          <w:rFonts w:asciiTheme="minorHAnsi" w:hAnsiTheme="minorHAnsi" w:cstheme="minorBidi"/>
          <w:noProof/>
        </w:rPr>
      </w:pPr>
    </w:p>
    <w:p>
      <w:pPr>
        <w:pStyle w:val="ListParagraph"/>
        <w:ind w:left="0"/>
        <w:jc w:val="center"/>
        <w:rPr>
          <w:rFonts w:ascii="Times New Roman" w:hAnsi="Times New Roman" w:cs="Times New Roman"/>
          <w:noProof/>
          <w:lang w:val="en-US"/>
        </w:rPr>
      </w:pPr>
      <w:r>
        <w:rPr>
          <w:rFonts w:ascii="Times New Roman" w:hAnsi="Times New Roman" w:cs="Times New Roman"/>
          <w:b/>
          <w:noProof/>
          <w:sz w:val="24"/>
          <w:lang w:val="en-US"/>
        </w:rPr>
        <w:t>ANNEX B</w:t>
      </w:r>
    </w:p>
    <w:p>
      <w:pPr>
        <w:pStyle w:val="ListParagraph"/>
        <w:ind w:left="0"/>
        <w:jc w:val="both"/>
        <w:rPr>
          <w:rFonts w:ascii="Times New Roman" w:hAnsi="Times New Roman" w:cs="Times New Roman"/>
          <w:noProof/>
          <w:lang w:val="en-US"/>
        </w:rPr>
      </w:pPr>
    </w:p>
    <w:p>
      <w:pPr>
        <w:rPr>
          <w:noProof/>
          <w:lang w:val="en-US"/>
        </w:rPr>
      </w:pPr>
      <w:r>
        <w:rPr>
          <w:noProof/>
          <w:lang w:val="en-US"/>
        </w:rPr>
        <w:t>Annex III. 'Codes to be used in the Single Document' to the Convention of 20 May 1987 on the simplification of formalities in trade in goods is amended as follows:</w:t>
      </w:r>
    </w:p>
    <w:p>
      <w:pPr>
        <w:pStyle w:val="Point1number"/>
        <w:numPr>
          <w:ilvl w:val="2"/>
          <w:numId w:val="30"/>
        </w:numPr>
        <w:rPr>
          <w:noProof/>
          <w:lang w:val="en-US"/>
        </w:rPr>
      </w:pPr>
      <w:r>
        <w:rPr>
          <w:noProof/>
          <w:lang w:val="en-US"/>
        </w:rPr>
        <w:t>in the notes related to '</w:t>
      </w:r>
      <w:r>
        <w:rPr>
          <w:rFonts w:eastAsia="Times New Roman"/>
          <w:i/>
          <w:noProof/>
          <w:lang w:eastAsia="en-GB"/>
        </w:rPr>
        <w:t>Box 1: Declaration type</w:t>
      </w:r>
      <w:r>
        <w:rPr>
          <w:rFonts w:eastAsia="Times New Roman"/>
          <w:noProof/>
          <w:lang w:eastAsia="en-GB"/>
        </w:rPr>
        <w:t>', t</w:t>
      </w:r>
      <w:r>
        <w:rPr>
          <w:noProof/>
          <w:lang w:val="en-US"/>
        </w:rPr>
        <w:t>he text related to the first sub-division of the box is replaced as follows:</w:t>
      </w:r>
    </w:p>
    <w:p>
      <w:pPr>
        <w:ind w:left="360" w:firstLine="426"/>
        <w:rPr>
          <w:noProof/>
          <w:lang w:val="en-US"/>
        </w:rPr>
      </w:pPr>
      <w:r>
        <w:rPr>
          <w:noProof/>
          <w:lang w:val="en-US"/>
        </w:rPr>
        <w:t>"First sub-division:</w:t>
      </w:r>
    </w:p>
    <w:p>
      <w:pPr>
        <w:ind w:left="360" w:firstLine="426"/>
        <w:rPr>
          <w:noProof/>
          <w:lang w:val="en-US"/>
        </w:rPr>
      </w:pPr>
      <w:r>
        <w:rPr>
          <w:noProof/>
          <w:lang w:val="en-US"/>
        </w:rPr>
        <w:t>The symbol EU may be used for:</w:t>
      </w:r>
    </w:p>
    <w:p>
      <w:pPr>
        <w:ind w:left="360" w:firstLine="426"/>
        <w:rPr>
          <w:noProof/>
          <w:lang w:val="en-US"/>
        </w:rPr>
      </w:pPr>
      <w:r>
        <w:rPr>
          <w:noProof/>
          <w:lang w:val="en-US"/>
        </w:rPr>
        <w:t>-</w:t>
      </w:r>
      <w:r>
        <w:rPr>
          <w:noProof/>
          <w:lang w:val="en-US"/>
        </w:rPr>
        <w:tab/>
        <w:t>declaration for export to another Contracting Party,</w:t>
      </w:r>
    </w:p>
    <w:p>
      <w:pPr>
        <w:ind w:left="360" w:firstLine="426"/>
        <w:rPr>
          <w:noProof/>
          <w:lang w:val="en-US"/>
        </w:rPr>
      </w:pPr>
      <w:r>
        <w:rPr>
          <w:noProof/>
          <w:lang w:val="en-US"/>
        </w:rPr>
        <w:t>-</w:t>
      </w:r>
      <w:r>
        <w:rPr>
          <w:noProof/>
          <w:lang w:val="en-US"/>
        </w:rPr>
        <w:tab/>
        <w:t>declaration for import from another Contracting Party."</w:t>
      </w:r>
    </w:p>
    <w:p>
      <w:pPr>
        <w:pStyle w:val="Point1number"/>
        <w:numPr>
          <w:ilvl w:val="2"/>
          <w:numId w:val="30"/>
        </w:numPr>
        <w:rPr>
          <w:noProof/>
          <w:lang w:val="en-US"/>
        </w:rPr>
      </w:pPr>
      <w:r>
        <w:rPr>
          <w:noProof/>
          <w:lang w:val="en-US"/>
        </w:rPr>
        <w:t>in the notes related to '</w:t>
      </w:r>
      <w:r>
        <w:rPr>
          <w:i/>
          <w:noProof/>
          <w:lang w:val="en-US"/>
        </w:rPr>
        <w:t>Box 25: Mode of transport at the border</w:t>
      </w:r>
      <w:r>
        <w:rPr>
          <w:noProof/>
          <w:lang w:val="en-US"/>
        </w:rPr>
        <w:t>', the description of the codes '5' and '9' is replaced as follows:</w:t>
      </w:r>
    </w:p>
    <w:tbl>
      <w:tblPr>
        <w:tblStyle w:val="TableGrid"/>
        <w:tblW w:w="0" w:type="auto"/>
        <w:tblInd w:w="692" w:type="dxa"/>
        <w:tblLook w:val="04A0" w:firstRow="1" w:lastRow="0" w:firstColumn="1" w:lastColumn="0" w:noHBand="0" w:noVBand="1"/>
      </w:tblPr>
      <w:tblGrid>
        <w:gridCol w:w="675"/>
        <w:gridCol w:w="567"/>
        <w:gridCol w:w="4961"/>
      </w:tblGrid>
      <w:tr>
        <w:tc>
          <w:tcPr>
            <w:tcW w:w="675" w:type="dxa"/>
          </w:tcPr>
          <w:p>
            <w:pPr>
              <w:rPr>
                <w:noProof/>
                <w:lang w:val="en-US"/>
              </w:rPr>
            </w:pPr>
            <w:r>
              <w:rPr>
                <w:noProof/>
                <w:lang w:val="en-US"/>
              </w:rPr>
              <w:t>A</w:t>
            </w:r>
          </w:p>
        </w:tc>
        <w:tc>
          <w:tcPr>
            <w:tcW w:w="567" w:type="dxa"/>
          </w:tcPr>
          <w:p>
            <w:pPr>
              <w:rPr>
                <w:noProof/>
                <w:lang w:val="en-US"/>
              </w:rPr>
            </w:pPr>
            <w:r>
              <w:rPr>
                <w:noProof/>
                <w:lang w:val="en-US"/>
              </w:rPr>
              <w:t>B</w:t>
            </w:r>
          </w:p>
        </w:tc>
        <w:tc>
          <w:tcPr>
            <w:tcW w:w="4961" w:type="dxa"/>
          </w:tcPr>
          <w:p>
            <w:pPr>
              <w:rPr>
                <w:noProof/>
                <w:lang w:val="en-US"/>
              </w:rPr>
            </w:pPr>
            <w:r>
              <w:rPr>
                <w:noProof/>
                <w:lang w:val="en-US"/>
              </w:rPr>
              <w:t>Denomination</w:t>
            </w:r>
          </w:p>
        </w:tc>
      </w:tr>
      <w:tr>
        <w:tc>
          <w:tcPr>
            <w:tcW w:w="675" w:type="dxa"/>
          </w:tcPr>
          <w:p>
            <w:pPr>
              <w:rPr>
                <w:noProof/>
                <w:lang w:val="en-US"/>
              </w:rPr>
            </w:pPr>
            <w:r>
              <w:rPr>
                <w:noProof/>
                <w:lang w:val="en-US"/>
              </w:rPr>
              <w:t>…</w:t>
            </w:r>
          </w:p>
          <w:p>
            <w:pPr>
              <w:rPr>
                <w:noProof/>
                <w:lang w:val="en-US"/>
              </w:rPr>
            </w:pPr>
            <w:r>
              <w:rPr>
                <w:noProof/>
                <w:lang w:val="en-US"/>
              </w:rPr>
              <w:t>5</w:t>
            </w:r>
          </w:p>
          <w:p>
            <w:pPr>
              <w:rPr>
                <w:noProof/>
                <w:lang w:val="en-US"/>
              </w:rPr>
            </w:pPr>
            <w:r>
              <w:rPr>
                <w:noProof/>
                <w:lang w:val="en-US"/>
              </w:rPr>
              <w:t>…</w:t>
            </w:r>
          </w:p>
          <w:p>
            <w:pPr>
              <w:rPr>
                <w:noProof/>
                <w:lang w:val="en-US"/>
              </w:rPr>
            </w:pPr>
            <w:r>
              <w:rPr>
                <w:noProof/>
                <w:lang w:val="en-US"/>
              </w:rPr>
              <w:t>9</w:t>
            </w:r>
          </w:p>
        </w:tc>
        <w:tc>
          <w:tcPr>
            <w:tcW w:w="567" w:type="dxa"/>
          </w:tcPr>
          <w:p>
            <w:pPr>
              <w:rPr>
                <w:noProof/>
                <w:lang w:val="en-US"/>
              </w:rPr>
            </w:pPr>
            <w:r>
              <w:rPr>
                <w:noProof/>
                <w:lang w:val="en-US"/>
              </w:rPr>
              <w:t>…</w:t>
            </w:r>
          </w:p>
          <w:p>
            <w:pPr>
              <w:rPr>
                <w:noProof/>
                <w:lang w:val="en-US"/>
              </w:rPr>
            </w:pPr>
            <w:r>
              <w:rPr>
                <w:noProof/>
                <w:lang w:val="en-US"/>
              </w:rPr>
              <w:t>50</w:t>
            </w:r>
          </w:p>
          <w:p>
            <w:pPr>
              <w:rPr>
                <w:noProof/>
                <w:lang w:val="en-US"/>
              </w:rPr>
            </w:pPr>
            <w:r>
              <w:rPr>
                <w:noProof/>
                <w:lang w:val="en-US"/>
              </w:rPr>
              <w:t>…</w:t>
            </w:r>
          </w:p>
          <w:p>
            <w:pPr>
              <w:rPr>
                <w:noProof/>
                <w:lang w:val="en-US"/>
              </w:rPr>
            </w:pPr>
            <w:r>
              <w:rPr>
                <w:noProof/>
                <w:lang w:val="en-US"/>
              </w:rPr>
              <w:t>90</w:t>
            </w:r>
          </w:p>
        </w:tc>
        <w:tc>
          <w:tcPr>
            <w:tcW w:w="4961" w:type="dxa"/>
          </w:tcPr>
          <w:p>
            <w:pPr>
              <w:rPr>
                <w:noProof/>
                <w:lang w:val="en-US"/>
              </w:rPr>
            </w:pPr>
            <w:r>
              <w:rPr>
                <w:noProof/>
                <w:lang w:val="en-US"/>
              </w:rPr>
              <w:t>…</w:t>
            </w:r>
          </w:p>
          <w:p>
            <w:pPr>
              <w:rPr>
                <w:noProof/>
                <w:lang w:val="en-US"/>
              </w:rPr>
            </w:pPr>
            <w:r>
              <w:rPr>
                <w:noProof/>
                <w:lang w:val="en-US"/>
              </w:rPr>
              <w:t>Mail (Active mode of transport unknown)</w:t>
            </w:r>
          </w:p>
          <w:p>
            <w:pPr>
              <w:rPr>
                <w:noProof/>
                <w:lang w:val="en-US"/>
              </w:rPr>
            </w:pPr>
            <w:r>
              <w:rPr>
                <w:noProof/>
                <w:lang w:val="en-US"/>
              </w:rPr>
              <w:t>…</w:t>
            </w:r>
          </w:p>
          <w:p>
            <w:pPr>
              <w:rPr>
                <w:noProof/>
                <w:lang w:val="en-US"/>
              </w:rPr>
            </w:pPr>
            <w:r>
              <w:rPr>
                <w:noProof/>
                <w:lang w:val="en-US"/>
              </w:rPr>
              <w:t>Mode unknown (i.e. own propulsion)</w:t>
            </w:r>
          </w:p>
        </w:tc>
      </w:tr>
    </w:tbl>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134, 22.5.1987, p. 2.</w:t>
      </w:r>
    </w:p>
  </w:footnote>
  <w:footnote w:id="2">
    <w:p>
      <w:pPr>
        <w:pStyle w:val="FootnoteText"/>
        <w:rPr>
          <w:lang w:val="pl-PL"/>
        </w:rPr>
      </w:pPr>
      <w:r>
        <w:rPr>
          <w:rStyle w:val="FootnoteReference"/>
        </w:rPr>
        <w:footnoteRef/>
      </w:r>
      <w:r>
        <w:rPr>
          <w:lang w:val="pl-PL"/>
        </w:rPr>
        <w:tab/>
        <w:t>OJ L 269, 10.10.2013, p. 1.</w:t>
      </w:r>
    </w:p>
  </w:footnote>
  <w:footnote w:id="3">
    <w:p>
      <w:pPr>
        <w:pStyle w:val="FootnoteText"/>
        <w:rPr>
          <w:lang w:val="pl-PL"/>
        </w:rPr>
      </w:pPr>
      <w:r>
        <w:rPr>
          <w:rStyle w:val="FootnoteReference"/>
        </w:rPr>
        <w:footnoteRef/>
      </w:r>
      <w:r>
        <w:rPr>
          <w:lang w:val="pl-PL"/>
        </w:rPr>
        <w:tab/>
      </w:r>
      <w:r>
        <w:rPr>
          <w:szCs w:val="24"/>
          <w:lang w:val="pl-PL"/>
        </w:rPr>
        <w:t>OJ L 99, 15.4.2016, p.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485D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0C0B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C28CB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5F3E25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F068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17C79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C2ECB6"/>
    <w:lvl w:ilvl="0">
      <w:start w:val="1"/>
      <w:numFmt w:val="decimal"/>
      <w:pStyle w:val="ListNumber"/>
      <w:lvlText w:val="%1."/>
      <w:lvlJc w:val="left"/>
      <w:pPr>
        <w:tabs>
          <w:tab w:val="num" w:pos="360"/>
        </w:tabs>
        <w:ind w:left="360" w:hanging="360"/>
      </w:pPr>
    </w:lvl>
  </w:abstractNum>
  <w:abstractNum w:abstractNumId="7">
    <w:nsid w:val="FFFFFF89"/>
    <w:multiLevelType w:val="singleLevel"/>
    <w:tmpl w:val="5EC897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EC1425A"/>
    <w:multiLevelType w:val="multilevel"/>
    <w:tmpl w:val="B31E2D62"/>
    <w:name w:val="Point2"/>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F76036B"/>
    <w:multiLevelType w:val="hybridMultilevel"/>
    <w:tmpl w:val="ABBE4A0E"/>
    <w:lvl w:ilvl="0" w:tplc="9F8C2C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86B4BA3"/>
    <w:multiLevelType w:val="hybridMultilevel"/>
    <w:tmpl w:val="4A122224"/>
    <w:lvl w:ilvl="0" w:tplc="9878AC06">
      <w:start w:val="1"/>
      <w:numFmt w:val="lowerLetter"/>
      <w:lvlText w:val="(%1)"/>
      <w:lvlJc w:val="left"/>
      <w:pPr>
        <w:ind w:left="1800" w:hanging="360"/>
      </w:pPr>
      <w:rPr>
        <w:rFonts w:hint="default"/>
      </w:rPr>
    </w:lvl>
    <w:lvl w:ilvl="1" w:tplc="9878AC06">
      <w:start w:val="1"/>
      <w:numFmt w:val="lowerLetter"/>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F620708"/>
    <w:multiLevelType w:val="hybridMultilevel"/>
    <w:tmpl w:val="6136D07C"/>
    <w:lvl w:ilvl="0" w:tplc="9F8C2C2C">
      <w:start w:val="1"/>
      <w:numFmt w:val="decimal"/>
      <w:lvlText w:val="(%1)"/>
      <w:lvlJc w:val="left"/>
      <w:pPr>
        <w:ind w:left="720" w:hanging="360"/>
      </w:pPr>
      <w:rPr>
        <w:rFonts w:hint="default"/>
      </w:rPr>
    </w:lvl>
    <w:lvl w:ilvl="1" w:tplc="C68A403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5"/>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22"/>
  </w:num>
  <w:num w:numId="12">
    <w:abstractNumId w:val="18"/>
  </w:num>
  <w:num w:numId="13">
    <w:abstractNumId w:val="13"/>
  </w:num>
  <w:num w:numId="14">
    <w:abstractNumId w:val="21"/>
  </w:num>
  <w:num w:numId="15">
    <w:abstractNumId w:val="14"/>
  </w:num>
  <w:num w:numId="16">
    <w:abstractNumId w:val="24"/>
  </w:num>
  <w:num w:numId="17">
    <w:abstractNumId w:val="12"/>
  </w:num>
  <w:num w:numId="18">
    <w:abstractNumId w:val="15"/>
  </w:num>
  <w:num w:numId="19">
    <w:abstractNumId w:val="10"/>
  </w:num>
  <w:num w:numId="20">
    <w:abstractNumId w:val="23"/>
  </w:num>
  <w:num w:numId="21">
    <w:abstractNumId w:val="9"/>
  </w:num>
  <w:num w:numId="22">
    <w:abstractNumId w:val="16"/>
  </w:num>
  <w:num w:numId="23">
    <w:abstractNumId w:val="19"/>
  </w:num>
  <w:num w:numId="24">
    <w:abstractNumId w:val="20"/>
  </w:num>
  <w:num w:numId="25">
    <w:abstractNumId w:val="11"/>
  </w:num>
  <w:num w:numId="26">
    <w:abstractNumId w:val="17"/>
  </w:num>
  <w:num w:numId="27">
    <w:abstractNumId w:val="25"/>
  </w:num>
  <w:num w:numId="28">
    <w:abstractNumId w:val="9"/>
  </w:num>
  <w:num w:numId="29">
    <w:abstractNumId w:val="8"/>
  </w:num>
  <w:num w:numId="3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1"/>
  </w:num>
  <w:num w:numId="33">
    <w:abstractNumId w:val="14"/>
  </w:num>
  <w:num w:numId="34">
    <w:abstractNumId w:val="24"/>
  </w:num>
  <w:num w:numId="35">
    <w:abstractNumId w:val="12"/>
  </w:num>
  <w:num w:numId="36">
    <w:abstractNumId w:val="15"/>
  </w:num>
  <w:num w:numId="37">
    <w:abstractNumId w:val="10"/>
  </w:num>
  <w:num w:numId="38">
    <w:abstractNumId w:val="23"/>
  </w:num>
  <w:num w:numId="39">
    <w:abstractNumId w:val="9"/>
  </w:num>
  <w:num w:numId="40">
    <w:abstractNumId w:val="16"/>
  </w:num>
  <w:num w:numId="41">
    <w:abstractNumId w:val="19"/>
  </w:num>
  <w:num w:numId="42">
    <w:abstractNumId w:val="20"/>
  </w:num>
  <w:num w:numId="43">
    <w:abstractNumId w:val="11"/>
  </w:num>
  <w:num w:numId="44">
    <w:abstractNumId w:val="17"/>
  </w:num>
  <w:num w:numId="45">
    <w:abstractNumId w:val="25"/>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8"/>
  <w:displayBackgroundShape/>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2 10:43: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8"/>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FD35A31C295749EF89052E92E6108C7E"/>
    <w:docVar w:name="LW_CROSSREFERENCE" w:val="&lt;UNUSED&gt;"/>
    <w:docVar w:name="LW_DocType" w:val="ANNEX"/>
    <w:docVar w:name="LW_EMISSION" w:val="13.10.2017"/>
    <w:docVar w:name="LW_EMISSION_ISODATE" w:val="2017-10-13"/>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position to be adopted on behalf of the European Union within the Joint Committee set up by the Convention of 20 May 1987 on the simplification of formalities in trade in goods as regard the proposals for amendments to that Convention"/>
    <w:docVar w:name="LW_PART_NBR" w:val="1"/>
    <w:docVar w:name="LW_PART_NBR_TOTAL" w:val="1"/>
    <w:docVar w:name="LW_REF.INST.NEW" w:val="COM"/>
    <w:docVar w:name="LW_REF.INST.NEW_ADOPTED" w:val="final"/>
    <w:docVar w:name="LW_REF.INST.NEW_TEXT" w:val="(2017) 593"/>
    <w:docVar w:name="LW_REF.INTERNE" w:val="&lt;UNUSED&gt;"/>
    <w:docVar w:name="LW_SUPERTITRE" w:val="&lt;UNUSED&gt;"/>
    <w:docVar w:name="LW_TITRE.OBJ.CP" w:val="Proposal for a Decision No 1/2017 of the EU-EFTA Joint Committee on the_x000b_simplification of formalities in trade in goods of_x000b_XX XXXX 2017_x000b_amending the Convention of 20 May 1987 on the simplification of formalities in trade_x000b_in goods"/>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4B4BF-C203-42AC-874B-6287E4F5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4</Pages>
  <Words>868</Words>
  <Characters>4511</Characters>
  <Application>Microsoft Office Word</Application>
  <DocSecurity>0</DocSecurity>
  <Lines>110</Lines>
  <Paragraphs>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ROYEMANS Nancy (TAXUD)</dc:creator>
  <cp:lastModifiedBy>DIGIT/A3</cp:lastModifiedBy>
  <cp:revision>12</cp:revision>
  <cp:lastPrinted>2017-09-12T13:46:00Z</cp:lastPrinted>
  <dcterms:created xsi:type="dcterms:W3CDTF">2017-09-25T09:26:00Z</dcterms:created>
  <dcterms:modified xsi:type="dcterms:W3CDTF">2017-10-12T08:43:00Z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