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1A" w:rsidRDefault="0081380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7E99B33D6249658FA65D552CB5D6A1" style="width:450.25pt;height:321.3pt">
            <v:imagedata r:id="rId9" o:title=""/>
          </v:shape>
        </w:pict>
      </w:r>
    </w:p>
    <w:bookmarkEnd w:id="0"/>
    <w:p w:rsidR="0015531A" w:rsidRDefault="0015531A">
      <w:pPr>
        <w:rPr>
          <w:noProof/>
        </w:rPr>
        <w:sectPr w:rsidR="0015531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5531A" w:rsidRDefault="0015531A">
      <w:pPr>
        <w:jc w:val="right"/>
        <w:rPr>
          <w:rFonts w:ascii="Times New Roman" w:hAnsi="Times New Roman" w:cs="Times New Roman"/>
          <w:noProof/>
          <w:sz w:val="24"/>
          <w:szCs w:val="24"/>
        </w:rPr>
      </w:pPr>
    </w:p>
    <w:p w:rsidR="0015531A" w:rsidRDefault="0081380B">
      <w:pPr>
        <w:pStyle w:val="Typedudocument"/>
        <w:rPr>
          <w:noProof/>
        </w:rPr>
      </w:pPr>
      <w:r>
        <w:rPr>
          <w:noProof/>
        </w:rPr>
        <w:t xml:space="preserve">COMMUNICATION TO THE EUROPEAN PARLIAMENT, THE COUNCIL, THE EUROPEAN CENTRAL BANK, THE EUROPEAN </w:t>
      </w:r>
      <w:r>
        <w:rPr>
          <w:noProof/>
        </w:rPr>
        <w:t>ECONOMIC AND SOCIAL COMMITTEE AND THE COMMITTEE OF THE REGIONS</w:t>
      </w:r>
    </w:p>
    <w:p w:rsidR="0015531A" w:rsidRDefault="0081380B">
      <w:pPr>
        <w:pStyle w:val="Titreobjet"/>
        <w:rPr>
          <w:noProof/>
        </w:rPr>
      </w:pPr>
      <w:r>
        <w:rPr>
          <w:noProof/>
        </w:rPr>
        <w:t>on completing the Banking Union</w:t>
      </w:r>
    </w:p>
    <w:p w:rsidR="0015531A" w:rsidRDefault="0015531A">
      <w:pPr>
        <w:jc w:val="right"/>
        <w:rPr>
          <w:rFonts w:ascii="Times New Roman" w:hAnsi="Times New Roman" w:cs="Times New Roman"/>
          <w:noProof/>
          <w:sz w:val="24"/>
          <w:szCs w:val="24"/>
        </w:rPr>
      </w:pPr>
    </w:p>
    <w:p w:rsidR="0015531A" w:rsidRDefault="0015531A">
      <w:pPr>
        <w:jc w:val="right"/>
        <w:rPr>
          <w:rFonts w:ascii="Times New Roman" w:hAnsi="Times New Roman" w:cs="Times New Roman"/>
          <w:noProof/>
          <w:sz w:val="24"/>
          <w:szCs w:val="24"/>
        </w:rPr>
      </w:pPr>
    </w:p>
    <w:p w:rsidR="0015531A" w:rsidRDefault="0015531A">
      <w:pPr>
        <w:jc w:val="right"/>
        <w:rPr>
          <w:rFonts w:ascii="Times New Roman" w:hAnsi="Times New Roman" w:cs="Times New Roman"/>
          <w:noProof/>
          <w:sz w:val="24"/>
          <w:szCs w:val="24"/>
        </w:rPr>
      </w:pPr>
    </w:p>
    <w:p w:rsidR="0015531A" w:rsidRDefault="0015531A">
      <w:pPr>
        <w:jc w:val="right"/>
        <w:rPr>
          <w:rFonts w:ascii="Times New Roman" w:hAnsi="Times New Roman" w:cs="Times New Roman"/>
          <w:noProof/>
          <w:sz w:val="24"/>
          <w:szCs w:val="24"/>
        </w:rPr>
      </w:pPr>
    </w:p>
    <w:p w:rsidR="0015531A" w:rsidRDefault="0015531A">
      <w:pPr>
        <w:jc w:val="right"/>
        <w:rPr>
          <w:rFonts w:ascii="Times New Roman" w:hAnsi="Times New Roman" w:cs="Times New Roman"/>
          <w:noProof/>
          <w:sz w:val="24"/>
          <w:szCs w:val="24"/>
        </w:rPr>
      </w:pPr>
    </w:p>
    <w:p w:rsidR="0015531A" w:rsidRDefault="0081380B">
      <w:pPr>
        <w:jc w:val="right"/>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Democracy is about compromise. And the right compromise makes winners out of everyone in the long run. A more united Union should see compromise, not as so</w:t>
      </w:r>
      <w:r>
        <w:rPr>
          <w:rFonts w:ascii="Times New Roman" w:hAnsi="Times New Roman" w:cs="Times New Roman"/>
          <w:i/>
          <w:noProof/>
          <w:sz w:val="24"/>
          <w:szCs w:val="24"/>
        </w:rPr>
        <w:t>mething negative, but as the art of bridging differences. Democracy cannot function without compromise. Europe cannot function without compromise.</w:t>
      </w:r>
      <w:r>
        <w:rPr>
          <w:rFonts w:ascii="Times New Roman" w:hAnsi="Times New Roman" w:cs="Times New Roman"/>
          <w:noProof/>
          <w:sz w:val="24"/>
          <w:szCs w:val="24"/>
        </w:rPr>
        <w:t xml:space="preserve">" </w:t>
      </w:r>
    </w:p>
    <w:p w:rsidR="0015531A" w:rsidRDefault="0081380B">
      <w:pPr>
        <w:jc w:val="right"/>
        <w:rPr>
          <w:rFonts w:ascii="Times New Roman" w:hAnsi="Times New Roman" w:cs="Times New Roman"/>
          <w:b/>
          <w:noProof/>
          <w:sz w:val="24"/>
          <w:szCs w:val="24"/>
        </w:rPr>
      </w:pPr>
      <w:r>
        <w:rPr>
          <w:rFonts w:ascii="Times New Roman" w:hAnsi="Times New Roman" w:cs="Times New Roman"/>
          <w:noProof/>
          <w:sz w:val="24"/>
          <w:szCs w:val="24"/>
        </w:rPr>
        <w:t>Jean-Claude Juncker, State of the Union Address, 13 September 2017</w:t>
      </w:r>
      <w:r>
        <w:rPr>
          <w:rFonts w:ascii="Times New Roman" w:hAnsi="Times New Roman" w:cs="Times New Roman"/>
          <w:noProof/>
          <w:sz w:val="24"/>
          <w:szCs w:val="24"/>
        </w:rPr>
        <w:br w:type="page"/>
      </w:r>
    </w:p>
    <w:p w:rsidR="0015531A" w:rsidRDefault="0081380B">
      <w:p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1. Background and objectives</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w:t>
      </w:r>
      <w:r>
        <w:rPr>
          <w:rFonts w:ascii="Times New Roman" w:hAnsi="Times New Roman" w:cs="Times New Roman"/>
          <w:noProof/>
          <w:sz w:val="24"/>
          <w:szCs w:val="24"/>
        </w:rPr>
        <w:t>highlighted by President Juncker in his State of the Union Address on 13 September 2017,</w:t>
      </w:r>
      <w:r>
        <w:rPr>
          <w:noProof/>
          <w:vertAlign w:val="superscript"/>
        </w:rPr>
        <w:footnoteReference w:id="2"/>
      </w:r>
      <w:r>
        <w:rPr>
          <w:rFonts w:ascii="Times New Roman" w:hAnsi="Times New Roman" w:cs="Times New Roman"/>
          <w:noProof/>
          <w:sz w:val="24"/>
          <w:szCs w:val="24"/>
        </w:rPr>
        <w:t xml:space="preserve"> the Banking Union must be completed if it is to deliver its full potential as part of a strong Economic and Monetary Union (EMU). Together with the Capital Markets Un</w:t>
      </w:r>
      <w:r>
        <w:rPr>
          <w:rFonts w:ascii="Times New Roman" w:hAnsi="Times New Roman" w:cs="Times New Roman"/>
          <w:noProof/>
          <w:sz w:val="24"/>
          <w:szCs w:val="24"/>
        </w:rPr>
        <w:t>ion (CMU), a complete Banking Union will promote a stable and integrated financial system in the European Union. It will increase the resilience of the Economic and Monetary Union towards adverse shocks by substantially facilitating private risk-sharing ac</w:t>
      </w:r>
      <w:r>
        <w:rPr>
          <w:rFonts w:ascii="Times New Roman" w:hAnsi="Times New Roman" w:cs="Times New Roman"/>
          <w:noProof/>
          <w:sz w:val="24"/>
          <w:szCs w:val="24"/>
        </w:rPr>
        <w:t xml:space="preserve">ross borders, while at the same time reducing the need for public risk-sharing.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a matter on which there is broad support and consensus in the European Union. In the </w:t>
      </w:r>
      <w:r>
        <w:rPr>
          <w:rFonts w:ascii="Times New Roman" w:hAnsi="Times New Roman" w:cs="Times New Roman"/>
          <w:i/>
          <w:noProof/>
          <w:sz w:val="24"/>
          <w:szCs w:val="24"/>
        </w:rPr>
        <w:t>Conclusions on a Roadmap to complete the Banking Union</w:t>
      </w:r>
      <w:r>
        <w:rPr>
          <w:rFonts w:ascii="Times New Roman" w:hAnsi="Times New Roman" w:cs="Times New Roman"/>
          <w:noProof/>
          <w:sz w:val="24"/>
          <w:szCs w:val="24"/>
        </w:rPr>
        <w:t xml:space="preserve"> from June 2016 (hereafter t</w:t>
      </w:r>
      <w:r>
        <w:rPr>
          <w:rFonts w:ascii="Times New Roman" w:hAnsi="Times New Roman" w:cs="Times New Roman"/>
          <w:noProof/>
          <w:sz w:val="24"/>
          <w:szCs w:val="24"/>
        </w:rPr>
        <w:t xml:space="preserve">he ‘2016 Council Roadmap’) and in the </w:t>
      </w:r>
      <w:r>
        <w:rPr>
          <w:rFonts w:ascii="Times New Roman" w:hAnsi="Times New Roman" w:cs="Times New Roman"/>
          <w:i/>
          <w:noProof/>
          <w:sz w:val="24"/>
          <w:szCs w:val="24"/>
        </w:rPr>
        <w:t xml:space="preserve">Annual Report on Banking Union </w:t>
      </w:r>
      <w:r>
        <w:rPr>
          <w:rFonts w:ascii="Times New Roman" w:hAnsi="Times New Roman" w:cs="Times New Roman"/>
          <w:noProof/>
          <w:sz w:val="24"/>
          <w:szCs w:val="24"/>
        </w:rPr>
        <w:t>of March 2016</w:t>
      </w:r>
      <w:r>
        <w:rPr>
          <w:rStyle w:val="FootnoteReference"/>
          <w:rFonts w:ascii="Times New Roman" w:hAnsi="Times New Roman" w:cs="Times New Roman"/>
          <w:noProof/>
          <w:sz w:val="24"/>
          <w:szCs w:val="24"/>
        </w:rPr>
        <w:footnoteReference w:id="3"/>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both the Council and the European Parliament reaffirmed the importance of the Banking Union with a view of its completion.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now time to seize the political momentum – reflected not least by the invitation by President Tusk to the Euro Summit in an inclusive format in December – and transform this widely shared ambition into concrete action, completing the Banking Union by</w:t>
      </w:r>
      <w:r>
        <w:rPr>
          <w:rFonts w:ascii="Times New Roman" w:hAnsi="Times New Roman" w:cs="Times New Roman"/>
          <w:noProof/>
          <w:sz w:val="24"/>
          <w:szCs w:val="24"/>
        </w:rPr>
        <w:t xml:space="preserve"> 2019, as called for already by the 2015 </w:t>
      </w:r>
      <w:r>
        <w:rPr>
          <w:rFonts w:ascii="Times New Roman" w:hAnsi="Times New Roman" w:cs="Times New Roman"/>
          <w:i/>
          <w:noProof/>
          <w:sz w:val="24"/>
          <w:szCs w:val="24"/>
        </w:rPr>
        <w:t>Five Presidents Report</w:t>
      </w:r>
      <w:r>
        <w:rPr>
          <w:rStyle w:val="FootnoteReference"/>
          <w:rFonts w:ascii="Times New Roman" w:hAnsi="Times New Roman" w:cs="Times New Roman"/>
          <w:i/>
          <w:noProof/>
          <w:sz w:val="24"/>
          <w:szCs w:val="24"/>
        </w:rPr>
        <w:footnoteReference w:id="4"/>
      </w:r>
      <w:r>
        <w:rPr>
          <w:rFonts w:ascii="Times New Roman" w:hAnsi="Times New Roman" w:cs="Times New Roman"/>
          <w:noProof/>
          <w:sz w:val="24"/>
          <w:szCs w:val="24"/>
        </w:rPr>
        <w:t xml:space="preserve"> and the </w:t>
      </w:r>
      <w:r>
        <w:rPr>
          <w:rFonts w:ascii="Times New Roman" w:hAnsi="Times New Roman" w:cs="Times New Roman"/>
          <w:i/>
          <w:noProof/>
          <w:sz w:val="24"/>
          <w:szCs w:val="24"/>
        </w:rPr>
        <w:t>Reflection paper on the deepening of the Economic and Monetary Union (hereafter the ‘Economic and Monetary Union reflection paper’)</w:t>
      </w:r>
      <w:r>
        <w:rPr>
          <w:rStyle w:val="FootnoteReference"/>
          <w:rFonts w:ascii="Times New Roman" w:hAnsi="Times New Roman" w:cs="Times New Roman"/>
          <w:i/>
          <w:noProof/>
          <w:sz w:val="24"/>
          <w:szCs w:val="24"/>
        </w:rPr>
        <w:footnoteReference w:id="5"/>
      </w:r>
      <w:r>
        <w:rPr>
          <w:rFonts w:ascii="Times New Roman" w:hAnsi="Times New Roman" w:cs="Times New Roman"/>
          <w:noProof/>
          <w:sz w:val="24"/>
          <w:szCs w:val="24"/>
        </w:rPr>
        <w:t xml:space="preserv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financial and sovereign debt crises experien</w:t>
      </w:r>
      <w:r>
        <w:rPr>
          <w:rFonts w:ascii="Times New Roman" w:hAnsi="Times New Roman" w:cs="Times New Roman"/>
          <w:noProof/>
          <w:sz w:val="24"/>
          <w:szCs w:val="24"/>
        </w:rPr>
        <w:t>ced in the European Union during the last decade showed that the European Union’s incomplete economic and financial framework was not sufficient to prevent the emergence of unsustainable policies during the boom years or to allow negative shocks to be effe</w:t>
      </w:r>
      <w:r>
        <w:rPr>
          <w:rFonts w:ascii="Times New Roman" w:hAnsi="Times New Roman" w:cs="Times New Roman"/>
          <w:noProof/>
          <w:sz w:val="24"/>
          <w:szCs w:val="24"/>
        </w:rPr>
        <w:t xml:space="preserve">ctively absorbed during the subsequent macro-economic correction phase. In particular, the crises revealed the existence of undesirable links between national banking sectors and their sovereigns – the so-called doom loop. The Banking Union was created to </w:t>
      </w:r>
      <w:r>
        <w:rPr>
          <w:rFonts w:ascii="Times New Roman" w:hAnsi="Times New Roman" w:cs="Times New Roman"/>
          <w:noProof/>
          <w:sz w:val="24"/>
          <w:szCs w:val="24"/>
        </w:rPr>
        <w:t xml:space="preserve">break that link and avoid that taxpayers are first in line to bail out ailing banks. </w:t>
      </w:r>
    </w:p>
    <w:p w:rsidR="0015531A" w:rsidRDefault="0081380B">
      <w:pPr>
        <w:spacing w:line="240" w:lineRule="auto"/>
        <w:jc w:val="both"/>
        <w:rPr>
          <w:rFonts w:ascii="Times New Roman" w:hAnsi="Times New Roman"/>
          <w:noProof/>
          <w:sz w:val="24"/>
        </w:rPr>
      </w:pPr>
      <w:r>
        <w:rPr>
          <w:rFonts w:ascii="Times New Roman" w:hAnsi="Times New Roman" w:cs="Times New Roman"/>
          <w:noProof/>
          <w:sz w:val="24"/>
          <w:szCs w:val="24"/>
        </w:rPr>
        <w:t>Common supervision, crisis management and deposit insurance will allow for deeper financial integration underpinned by a stable financial system. This will reinforce fina</w:t>
      </w:r>
      <w:r>
        <w:rPr>
          <w:rFonts w:ascii="Times New Roman" w:hAnsi="Times New Roman" w:cs="Times New Roman"/>
          <w:noProof/>
          <w:sz w:val="24"/>
          <w:szCs w:val="24"/>
        </w:rPr>
        <w:t>ncial stability, both within the Member States participating in the Banking Union and in the European Union as a whole. Ultimately, a more stable banking sector will also mean greater financing opportunities for companies of all sizes and more jobs and gro</w:t>
      </w:r>
      <w:r>
        <w:rPr>
          <w:rFonts w:ascii="Times New Roman" w:hAnsi="Times New Roman" w:cs="Times New Roman"/>
          <w:noProof/>
          <w:sz w:val="24"/>
          <w:szCs w:val="24"/>
        </w:rPr>
        <w:t xml:space="preserve">wth for European citizens. Deeper financial integration is also key to provide a wider choice of services at lower prices. In order to make the benefits of integration tangible for European citizens, as set out in </w:t>
      </w:r>
      <w:r>
        <w:rPr>
          <w:rFonts w:ascii="Times New Roman" w:hAnsi="Times New Roman" w:cs="Times New Roman"/>
          <w:noProof/>
          <w:sz w:val="24"/>
          <w:szCs w:val="24"/>
        </w:rPr>
        <w:lastRenderedPageBreak/>
        <w:t>the Consumer Financial Services Action Pla</w:t>
      </w:r>
      <w:r>
        <w:rPr>
          <w:rFonts w:ascii="Times New Roman" w:hAnsi="Times New Roman" w:cs="Times New Roman"/>
          <w:noProof/>
          <w:sz w:val="24"/>
          <w:szCs w:val="24"/>
        </w:rPr>
        <w:t>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Commission is also considering to propose amendments to the Regulation on cross-border payments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to reduce charges for cross-border banking transactions in all European Union currencies.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prospect of further Member States joining the Banking Un</w:t>
      </w:r>
      <w:r>
        <w:rPr>
          <w:rFonts w:ascii="Times New Roman" w:hAnsi="Times New Roman" w:cs="Times New Roman"/>
          <w:noProof/>
          <w:sz w:val="24"/>
          <w:szCs w:val="24"/>
        </w:rPr>
        <w:t>ion and the euro area makes the completion of the Banking Union even more compelling. An Economic and Monetary Union that is stable, both economically and financially, and attractive also to other, non-participating Member States,  is a major instrument to</w:t>
      </w:r>
      <w:r>
        <w:rPr>
          <w:rFonts w:ascii="Times New Roman" w:hAnsi="Times New Roman" w:cs="Times New Roman"/>
          <w:noProof/>
          <w:sz w:val="24"/>
          <w:szCs w:val="24"/>
        </w:rPr>
        <w:t xml:space="preserve"> facilitate broader economic and financial stability, and thus achieve the European Union's objective of improving the lives of  European citizens. In this context, the Commission welcomes the discussions in Denmark, Sweden and Bulgaria about the possibili</w:t>
      </w:r>
      <w:r>
        <w:rPr>
          <w:rFonts w:ascii="Times New Roman" w:hAnsi="Times New Roman" w:cs="Times New Roman"/>
          <w:noProof/>
          <w:sz w:val="24"/>
          <w:szCs w:val="24"/>
        </w:rPr>
        <w:t>ty to join the Banking Union. To facilitate such process, all institutional and regulatory elements of the Banking Union should be put in place as rapidly as possible. Several key elements of the Banking Union are already established: First, the Single Rul</w:t>
      </w:r>
      <w:r>
        <w:rPr>
          <w:rFonts w:ascii="Times New Roman" w:hAnsi="Times New Roman" w:cs="Times New Roman"/>
          <w:noProof/>
          <w:sz w:val="24"/>
          <w:szCs w:val="24"/>
        </w:rPr>
        <w:t>ebook provides a single set of harmonised prudential rules that credit institutions must respect in the Single Market. The Banking Union is firmly anchored on this basis, which applies in all Member States. Second, all banks in the European Union are super</w:t>
      </w:r>
      <w:r>
        <w:rPr>
          <w:rFonts w:ascii="Times New Roman" w:hAnsi="Times New Roman" w:cs="Times New Roman"/>
          <w:noProof/>
          <w:sz w:val="24"/>
          <w:szCs w:val="24"/>
        </w:rPr>
        <w:t>vised according to the same standards, with the most significant banks in the euro area being centrally supervised by the European Central Bank (ECB) in its supervisory capacity in the framework of the Single Supervisory Mechanism (SSM). Third, in the case</w:t>
      </w:r>
      <w:r>
        <w:rPr>
          <w:rFonts w:ascii="Times New Roman" w:hAnsi="Times New Roman" w:cs="Times New Roman"/>
          <w:noProof/>
          <w:sz w:val="24"/>
          <w:szCs w:val="24"/>
        </w:rPr>
        <w:t xml:space="preserve"> of failure, banks can be resolved centrally and according to the same standards within the Single Resolution Mechanism (SRM), which is backed by a Single Resolution Fund (SRF). The establishment of this new architecture for the Banking Union has been acco</w:t>
      </w:r>
      <w:r>
        <w:rPr>
          <w:rFonts w:ascii="Times New Roman" w:hAnsi="Times New Roman" w:cs="Times New Roman"/>
          <w:noProof/>
          <w:sz w:val="24"/>
          <w:szCs w:val="24"/>
        </w:rPr>
        <w:t>mpanied by a comprehensive asset-quality review, stress test and recapitalisation exercises for participating banks in 2014. Thus, the institutional and regulatory framework for European banks has been fundamentally reinforced, resulting in a substantial r</w:t>
      </w:r>
      <w:r>
        <w:rPr>
          <w:rFonts w:ascii="Times New Roman" w:hAnsi="Times New Roman" w:cs="Times New Roman"/>
          <w:noProof/>
          <w:sz w:val="24"/>
          <w:szCs w:val="24"/>
        </w:rPr>
        <w:t>eduction of risks in the banking sector. During the last few years, banks' capitalisation levels have starkly increased: the reduction of the leverage across all European Union and euro area banks is possibly the clearest demonstration of the current robus</w:t>
      </w:r>
      <w:r>
        <w:rPr>
          <w:rFonts w:ascii="Times New Roman" w:hAnsi="Times New Roman" w:cs="Times New Roman"/>
          <w:noProof/>
          <w:sz w:val="24"/>
          <w:szCs w:val="24"/>
        </w:rPr>
        <w:t xml:space="preserve">tness of the banking sector and of the market buy-in to the supervisory and regulatory reforms that Europe has put forward and implemented with determination. </w:t>
      </w:r>
    </w:p>
    <w:p w:rsidR="0015531A" w:rsidRDefault="0081380B">
      <w:pPr>
        <w:spacing w:line="240" w:lineRule="auto"/>
        <w:jc w:val="center"/>
        <w:rPr>
          <w:rFonts w:ascii="Times New Roman" w:hAnsi="Times New Roman" w:cs="Times New Roman"/>
          <w:noProof/>
          <w:sz w:val="24"/>
          <w:szCs w:val="24"/>
        </w:rPr>
      </w:pPr>
      <w:r>
        <w:rPr>
          <w:noProof/>
          <w:lang w:eastAsia="en-GB"/>
        </w:rPr>
        <w:lastRenderedPageBreak/>
        <w:drawing>
          <wp:inline distT="0" distB="0" distL="0" distR="0">
            <wp:extent cx="3200400" cy="2655570"/>
            <wp:effectExtent l="0" t="0" r="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Experience to date suggests that the completed parts of the Banking Union are functioning well</w:t>
      </w:r>
      <w:r>
        <w:rPr>
          <w:rFonts w:ascii="Times New Roman" w:hAnsi="Times New Roman" w:cs="Times New Roman"/>
          <w:noProof/>
          <w:sz w:val="24"/>
          <w:szCs w:val="24"/>
        </w:rPr>
        <w:t>. Today, the Commission is publishing its first review of the Single Supervisory Mechanism, which shows that the establishment of the Single Supervisory Mechanism was overall successful. The Single Resolution Mechanism is also up and running and has succes</w:t>
      </w:r>
      <w:r>
        <w:rPr>
          <w:rFonts w:ascii="Times New Roman" w:hAnsi="Times New Roman" w:cs="Times New Roman"/>
          <w:noProof/>
          <w:sz w:val="24"/>
          <w:szCs w:val="24"/>
        </w:rPr>
        <w:t>sfully managed its first bank resolution case, with no cost for tax payers. This shows that the new system is able to manage a bank resolution efficiently and in a very short period of time, while at the same time allowing for different crisis management o</w:t>
      </w:r>
      <w:r>
        <w:rPr>
          <w:rFonts w:ascii="Times New Roman" w:hAnsi="Times New Roman" w:cs="Times New Roman"/>
          <w:noProof/>
          <w:sz w:val="24"/>
          <w:szCs w:val="24"/>
        </w:rPr>
        <w:t>ptions, as provided for in the legal framework. This allows the specific situation of individual banks to be taken into account, which is particularly important given that there are still significant legacy issues in parts of the European Union banking sec</w:t>
      </w:r>
      <w:r>
        <w:rPr>
          <w:rFonts w:ascii="Times New Roman" w:hAnsi="Times New Roman" w:cs="Times New Roman"/>
          <w:noProof/>
          <w:sz w:val="24"/>
          <w:szCs w:val="24"/>
        </w:rPr>
        <w:t xml:space="preserve">tor and not all elements of the Banking Union are fully phased in.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Experience from recent cases will help all the involved actors to further improve the practical application of the European Union rules and the functioning of the system. This concerns for</w:t>
      </w:r>
      <w:r>
        <w:rPr>
          <w:rFonts w:ascii="Times New Roman" w:hAnsi="Times New Roman" w:cs="Times New Roman"/>
          <w:noProof/>
          <w:sz w:val="24"/>
          <w:szCs w:val="24"/>
        </w:rPr>
        <w:t xml:space="preserve"> example the practical modalities of cooperation and exchanging information between all European and national bodies involved in early intervention and resolution, the procedures leading to a decision whether or not a bank is failing or likely to fail and </w:t>
      </w:r>
      <w:r>
        <w:rPr>
          <w:rFonts w:ascii="Times New Roman" w:hAnsi="Times New Roman" w:cs="Times New Roman"/>
          <w:noProof/>
          <w:sz w:val="24"/>
          <w:szCs w:val="24"/>
        </w:rPr>
        <w:t>the use of asset quality reviews in order to determine whether the conditions for a precautionary recapitalisation are met. Also of concern is the rapid build-up of adequate bail-inable liabilities (in the form of Minimum Requirement for own funds and Elig</w:t>
      </w:r>
      <w:r>
        <w:rPr>
          <w:rFonts w:ascii="Times New Roman" w:hAnsi="Times New Roman" w:cs="Times New Roman"/>
          <w:noProof/>
          <w:sz w:val="24"/>
          <w:szCs w:val="24"/>
        </w:rPr>
        <w:t>ible Liabilities – MREL), which is crucial to facilitate the resolution of non-viable distressed banks and which could be further built up in the current market conditions. Improvement also concerns the issue of ensuring that the necessary liquidity is ava</w:t>
      </w:r>
      <w:r>
        <w:rPr>
          <w:rFonts w:ascii="Times New Roman" w:hAnsi="Times New Roman" w:cs="Times New Roman"/>
          <w:noProof/>
          <w:sz w:val="24"/>
          <w:szCs w:val="24"/>
        </w:rPr>
        <w:t xml:space="preserve">ilable before, during and after resolution so as to apply, in the latter case, the most appropriate resolution tools even in the absence of an immediate private buyer for a failing bank. Importantly, the current experience with the Banking Union framework </w:t>
      </w:r>
      <w:r>
        <w:rPr>
          <w:rFonts w:ascii="Times New Roman" w:hAnsi="Times New Roman" w:cs="Times New Roman"/>
          <w:noProof/>
          <w:sz w:val="24"/>
          <w:szCs w:val="24"/>
        </w:rPr>
        <w:t xml:space="preserve">also shows the importance of ensuring that financial instruments which are likely to suffer losses in a banking crisis are held and losses borne by private investors who are sufficiently informed to understand the risks involved.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a number of practic</w:t>
      </w:r>
      <w:r>
        <w:rPr>
          <w:rFonts w:ascii="Times New Roman" w:hAnsi="Times New Roman" w:cs="Times New Roman"/>
          <w:noProof/>
          <w:sz w:val="24"/>
          <w:szCs w:val="24"/>
        </w:rPr>
        <w:t xml:space="preserve">al improvements can be made in the short term by the relevant actors, other issues can only be fully tackled once all the agreed elements of the Banking Union are being fully phased in and the Banking Union is completed.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a single European</w:t>
      </w:r>
      <w:r>
        <w:rPr>
          <w:rFonts w:ascii="Times New Roman" w:hAnsi="Times New Roman" w:cs="Times New Roman"/>
          <w:noProof/>
          <w:sz w:val="24"/>
          <w:szCs w:val="24"/>
        </w:rPr>
        <w:t xml:space="preserve"> Deposit Insurance Scheme (EDIS) remains one of the missing pieces. All depositors within Banking Union should enjoy the same level of </w:t>
      </w:r>
      <w:r>
        <w:rPr>
          <w:rFonts w:ascii="Times New Roman" w:hAnsi="Times New Roman" w:cs="Times New Roman"/>
          <w:noProof/>
          <w:sz w:val="24"/>
          <w:szCs w:val="24"/>
        </w:rPr>
        <w:lastRenderedPageBreak/>
        <w:t>protection. In this way, the European Deposit Insurance Scheme</w:t>
      </w:r>
      <w:r>
        <w:rPr>
          <w:rFonts w:ascii="Times New Roman" w:hAnsi="Times New Roman" w:cs="Times New Roman"/>
          <w:noProof/>
          <w:sz w:val="24"/>
          <w:szCs w:val="24"/>
          <w:lang w:val="en"/>
        </w:rPr>
        <w:t xml:space="preserve"> would </w:t>
      </w:r>
      <w:r>
        <w:rPr>
          <w:rFonts w:ascii="Times New Roman" w:hAnsi="Times New Roman" w:cs="Times New Roman"/>
          <w:noProof/>
          <w:sz w:val="24"/>
          <w:szCs w:val="24"/>
        </w:rPr>
        <w:t xml:space="preserve">underpin stability in the banking sector by </w:t>
      </w:r>
      <w:r>
        <w:rPr>
          <w:rFonts w:ascii="Times New Roman" w:hAnsi="Times New Roman" w:cs="Times New Roman"/>
          <w:noProof/>
          <w:sz w:val="24"/>
          <w:szCs w:val="24"/>
          <w:lang w:val="en"/>
        </w:rPr>
        <w:t>providin</w:t>
      </w:r>
      <w:r>
        <w:rPr>
          <w:rFonts w:ascii="Times New Roman" w:hAnsi="Times New Roman" w:cs="Times New Roman"/>
          <w:noProof/>
          <w:sz w:val="24"/>
          <w:szCs w:val="24"/>
          <w:lang w:val="en"/>
        </w:rPr>
        <w:t xml:space="preserve">g strong and uniform insurance coverage for all such depositors, independent of their geographical location in the Banking Union. </w:t>
      </w:r>
    </w:p>
    <w:p w:rsidR="0015531A" w:rsidRDefault="0081380B">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rPr>
        <w:t>The Banking Union also still lacks an effective, common backstop. The creation of such a</w:t>
      </w:r>
      <w:r>
        <w:rPr>
          <w:rFonts w:ascii="Times New Roman" w:hAnsi="Times New Roman" w:cs="Times New Roman"/>
          <w:noProof/>
          <w:sz w:val="24"/>
          <w:szCs w:val="24"/>
          <w:lang w:val="en"/>
        </w:rPr>
        <w:t xml:space="preserve"> backstop for the Single Resolution F</w:t>
      </w:r>
      <w:r>
        <w:rPr>
          <w:rFonts w:ascii="Times New Roman" w:hAnsi="Times New Roman" w:cs="Times New Roman"/>
          <w:noProof/>
          <w:sz w:val="24"/>
          <w:szCs w:val="24"/>
          <w:lang w:val="en"/>
        </w:rPr>
        <w:t>und was agreed by Member States already nearly 4 years ago, in 2013</w:t>
      </w:r>
      <w:r>
        <w:rPr>
          <w:rStyle w:val="FootnoteReference"/>
          <w:rFonts w:ascii="Times New Roman" w:hAnsi="Times New Roman" w:cs="Times New Roman"/>
          <w:noProof/>
          <w:sz w:val="24"/>
          <w:szCs w:val="24"/>
          <w:lang w:val="en"/>
        </w:rPr>
        <w:footnoteReference w:id="8"/>
      </w:r>
      <w:r>
        <w:rPr>
          <w:rFonts w:ascii="Times New Roman" w:hAnsi="Times New Roman" w:cs="Times New Roman"/>
          <w:noProof/>
          <w:sz w:val="24"/>
          <w:szCs w:val="24"/>
          <w:lang w:val="en"/>
        </w:rPr>
        <w:t>. It needs to be made operational now so as to reinforce the overall credibility of the bank resolution framework within the Banking Union. It is essential that actions taken by the Single</w:t>
      </w:r>
      <w:r>
        <w:rPr>
          <w:rFonts w:ascii="Times New Roman" w:hAnsi="Times New Roman" w:cs="Times New Roman"/>
          <w:noProof/>
          <w:sz w:val="24"/>
          <w:szCs w:val="24"/>
          <w:lang w:val="en"/>
        </w:rPr>
        <w:t xml:space="preserve"> Resolution Board enjoy the absolute confidence of all parties concerned if the key objectives of resolution in terms of maintaining financial stability and minimising costs to taxpayers are to be fully achieved. Together with the application of other reso</w:t>
      </w:r>
      <w:r>
        <w:rPr>
          <w:rFonts w:ascii="Times New Roman" w:hAnsi="Times New Roman" w:cs="Times New Roman"/>
          <w:noProof/>
          <w:sz w:val="24"/>
          <w:szCs w:val="24"/>
          <w:lang w:val="en"/>
        </w:rPr>
        <w:t xml:space="preserve">lution tools (i.e. bail-in, availability of the Single Resolution Fund), access to a last-resort common backstop should serve to provide such confidence. </w:t>
      </w:r>
      <w:r>
        <w:rPr>
          <w:rFonts w:ascii="Times New Roman" w:hAnsi="Times New Roman" w:cs="Times New Roman"/>
          <w:noProof/>
          <w:sz w:val="24"/>
          <w:szCs w:val="24"/>
        </w:rPr>
        <w:t>This would include, for example, using common funding in combination with the European Central Bank in</w:t>
      </w:r>
      <w:r>
        <w:rPr>
          <w:rFonts w:ascii="Times New Roman" w:hAnsi="Times New Roman" w:cs="Times New Roman"/>
          <w:noProof/>
          <w:sz w:val="24"/>
          <w:szCs w:val="24"/>
        </w:rPr>
        <w:t xml:space="preserve">struments to cover liquidity shortfalls and have more time to look for the best buyer of a bank in a specific situation. </w:t>
      </w:r>
    </w:p>
    <w:p w:rsidR="0015531A" w:rsidRDefault="0081380B">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wh</w:t>
      </w:r>
      <w:r>
        <w:rPr>
          <w:rFonts w:ascii="Times New Roman" w:hAnsi="Times New Roman" w:cs="Times New Roman"/>
          <w:noProof/>
          <w:sz w:val="24"/>
          <w:szCs w:val="24"/>
          <w:lang w:val="en"/>
        </w:rPr>
        <w:t>ile important progress has been made and</w:t>
      </w:r>
      <w:r>
        <w:rPr>
          <w:rFonts w:ascii="Times New Roman" w:hAnsi="Times New Roman" w:cs="Times New Roman"/>
          <w:noProof/>
          <w:sz w:val="24"/>
          <w:szCs w:val="24"/>
        </w:rPr>
        <w:t xml:space="preserve"> as highlighted by President Juncker in his State of the Union Address on 13 September 2017,</w:t>
      </w:r>
      <w:r>
        <w:rPr>
          <w:rFonts w:ascii="Times New Roman" w:hAnsi="Times New Roman" w:cs="Times New Roman"/>
          <w:noProof/>
          <w:sz w:val="24"/>
          <w:szCs w:val="24"/>
          <w:lang w:val="en"/>
        </w:rPr>
        <w:t xml:space="preserve"> efforts to further reduce risk and improve risk management in banks must continue. The </w:t>
      </w:r>
      <w:r>
        <w:rPr>
          <w:rFonts w:ascii="Times New Roman" w:hAnsi="Times New Roman" w:cs="Times New Roman"/>
          <w:noProof/>
          <w:sz w:val="24"/>
          <w:szCs w:val="24"/>
        </w:rPr>
        <w:t>Banking Union can only function if risk reduction and risk sharing go hand i</w:t>
      </w:r>
      <w:r>
        <w:rPr>
          <w:rFonts w:ascii="Times New Roman" w:hAnsi="Times New Roman" w:cs="Times New Roman"/>
          <w:noProof/>
          <w:sz w:val="24"/>
          <w:szCs w:val="24"/>
        </w:rPr>
        <w:t>n hand. A number of initiatives with the aim of achieving this goal are under negotiation by the European Parliament and the Council: In November 2016, the Commission adopted a comprehensive legislative package of risk reduction measures to further strengt</w:t>
      </w:r>
      <w:r>
        <w:rPr>
          <w:rFonts w:ascii="Times New Roman" w:hAnsi="Times New Roman" w:cs="Times New Roman"/>
          <w:noProof/>
          <w:sz w:val="24"/>
          <w:szCs w:val="24"/>
        </w:rPr>
        <w:t>hen the resilience of European Union banks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some of which are subject to fast-track negotiations in the European Parliament and the Council.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 xml:space="preserve">Despite the progress made on risk reduction, </w:t>
      </w:r>
      <w:r>
        <w:rPr>
          <w:rFonts w:ascii="Times New Roman" w:hAnsi="Times New Roman" w:cs="Times New Roman"/>
          <w:noProof/>
          <w:sz w:val="24"/>
          <w:szCs w:val="24"/>
        </w:rPr>
        <w:t>the Banking Union is still young. Many risks now visible in banks’ b</w:t>
      </w:r>
      <w:r>
        <w:rPr>
          <w:rFonts w:ascii="Times New Roman" w:hAnsi="Times New Roman" w:cs="Times New Roman"/>
          <w:noProof/>
          <w:sz w:val="24"/>
          <w:szCs w:val="24"/>
        </w:rPr>
        <w:t>alance sheets accumulated before the creation of the Banking Union, when supervision and resolution were exclusively under national responsibility. These legacy issues must be addressed convincingly if the European Union is to proceed quickly towards the c</w:t>
      </w:r>
      <w:r>
        <w:rPr>
          <w:rFonts w:ascii="Times New Roman" w:hAnsi="Times New Roman" w:cs="Times New Roman"/>
          <w:noProof/>
          <w:sz w:val="24"/>
          <w:szCs w:val="24"/>
        </w:rPr>
        <w:t>ompletion of the Banking Union.</w:t>
      </w:r>
      <w:r>
        <w:rPr>
          <w:rFonts w:ascii="Times New Roman" w:hAnsi="Times New Roman" w:cs="Times New Roman"/>
          <w:noProof/>
          <w:sz w:val="24"/>
          <w:szCs w:val="24"/>
          <w:lang w:val="en"/>
        </w:rPr>
        <w:t xml:space="preserve"> </w:t>
      </w:r>
      <w:r>
        <w:rPr>
          <w:rFonts w:ascii="Times New Roman" w:hAnsi="Times New Roman" w:cs="Times New Roman"/>
          <w:noProof/>
          <w:sz w:val="24"/>
          <w:szCs w:val="24"/>
        </w:rPr>
        <w:t>One of the challenges that remains is to decisively continue the recent trend of reducing the high levels of non-performing loans (NPLs) in parts of the banking sector. A lot has been done as a consequence of market forces a</w:t>
      </w:r>
      <w:r>
        <w:rPr>
          <w:rFonts w:ascii="Times New Roman" w:hAnsi="Times New Roman" w:cs="Times New Roman"/>
          <w:noProof/>
          <w:sz w:val="24"/>
          <w:szCs w:val="24"/>
        </w:rPr>
        <w:t>nd regulatory measures, which have already delivered results. However, the competitiveness of some European banks and their ability to lend to the economy is hampered. The Commission will continue to support this process through the adoption of further mea</w:t>
      </w:r>
      <w:r>
        <w:rPr>
          <w:rFonts w:ascii="Times New Roman" w:hAnsi="Times New Roman" w:cs="Times New Roman"/>
          <w:noProof/>
          <w:sz w:val="24"/>
          <w:szCs w:val="24"/>
        </w:rPr>
        <w:t xml:space="preserve">sures to reduce the level of Non Performing Loans. Risks in the European banking system also need to be further reduced through a further loosening of the interconnection between banks and their “home country”, which has been one of the main objectives of </w:t>
      </w:r>
      <w:r>
        <w:rPr>
          <w:rFonts w:ascii="Times New Roman" w:hAnsi="Times New Roman" w:cs="Times New Roman"/>
          <w:noProof/>
          <w:sz w:val="24"/>
          <w:szCs w:val="24"/>
        </w:rPr>
        <w:t xml:space="preserve">the Banking Union from its inception. With supervision and resolution of larger and systemic banks now conducted centrally and no longer at national level, helping banks to geographically diversify their investments in sovereign bonds would further weaken </w:t>
      </w:r>
      <w:r>
        <w:rPr>
          <w:rFonts w:ascii="Times New Roman" w:hAnsi="Times New Roman" w:cs="Times New Roman"/>
          <w:noProof/>
          <w:sz w:val="24"/>
          <w:szCs w:val="24"/>
        </w:rPr>
        <w:t xml:space="preserve">the bank-national sovereign link and thereby strengthen the sharing of cross-border risk via the private sector. While the Banking Union contributes to enhanced financial stability, it is also expected to deliver economic benefits through more integration </w:t>
      </w:r>
      <w:r>
        <w:rPr>
          <w:rFonts w:ascii="Times New Roman" w:hAnsi="Times New Roman" w:cs="Times New Roman"/>
          <w:noProof/>
          <w:sz w:val="24"/>
          <w:szCs w:val="24"/>
        </w:rPr>
        <w:t xml:space="preserve">of the European banking sector and through a geographically </w:t>
      </w:r>
      <w:r>
        <w:rPr>
          <w:rFonts w:ascii="Times New Roman" w:hAnsi="Times New Roman" w:cs="Times New Roman"/>
          <w:noProof/>
          <w:sz w:val="24"/>
          <w:szCs w:val="24"/>
        </w:rPr>
        <w:lastRenderedPageBreak/>
        <w:t xml:space="preserve">diversified asset allocation. To this end, the Commission will continue to work on deepening the Banking Union with the objective of recognising it as a single jurisdiction.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The 2015 Commissi</w:t>
      </w:r>
      <w:r>
        <w:rPr>
          <w:rFonts w:ascii="Times New Roman" w:hAnsi="Times New Roman" w:cs="Times New Roman"/>
          <w:noProof/>
          <w:sz w:val="24"/>
          <w:szCs w:val="24"/>
        </w:rPr>
        <w:t>on Communication "Towards the completion of the Banking Union" (hereafter "2015 Commission Communication")  and the 2016 Council Roadmap</w:t>
      </w:r>
      <w:r>
        <w:rPr>
          <w:rStyle w:val="FootnoteReference"/>
          <w:rFonts w:ascii="Times New Roman" w:hAnsi="Times New Roman" w:cs="Times New Roman"/>
          <w:noProof/>
          <w:sz w:val="24"/>
          <w:szCs w:val="24"/>
        </w:rPr>
        <w:footnoteReference w:id="10"/>
      </w:r>
      <w:r>
        <w:rPr>
          <w:rFonts w:ascii="Times New Roman" w:hAnsi="Times New Roman" w:cs="Times New Roman"/>
          <w:i/>
          <w:noProof/>
          <w:sz w:val="24"/>
          <w:szCs w:val="24"/>
        </w:rPr>
        <w:t xml:space="preserve"> </w:t>
      </w:r>
      <w:r>
        <w:rPr>
          <w:rFonts w:ascii="Times New Roman" w:hAnsi="Times New Roman" w:cs="Times New Roman"/>
          <w:noProof/>
          <w:sz w:val="24"/>
          <w:szCs w:val="24"/>
        </w:rPr>
        <w:t>have identified the key steps and, where necessary, the Commission presented legislative proposals in 2015 and 2016. I</w:t>
      </w:r>
      <w:r>
        <w:rPr>
          <w:rFonts w:ascii="Times New Roman" w:hAnsi="Times New Roman" w:cs="Times New Roman"/>
          <w:noProof/>
          <w:sz w:val="24"/>
          <w:szCs w:val="24"/>
        </w:rPr>
        <w:t xml:space="preserve">t is now time for the European Parliament and Member States to take political responsibility and agree on the necessary legal acts to complete the Banking Union by 2019.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If European Union leaders collectively lack action and ambition in the year ahead, du</w:t>
      </w:r>
      <w:r>
        <w:rPr>
          <w:rFonts w:ascii="Times New Roman" w:hAnsi="Times New Roman" w:cs="Times New Roman"/>
          <w:noProof/>
          <w:sz w:val="24"/>
          <w:szCs w:val="24"/>
        </w:rPr>
        <w:t>e to the political calendar, there is a real risk that the European Union will remain for years without a perspective of completing the Banking Union, and with suboptimal levels of ambition as regards the finalisation of the risk reduction and risk sharing</w:t>
      </w:r>
      <w:r>
        <w:rPr>
          <w:rFonts w:ascii="Times New Roman" w:hAnsi="Times New Roman" w:cs="Times New Roman"/>
          <w:noProof/>
          <w:sz w:val="24"/>
          <w:szCs w:val="24"/>
        </w:rPr>
        <w:t xml:space="preserve"> processes. The current momentum, following the State of the Union Address, must be used to not let this happen. To strengthen shock absorption through private channels in the Economic and Monetary Union, the European Union must find a win-win equilibrium,</w:t>
      </w:r>
      <w:r>
        <w:rPr>
          <w:rFonts w:ascii="Times New Roman" w:hAnsi="Times New Roman" w:cs="Times New Roman"/>
          <w:noProof/>
          <w:sz w:val="24"/>
          <w:szCs w:val="24"/>
        </w:rPr>
        <w:t xml:space="preserve"> with a high level of ambition as regards both risk reduction and risk sharing. </w:t>
      </w:r>
    </w:p>
    <w:p w:rsidR="0015531A" w:rsidRDefault="0081380B">
      <w:pPr>
        <w:spacing w:line="240" w:lineRule="auto"/>
        <w:jc w:val="both"/>
        <w:rPr>
          <w:noProof/>
          <w:lang w:val="en"/>
        </w:rPr>
      </w:pPr>
      <w:r>
        <w:rPr>
          <w:rFonts w:ascii="Times New Roman" w:hAnsi="Times New Roman" w:cs="Times New Roman"/>
          <w:noProof/>
          <w:sz w:val="24"/>
          <w:szCs w:val="24"/>
        </w:rPr>
        <w:t>This Communication attempts to set out an ambitious, but realistic path on how an agreement on completing the Banking Union can be achieved, based on existing commitments by t</w:t>
      </w:r>
      <w:r>
        <w:rPr>
          <w:rFonts w:ascii="Times New Roman" w:hAnsi="Times New Roman" w:cs="Times New Roman"/>
          <w:noProof/>
          <w:sz w:val="24"/>
          <w:szCs w:val="24"/>
        </w:rPr>
        <w:t xml:space="preserve">he Council. Building on the significant progress already achieved, the necessary measures to complete the Banking Union must be agreed by the end of 2018, while the full application of certain elements will take more time and may be phased-in gradually. </w:t>
      </w:r>
    </w:p>
    <w:p w:rsidR="0015531A" w:rsidRDefault="0081380B">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T</w:t>
      </w:r>
      <w:r>
        <w:rPr>
          <w:rFonts w:ascii="Times New Roman" w:hAnsi="Times New Roman" w:cs="Times New Roman"/>
          <w:noProof/>
          <w:sz w:val="24"/>
          <w:szCs w:val="24"/>
          <w:lang w:val="en"/>
        </w:rPr>
        <w:t xml:space="preserve">he Commission will issue in December 2017, a comprehensive package of measures to strengthen </w:t>
      </w:r>
      <w:r>
        <w:rPr>
          <w:rFonts w:ascii="Times New Roman" w:hAnsi="Times New Roman" w:cs="Times New Roman"/>
          <w:noProof/>
          <w:sz w:val="24"/>
          <w:szCs w:val="24"/>
        </w:rPr>
        <w:t>Economic and Monetary Union</w:t>
      </w:r>
      <w:r>
        <w:rPr>
          <w:rFonts w:ascii="Times New Roman" w:hAnsi="Times New Roman" w:cs="Times New Roman"/>
          <w:noProof/>
          <w:sz w:val="24"/>
          <w:szCs w:val="24"/>
          <w:lang w:val="en"/>
        </w:rPr>
        <w:t>. A strong commitment and decisive actions to complete the Banking Union, as set out in this Communication, are an integral part of thes</w:t>
      </w:r>
      <w:r>
        <w:rPr>
          <w:rFonts w:ascii="Times New Roman" w:hAnsi="Times New Roman" w:cs="Times New Roman"/>
          <w:noProof/>
          <w:sz w:val="24"/>
          <w:szCs w:val="24"/>
          <w:lang w:val="en"/>
        </w:rPr>
        <w:t xml:space="preserve">e efforts. </w:t>
      </w:r>
    </w:p>
    <w:p w:rsidR="0015531A" w:rsidRDefault="0081380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 Risk reduction through the November 2016 Banking Package </w:t>
      </w:r>
    </w:p>
    <w:tbl>
      <w:tblPr>
        <w:tblStyle w:val="TableGrid"/>
        <w:tblW w:w="0" w:type="auto"/>
        <w:tblInd w:w="108" w:type="dxa"/>
        <w:tblLook w:val="04A0" w:firstRow="1" w:lastRow="0" w:firstColumn="1" w:lastColumn="0" w:noHBand="0" w:noVBand="1"/>
      </w:tblPr>
      <w:tblGrid>
        <w:gridCol w:w="3828"/>
        <w:gridCol w:w="3118"/>
        <w:gridCol w:w="2234"/>
      </w:tblGrid>
      <w:tr w:rsidR="0015531A">
        <w:tc>
          <w:tcPr>
            <w:tcW w:w="3828" w:type="dxa"/>
            <w:shd w:val="clear" w:color="auto" w:fill="FABF8F" w:themeFill="accent6" w:themeFillTint="99"/>
          </w:tcPr>
          <w:p w:rsidR="0015531A" w:rsidRDefault="0081380B">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2016 Council Roadmap</w:t>
            </w:r>
          </w:p>
        </w:tc>
        <w:tc>
          <w:tcPr>
            <w:tcW w:w="3118" w:type="dxa"/>
          </w:tcPr>
          <w:p w:rsidR="0015531A" w:rsidRDefault="0081380B">
            <w:pPr>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cs="Times New Roman"/>
                <w:b/>
                <w:i/>
                <w:noProof/>
                <w:sz w:val="20"/>
                <w:szCs w:val="20"/>
              </w:rPr>
              <w:t>Status</w:t>
            </w:r>
          </w:p>
        </w:tc>
        <w:tc>
          <w:tcPr>
            <w:tcW w:w="2234" w:type="dxa"/>
            <w:shd w:val="clear" w:color="auto" w:fill="FABF8F" w:themeFill="accent6" w:themeFillTint="99"/>
          </w:tcPr>
          <w:p w:rsidR="0015531A" w:rsidRDefault="0081380B">
            <w:pPr>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Next steps</w:t>
            </w:r>
          </w:p>
        </w:tc>
      </w:tr>
      <w:tr w:rsidR="0015531A">
        <w:tc>
          <w:tcPr>
            <w:tcW w:w="3828" w:type="dxa"/>
          </w:tcPr>
          <w:p w:rsidR="0015531A" w:rsidRDefault="0081380B">
            <w:pPr>
              <w:pStyle w:val="ListParagraph"/>
              <w:numPr>
                <w:ilvl w:val="0"/>
                <w:numId w:val="47"/>
              </w:num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Propose amendments to the legislative framework in view of implementing the Total Loss Absorbing Capacity (TLAC) standard and reviewing the </w:t>
            </w:r>
            <w:r>
              <w:rPr>
                <w:rFonts w:ascii="Times New Roman" w:hAnsi="Times New Roman" w:cs="Times New Roman"/>
                <w:noProof/>
                <w:sz w:val="20"/>
                <w:szCs w:val="20"/>
              </w:rPr>
              <w:t xml:space="preserve">minimum requirement for own funds and eligible liabilities. The Council will seek to ensure consistent rules and adequate amounts for the bail-inable buffers that contribute to an efficient and orderly resolution process in line with the Bank Recovery and </w:t>
            </w:r>
            <w:r>
              <w:rPr>
                <w:rFonts w:ascii="Times New Roman" w:hAnsi="Times New Roman" w:cs="Times New Roman"/>
                <w:noProof/>
                <w:sz w:val="20"/>
                <w:szCs w:val="20"/>
              </w:rPr>
              <w:t xml:space="preserve">Resolution Directive (BRRD) for all credit institutions for which bail-in would be the validated resolution </w:t>
            </w:r>
            <w:r>
              <w:rPr>
                <w:rFonts w:ascii="Times New Roman" w:hAnsi="Times New Roman" w:cs="Times New Roman"/>
                <w:noProof/>
                <w:sz w:val="20"/>
                <w:szCs w:val="20"/>
              </w:rPr>
              <w:lastRenderedPageBreak/>
              <w:t>strategy.</w:t>
            </w:r>
          </w:p>
          <w:p w:rsidR="0015531A" w:rsidRDefault="0015531A">
            <w:pPr>
              <w:autoSpaceDE w:val="0"/>
              <w:autoSpaceDN w:val="0"/>
              <w:adjustRightInd w:val="0"/>
              <w:spacing w:before="120" w:after="120"/>
              <w:ind w:left="459" w:hanging="284"/>
              <w:jc w:val="both"/>
              <w:rPr>
                <w:rFonts w:ascii="Times New Roman" w:hAnsi="Times New Roman" w:cs="Times New Roman"/>
                <w:noProof/>
                <w:sz w:val="20"/>
                <w:szCs w:val="20"/>
              </w:rPr>
            </w:pPr>
          </w:p>
          <w:p w:rsidR="0015531A" w:rsidRDefault="0081380B">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rPr>
            </w:pPr>
            <w:r>
              <w:rPr>
                <w:rFonts w:ascii="Times New Roman" w:hAnsi="Times New Roman" w:cs="Times New Roman"/>
                <w:noProof/>
                <w:sz w:val="20"/>
                <w:szCs w:val="20"/>
              </w:rPr>
              <w:t>Put forward a proposal on a common approach to the bank creditor hierarchy, to enhance legal certainty in case of resolution.</w:t>
            </w:r>
          </w:p>
          <w:p w:rsidR="0015531A" w:rsidRDefault="0015531A">
            <w:pPr>
              <w:autoSpaceDE w:val="0"/>
              <w:autoSpaceDN w:val="0"/>
              <w:adjustRightInd w:val="0"/>
              <w:spacing w:before="120" w:after="120"/>
              <w:ind w:left="459" w:hanging="284"/>
              <w:jc w:val="both"/>
              <w:rPr>
                <w:rFonts w:ascii="Times New Roman" w:hAnsi="Times New Roman" w:cs="Times New Roman"/>
                <w:noProof/>
                <w:sz w:val="20"/>
                <w:szCs w:val="20"/>
              </w:rPr>
            </w:pPr>
          </w:p>
          <w:p w:rsidR="0015531A" w:rsidRDefault="0081380B">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rPr>
            </w:pPr>
            <w:r>
              <w:rPr>
                <w:rFonts w:ascii="Times New Roman" w:hAnsi="Times New Roman" w:cs="Times New Roman"/>
                <w:noProof/>
                <w:sz w:val="20"/>
                <w:szCs w:val="20"/>
              </w:rPr>
              <w:t>Propose am</w:t>
            </w:r>
            <w:r>
              <w:rPr>
                <w:rFonts w:ascii="Times New Roman" w:hAnsi="Times New Roman" w:cs="Times New Roman"/>
                <w:noProof/>
                <w:sz w:val="20"/>
                <w:szCs w:val="20"/>
              </w:rPr>
              <w:t>endments to the Capital RequirementsDirective/</w:t>
            </w:r>
          </w:p>
          <w:p w:rsidR="0015531A" w:rsidRDefault="0081380B">
            <w:pPr>
              <w:pStyle w:val="ListParagraph"/>
              <w:autoSpaceDE w:val="0"/>
              <w:autoSpaceDN w:val="0"/>
              <w:adjustRightInd w:val="0"/>
              <w:spacing w:before="120" w:after="120"/>
              <w:ind w:left="459"/>
              <w:jc w:val="both"/>
              <w:rPr>
                <w:rFonts w:ascii="Times New Roman" w:hAnsi="Times New Roman" w:cs="Times New Roman"/>
                <w:noProof/>
                <w:sz w:val="20"/>
                <w:szCs w:val="20"/>
              </w:rPr>
            </w:pPr>
            <w:r>
              <w:rPr>
                <w:rFonts w:ascii="Times New Roman" w:hAnsi="Times New Roman" w:cs="Times New Roman"/>
                <w:noProof/>
                <w:sz w:val="20"/>
                <w:szCs w:val="20"/>
              </w:rPr>
              <w:t>Capital Requirements Regulation IV as part of an overall review exercise, which would result in:</w:t>
            </w:r>
          </w:p>
          <w:p w:rsidR="0015531A" w:rsidRDefault="0081380B">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rPr>
            </w:pPr>
            <w:r>
              <w:rPr>
                <w:rFonts w:ascii="Times New Roman" w:hAnsi="Times New Roman" w:cs="Times New Roman"/>
                <w:noProof/>
                <w:sz w:val="20"/>
                <w:szCs w:val="20"/>
              </w:rPr>
              <w:t>harmonisation or further specification of options and national discretions granted to Member States, which could</w:t>
            </w:r>
            <w:r>
              <w:rPr>
                <w:rFonts w:ascii="Times New Roman" w:hAnsi="Times New Roman" w:cs="Times New Roman"/>
                <w:noProof/>
                <w:sz w:val="20"/>
                <w:szCs w:val="20"/>
              </w:rPr>
              <w:t xml:space="preserve"> also contribute to the objective of reducing financial fragmentation;</w:t>
            </w:r>
          </w:p>
          <w:p w:rsidR="0015531A" w:rsidRDefault="0081380B">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rPr>
            </w:pPr>
            <w:r>
              <w:rPr>
                <w:rFonts w:ascii="Times New Roman" w:hAnsi="Times New Roman" w:cs="Times New Roman"/>
                <w:noProof/>
                <w:sz w:val="20"/>
                <w:szCs w:val="20"/>
              </w:rPr>
              <w:t>ii. implementing and finalising remaining Basel reforms including the introduction of a leverage ratio, possibly set higher than 3% for systemic banks, and the introduction of a net sta</w:t>
            </w:r>
            <w:r>
              <w:rPr>
                <w:rFonts w:ascii="Times New Roman" w:hAnsi="Times New Roman" w:cs="Times New Roman"/>
                <w:noProof/>
                <w:sz w:val="20"/>
                <w:szCs w:val="20"/>
              </w:rPr>
              <w:t>ble funding ratio.</w:t>
            </w:r>
          </w:p>
        </w:tc>
        <w:tc>
          <w:tcPr>
            <w:tcW w:w="3118" w:type="dxa"/>
          </w:tcPr>
          <w:p w:rsidR="0015531A" w:rsidRDefault="0015531A">
            <w:pPr>
              <w:widowControl w:val="0"/>
              <w:autoSpaceDE w:val="0"/>
              <w:autoSpaceDN w:val="0"/>
              <w:adjustRightInd w:val="0"/>
              <w:spacing w:before="120" w:after="120"/>
              <w:jc w:val="both"/>
              <w:rPr>
                <w:rFonts w:ascii="Times New Roman" w:hAnsi="Times New Roman" w:cs="Times New Roman"/>
                <w:noProof/>
                <w:sz w:val="20"/>
                <w:szCs w:val="20"/>
              </w:rPr>
            </w:pPr>
          </w:p>
          <w:p w:rsidR="0015531A" w:rsidRDefault="0081380B">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Legislative proposal, including all measures indicated by the 2016 Council Roadmap, is under negotiation.</w:t>
            </w:r>
          </w:p>
          <w:p w:rsidR="0015531A" w:rsidRDefault="0015531A">
            <w:pPr>
              <w:widowControl w:val="0"/>
              <w:autoSpaceDE w:val="0"/>
              <w:autoSpaceDN w:val="0"/>
              <w:adjustRightInd w:val="0"/>
              <w:spacing w:before="120" w:after="120"/>
              <w:jc w:val="both"/>
              <w:rPr>
                <w:rFonts w:ascii="Times New Roman" w:hAnsi="Times New Roman" w:cs="Times New Roman"/>
                <w:noProof/>
                <w:sz w:val="20"/>
                <w:szCs w:val="20"/>
              </w:rPr>
            </w:pPr>
          </w:p>
          <w:p w:rsidR="0015531A" w:rsidRDefault="0081380B">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On options and national discretions in the Capital Requirements Directive/Capital Requirements Regulation, in addition to the leg</w:t>
            </w:r>
            <w:r>
              <w:rPr>
                <w:rFonts w:ascii="Times New Roman" w:hAnsi="Times New Roman" w:cs="Times New Roman"/>
                <w:noProof/>
                <w:sz w:val="20"/>
                <w:szCs w:val="20"/>
              </w:rPr>
              <w:t>islative proposal, the European Central Bank has undertaken a comprehensive exercise to harmonise them.</w:t>
            </w:r>
          </w:p>
        </w:tc>
        <w:tc>
          <w:tcPr>
            <w:tcW w:w="2234" w:type="dxa"/>
          </w:tcPr>
          <w:p w:rsidR="0015531A" w:rsidRDefault="0015531A">
            <w:pPr>
              <w:widowControl w:val="0"/>
              <w:autoSpaceDE w:val="0"/>
              <w:autoSpaceDN w:val="0"/>
              <w:adjustRightInd w:val="0"/>
              <w:spacing w:before="120" w:after="120"/>
              <w:jc w:val="both"/>
              <w:rPr>
                <w:rFonts w:ascii="Times New Roman" w:hAnsi="Times New Roman" w:cs="Times New Roman"/>
                <w:noProof/>
                <w:sz w:val="20"/>
                <w:szCs w:val="20"/>
              </w:rPr>
            </w:pPr>
          </w:p>
          <w:p w:rsidR="0015531A" w:rsidRDefault="0081380B">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Agreement among co-legislators on the legislative proposal by mid-2018 at the latest</w:t>
            </w:r>
          </w:p>
        </w:tc>
      </w:tr>
    </w:tbl>
    <w:p w:rsidR="0015531A" w:rsidRDefault="0015531A">
      <w:pPr>
        <w:widowControl w:val="0"/>
        <w:autoSpaceDE w:val="0"/>
        <w:autoSpaceDN w:val="0"/>
        <w:adjustRightInd w:val="0"/>
        <w:spacing w:line="240" w:lineRule="auto"/>
        <w:jc w:val="both"/>
        <w:rPr>
          <w:rFonts w:ascii="Times New Roman" w:hAnsi="Times New Roman" w:cs="Times New Roman"/>
          <w:noProof/>
          <w:sz w:val="24"/>
          <w:szCs w:val="24"/>
        </w:rPr>
      </w:pP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November 2016 Banking Package proposed by the Commission wil</w:t>
      </w:r>
      <w:r>
        <w:rPr>
          <w:rFonts w:ascii="Times New Roman" w:hAnsi="Times New Roman" w:cs="Times New Roman"/>
          <w:noProof/>
          <w:sz w:val="24"/>
          <w:szCs w:val="24"/>
        </w:rPr>
        <w:t>l fulfil many of the objectives set out in the 2016 Council Roadmap in terms of further risk reduction in the banking sector. This package, which is currently being negotiated in the European Parliament and the Council, builds on existing European Union ba</w:t>
      </w:r>
      <w:r>
        <w:rPr>
          <w:rFonts w:ascii="Times New Roman" w:hAnsi="Times New Roman" w:cs="Times New Roman"/>
          <w:noProof/>
          <w:sz w:val="24"/>
          <w:szCs w:val="24"/>
        </w:rPr>
        <w:t>nking rules and completes the post-crisis regulatory agenda by making sure that the regulatory framework addresses any outstanding challenges to financial stability, while ensuring that banks can continue to support the real economy. The Commission proposa</w:t>
      </w:r>
      <w:r>
        <w:rPr>
          <w:rFonts w:ascii="Times New Roman" w:hAnsi="Times New Roman" w:cs="Times New Roman"/>
          <w:noProof/>
          <w:sz w:val="24"/>
          <w:szCs w:val="24"/>
        </w:rPr>
        <w:t>ls</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will strengthen the European Union rules requiring banks to build up buffers of liabilities that can, if necessary, be bailed in, by implementing the Total Loss Absorbing Capacity standard of the Financial Stability Board and integrate it into the exis</w:t>
      </w:r>
      <w:r>
        <w:rPr>
          <w:rFonts w:ascii="Times New Roman" w:hAnsi="Times New Roman" w:cs="Times New Roman"/>
          <w:noProof/>
          <w:sz w:val="24"/>
          <w:szCs w:val="24"/>
        </w:rPr>
        <w:t>ting rules on the Minimum Requirement for own funds and eligible liabilities; and by providing for harmonised rules on where debt instruments eligible to meet the Total Loss Absorbing Capacity /</w:t>
      </w:r>
      <w:r>
        <w:rPr>
          <w:noProof/>
        </w:rPr>
        <w:t xml:space="preserve"> </w:t>
      </w:r>
      <w:r>
        <w:rPr>
          <w:rFonts w:ascii="Times New Roman" w:hAnsi="Times New Roman" w:cs="Times New Roman"/>
          <w:noProof/>
          <w:sz w:val="24"/>
          <w:szCs w:val="24"/>
        </w:rPr>
        <w:t>Minimum Requirement for own funds and Eligible Liabilities bu</w:t>
      </w:r>
      <w:r>
        <w:rPr>
          <w:rFonts w:ascii="Times New Roman" w:hAnsi="Times New Roman" w:cs="Times New Roman"/>
          <w:noProof/>
          <w:sz w:val="24"/>
          <w:szCs w:val="24"/>
        </w:rPr>
        <w:t>ffers stand in the bank creditor hierarchy. Recent experience has shown again how important it is that banks hold appropriate buffers of liabilities – available to be bailed-in – held by investors with appropriate knowledge about the risks involved, in ord</w:t>
      </w:r>
      <w:r>
        <w:rPr>
          <w:rFonts w:ascii="Times New Roman" w:hAnsi="Times New Roman" w:cs="Times New Roman"/>
          <w:noProof/>
          <w:sz w:val="24"/>
          <w:szCs w:val="24"/>
        </w:rPr>
        <w:t>er to manage crises without impact on financial stability and without having tax payers first in line to bear the costs. The Commission proposals also provide for harmonised rules concerning the application of moratorium tools applied by supervisors and re</w:t>
      </w:r>
      <w:r>
        <w:rPr>
          <w:rFonts w:ascii="Times New Roman" w:hAnsi="Times New Roman" w:cs="Times New Roman"/>
          <w:noProof/>
          <w:sz w:val="24"/>
          <w:szCs w:val="24"/>
        </w:rPr>
        <w:t>solution authorities to stabilise banks, which are equally important based on recent experience. Moreover, the amendments proposed by the Commission provide for harmonisation of remuneration rules, which have been found</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to overall contribute to curbing excessive risk-taking and better aligning remuneration with performance, thereby contributing to enhanced financial stability. </w:t>
      </w: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Banking Package proposes to implement a number of international standards, including the introduction of a leverage ratio and a Net Stable Funding Ratio (NSFR), and the Commission remains committed to close international cooperation on banking</w:t>
      </w:r>
      <w:r>
        <w:rPr>
          <w:rFonts w:ascii="Times New Roman" w:hAnsi="Times New Roman" w:cs="Times New Roman"/>
          <w:noProof/>
          <w:sz w:val="24"/>
          <w:szCs w:val="24"/>
        </w:rPr>
        <w:t xml:space="preserve"> regulatory matters, as well as to the implementation of agreed standards, and is following closely their implementation in other jurisdictions. </w:t>
      </w: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aware that its proposals to allow supervisors to waive certain requirements on a standalone </w:t>
      </w:r>
      <w:r>
        <w:rPr>
          <w:rFonts w:ascii="Times New Roman" w:hAnsi="Times New Roman" w:cs="Times New Roman"/>
          <w:noProof/>
          <w:sz w:val="24"/>
          <w:szCs w:val="24"/>
        </w:rPr>
        <w:t>basis for subsidiaries of cross-border groups, which is a logical step of the Banking Union and the Single Market, is met with significant concerns by a number of Member States. The Commission is willing to engage in constructive discussion on this matter,</w:t>
      </w:r>
      <w:r>
        <w:rPr>
          <w:rFonts w:ascii="Times New Roman" w:hAnsi="Times New Roman" w:cs="Times New Roman"/>
          <w:noProof/>
          <w:sz w:val="24"/>
          <w:szCs w:val="24"/>
        </w:rPr>
        <w:t xml:space="preserve"> with a view to facilitate finding a solution that preserves the benefits of the proposal while taking into account the need for an acceptable home-host balance in an appropriate way. </w:t>
      </w: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view to swift progress and reach an as rapid adoption as possibl</w:t>
      </w:r>
      <w:r>
        <w:rPr>
          <w:rFonts w:ascii="Times New Roman" w:hAnsi="Times New Roman" w:cs="Times New Roman"/>
          <w:noProof/>
          <w:sz w:val="24"/>
          <w:szCs w:val="24"/>
        </w:rPr>
        <w:t>e, the European Parliament and the Council are encouraged to maintain the clearly defined scope of the package. Further outstanding issues beyond the scope of the package, could be considered in later legislative reviews, once the ongoing negotiations on t</w:t>
      </w:r>
      <w:r>
        <w:rPr>
          <w:rFonts w:ascii="Times New Roman" w:hAnsi="Times New Roman" w:cs="Times New Roman"/>
          <w:noProof/>
          <w:sz w:val="24"/>
          <w:szCs w:val="24"/>
        </w:rPr>
        <w:t xml:space="preserve">he 2016 Banking Package are concluded. </w:t>
      </w:r>
    </w:p>
    <w:p w:rsidR="0015531A" w:rsidRDefault="0015531A">
      <w:pPr>
        <w:rPr>
          <w:rFonts w:ascii="Times New Roman" w:hAnsi="Times New Roman" w:cs="Times New Roman"/>
          <w:b/>
          <w:noProof/>
          <w:sz w:val="24"/>
          <w:szCs w:val="24"/>
        </w:rPr>
      </w:pPr>
    </w:p>
    <w:p w:rsidR="0015531A" w:rsidRDefault="0081380B">
      <w:pPr>
        <w:keepNext/>
        <w:widowControl w:val="0"/>
        <w:spacing w:line="240" w:lineRule="auto"/>
        <w:jc w:val="both"/>
        <w:rPr>
          <w:rFonts w:ascii="Times New Roman" w:hAnsi="Times New Roman"/>
          <w:b/>
          <w:noProof/>
          <w:sz w:val="24"/>
        </w:rPr>
      </w:pPr>
      <w:r>
        <w:rPr>
          <w:rFonts w:ascii="Times New Roman" w:hAnsi="Times New Roman" w:cs="Times New Roman"/>
          <w:b/>
          <w:noProof/>
          <w:sz w:val="24"/>
          <w:szCs w:val="24"/>
        </w:rPr>
        <w:t>3</w:t>
      </w:r>
      <w:r>
        <w:rPr>
          <w:rFonts w:ascii="Times New Roman" w:hAnsi="Times New Roman"/>
          <w:b/>
          <w:noProof/>
          <w:sz w:val="24"/>
        </w:rPr>
        <w:t xml:space="preserve">. Moving forward </w:t>
      </w:r>
      <w:r>
        <w:rPr>
          <w:rFonts w:ascii="Times New Roman" w:hAnsi="Times New Roman" w:cs="Times New Roman"/>
          <w:b/>
          <w:noProof/>
          <w:sz w:val="24"/>
          <w:szCs w:val="24"/>
        </w:rPr>
        <w:t xml:space="preserve">towards a European Deposit Insurance Scheme (EDIS) </w:t>
      </w:r>
    </w:p>
    <w:tbl>
      <w:tblPr>
        <w:tblStyle w:val="TableGrid"/>
        <w:tblW w:w="0" w:type="auto"/>
        <w:tblLook w:val="04A0" w:firstRow="1" w:lastRow="0" w:firstColumn="1" w:lastColumn="0" w:noHBand="0" w:noVBand="1"/>
      </w:tblPr>
      <w:tblGrid>
        <w:gridCol w:w="3096"/>
        <w:gridCol w:w="3096"/>
        <w:gridCol w:w="3096"/>
      </w:tblGrid>
      <w:tr w:rsidR="0015531A">
        <w:tc>
          <w:tcPr>
            <w:tcW w:w="3096" w:type="dxa"/>
            <w:shd w:val="clear" w:color="auto" w:fill="FABF8F" w:themeFill="accent6" w:themeFillTint="99"/>
          </w:tcPr>
          <w:p w:rsidR="0015531A" w:rsidRDefault="0081380B">
            <w:pPr>
              <w:keepNext/>
              <w:widowControl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2016 Council Roadmap</w:t>
            </w:r>
          </w:p>
        </w:tc>
        <w:tc>
          <w:tcPr>
            <w:tcW w:w="3096" w:type="dxa"/>
          </w:tcPr>
          <w:p w:rsidR="0015531A" w:rsidRDefault="0081380B">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cs="Times New Roman"/>
                <w:b/>
                <w:i/>
                <w:noProof/>
                <w:sz w:val="20"/>
                <w:szCs w:val="20"/>
              </w:rPr>
              <w:t>Status</w:t>
            </w:r>
          </w:p>
        </w:tc>
        <w:tc>
          <w:tcPr>
            <w:tcW w:w="3096" w:type="dxa"/>
            <w:shd w:val="clear" w:color="auto" w:fill="FABF8F" w:themeFill="accent6" w:themeFillTint="99"/>
          </w:tcPr>
          <w:p w:rsidR="0015531A" w:rsidRDefault="0081380B">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Next steps</w:t>
            </w:r>
          </w:p>
        </w:tc>
      </w:tr>
      <w:tr w:rsidR="0015531A">
        <w:tc>
          <w:tcPr>
            <w:tcW w:w="3096" w:type="dxa"/>
          </w:tcPr>
          <w:p w:rsidR="0015531A" w:rsidRDefault="0081380B">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 xml:space="preserve">Continue constructive work at technical level. Negotiations at political level will start as soon as </w:t>
            </w:r>
            <w:r>
              <w:rPr>
                <w:rFonts w:ascii="Times New Roman" w:hAnsi="Times New Roman" w:cs="Times New Roman"/>
                <w:noProof/>
                <w:sz w:val="20"/>
                <w:szCs w:val="20"/>
              </w:rPr>
              <w:t>sufficient further progress has been made on the measures on risk reduction.</w:t>
            </w:r>
          </w:p>
        </w:tc>
        <w:tc>
          <w:tcPr>
            <w:tcW w:w="3096" w:type="dxa"/>
          </w:tcPr>
          <w:p w:rsidR="0015531A" w:rsidRDefault="0081380B">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Technical work is ongoing but with limited political progress.</w:t>
            </w:r>
          </w:p>
        </w:tc>
        <w:tc>
          <w:tcPr>
            <w:tcW w:w="3096" w:type="dxa"/>
          </w:tcPr>
          <w:p w:rsidR="0015531A" w:rsidRDefault="0081380B">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Political negotiations must now be started with a view to agreement as rapidly as possible in the course of 2018.</w:t>
            </w:r>
          </w:p>
        </w:tc>
      </w:tr>
    </w:tbl>
    <w:p w:rsidR="0015531A" w:rsidRDefault="0015531A">
      <w:pPr>
        <w:widowControl w:val="0"/>
        <w:autoSpaceDE w:val="0"/>
        <w:autoSpaceDN w:val="0"/>
        <w:adjustRightInd w:val="0"/>
        <w:spacing w:line="240" w:lineRule="auto"/>
        <w:jc w:val="both"/>
        <w:rPr>
          <w:rFonts w:ascii="Times New Roman" w:hAnsi="Times New Roman" w:cs="Times New Roman"/>
          <w:noProof/>
          <w:sz w:val="24"/>
          <w:szCs w:val="24"/>
        </w:rPr>
      </w:pP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2015 </w:t>
      </w:r>
      <w:r>
        <w:rPr>
          <w:rFonts w:ascii="Times New Roman" w:hAnsi="Times New Roman" w:cs="Times New Roman"/>
          <w:i/>
          <w:noProof/>
          <w:sz w:val="24"/>
          <w:szCs w:val="24"/>
        </w:rPr>
        <w:t>Five Presidents’ Report</w:t>
      </w:r>
      <w:r>
        <w:rPr>
          <w:rFonts w:ascii="Times New Roman" w:hAnsi="Times New Roman" w:cs="Times New Roman"/>
          <w:noProof/>
          <w:sz w:val="24"/>
          <w:szCs w:val="24"/>
        </w:rPr>
        <w:t xml:space="preserve"> identified a European Deposit Insurance Scheme as an essential step to complete the Banking Union. As subsequently recalled in the </w:t>
      </w:r>
      <w:r>
        <w:rPr>
          <w:rFonts w:ascii="Times New Roman" w:hAnsi="Times New Roman" w:cs="Times New Roman"/>
          <w:i/>
          <w:noProof/>
          <w:sz w:val="24"/>
          <w:szCs w:val="24"/>
        </w:rPr>
        <w:t>Economic and Monetary Union Reflection paper</w:t>
      </w:r>
      <w:r>
        <w:rPr>
          <w:rFonts w:ascii="Times New Roman" w:hAnsi="Times New Roman" w:cs="Times New Roman"/>
          <w:noProof/>
          <w:sz w:val="24"/>
          <w:szCs w:val="24"/>
        </w:rPr>
        <w:t xml:space="preserve">, it remains a priority to ensure the stability </w:t>
      </w:r>
      <w:r>
        <w:rPr>
          <w:rFonts w:ascii="Times New Roman" w:hAnsi="Times New Roman" w:cs="Times New Roman"/>
          <w:noProof/>
          <w:sz w:val="24"/>
          <w:szCs w:val="24"/>
        </w:rPr>
        <w:t>of the European Union banking system and the functioning of the internal market in banking services. By reducing depositors' vulnerability to large local shocks (for which national deposit guarantee schemes have more limited financial means) and the link b</w:t>
      </w:r>
      <w:r>
        <w:rPr>
          <w:rFonts w:ascii="Times New Roman" w:hAnsi="Times New Roman" w:cs="Times New Roman"/>
          <w:noProof/>
          <w:sz w:val="24"/>
          <w:szCs w:val="24"/>
        </w:rPr>
        <w:t>etween banks and their home sovereign, a European Deposit Insurance Scheme would increase the resilience of the Banking Union against future financial crises by providing strong and uniform insurance coverage for all depositors independently of their geogr</w:t>
      </w:r>
      <w:r>
        <w:rPr>
          <w:rFonts w:ascii="Times New Roman" w:hAnsi="Times New Roman" w:cs="Times New Roman"/>
          <w:noProof/>
          <w:sz w:val="24"/>
          <w:szCs w:val="24"/>
        </w:rPr>
        <w:t xml:space="preserve">aphical location within the Banking Union. </w:t>
      </w:r>
    </w:p>
    <w:p w:rsidR="0015531A" w:rsidRDefault="0081380B">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put forward by the Commission in November 2015</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provides a very comprehensive solution to achieve these goals through the progressive transfer, according to a defined timeline (which should have star</w:t>
      </w:r>
      <w:r>
        <w:rPr>
          <w:rFonts w:ascii="Times New Roman" w:hAnsi="Times New Roman" w:cs="Times New Roman"/>
          <w:noProof/>
          <w:sz w:val="24"/>
          <w:szCs w:val="24"/>
        </w:rPr>
        <w:t>ted in 2017), of funds and of the management of payout events to the European Deposit Insurance Scheme from national Deposit Guarantee Schemes. Such central fund with an enhanced financial capacity would be better equipped to deal with bank failures. At th</w:t>
      </w:r>
      <w:r>
        <w:rPr>
          <w:rFonts w:ascii="Times New Roman" w:hAnsi="Times New Roman" w:cs="Times New Roman"/>
          <w:noProof/>
          <w:sz w:val="24"/>
          <w:szCs w:val="24"/>
        </w:rPr>
        <w:t>e same time, the misalignment of centralised bank supervision and resolution in the Banking Union, on the one hand, and national deposit insurance, on the other hand, would be overcome.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ambition of the Commission remains strong, discussions in </w:t>
      </w:r>
      <w:r>
        <w:rPr>
          <w:rFonts w:ascii="Times New Roman" w:hAnsi="Times New Roman" w:cs="Times New Roman"/>
          <w:noProof/>
          <w:sz w:val="24"/>
          <w:szCs w:val="24"/>
        </w:rPr>
        <w:t>the European Parliament and the Council have revealed divergent positions as regards the design of the system at its final stage (re-insurance, co-insurance or full insurance), the timing of the setting up of such a system, and the different degree of lega</w:t>
      </w:r>
      <w:r>
        <w:rPr>
          <w:rFonts w:ascii="Times New Roman" w:hAnsi="Times New Roman" w:cs="Times New Roman"/>
          <w:noProof/>
          <w:sz w:val="24"/>
          <w:szCs w:val="24"/>
        </w:rPr>
        <w:t>cy issues and moral hazard risks present in the various national banking systems. Concerns have been expressed about the need to ensure that banks are sufficiently robust on a standalone basis, before sharing the potential burden of bank failures within th</w:t>
      </w:r>
      <w:r>
        <w:rPr>
          <w:rFonts w:ascii="Times New Roman" w:hAnsi="Times New Roman" w:cs="Times New Roman"/>
          <w:noProof/>
          <w:sz w:val="24"/>
          <w:szCs w:val="24"/>
        </w:rPr>
        <w:t xml:space="preserve">e Banking Union.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2016 Council Roadmap confirmed that the Council would continue constructive work at technical level and that negotiations at political level would start as soon as sufficient progress had been achieved on risk reduction measures.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Two</w:t>
      </w:r>
      <w:r>
        <w:rPr>
          <w:rFonts w:ascii="Times New Roman" w:hAnsi="Times New Roman" w:cs="Times New Roman"/>
          <w:noProof/>
          <w:sz w:val="24"/>
          <w:szCs w:val="24"/>
        </w:rPr>
        <w:t xml:space="preserve"> years after the presentation of the European Deposit Insurance Scheme proposal, which remains on the table unchanged, the time has definitively come to move ahead, since without the European Deposit Insurance Scheme, the Banking Union may still be vulnera</w:t>
      </w:r>
      <w:r>
        <w:rPr>
          <w:rFonts w:ascii="Times New Roman" w:hAnsi="Times New Roman" w:cs="Times New Roman"/>
          <w:noProof/>
          <w:sz w:val="24"/>
          <w:szCs w:val="24"/>
        </w:rPr>
        <w:t xml:space="preserve">ble to future crises. To reinvigorate the negotiations, it could for example be considered by the European Parliament and the Council, in the current negotiations, to </w:t>
      </w:r>
      <w:r>
        <w:rPr>
          <w:rFonts w:ascii="Times New Roman" w:hAnsi="Times New Roman"/>
          <w:noProof/>
          <w:sz w:val="24"/>
        </w:rPr>
        <w:t xml:space="preserve">introduce the </w:t>
      </w:r>
      <w:r>
        <w:rPr>
          <w:rFonts w:ascii="Times New Roman" w:hAnsi="Times New Roman" w:cs="Times New Roman"/>
          <w:noProof/>
          <w:sz w:val="24"/>
          <w:szCs w:val="24"/>
        </w:rPr>
        <w:t>European Deposit Insurance Scheme</w:t>
      </w:r>
      <w:r>
        <w:rPr>
          <w:rFonts w:ascii="Times New Roman" w:hAnsi="Times New Roman"/>
          <w:noProof/>
          <w:sz w:val="24"/>
        </w:rPr>
        <w:t xml:space="preserve"> in a more gradual manner, </w:t>
      </w:r>
      <w:r>
        <w:rPr>
          <w:rFonts w:ascii="Times New Roman" w:hAnsi="Times New Roman" w:cs="Times New Roman"/>
          <w:noProof/>
          <w:sz w:val="24"/>
          <w:szCs w:val="24"/>
        </w:rPr>
        <w:t>commensurate to</w:t>
      </w:r>
      <w:r>
        <w:rPr>
          <w:rFonts w:ascii="Times New Roman" w:hAnsi="Times New Roman" w:cs="Times New Roman"/>
          <w:noProof/>
          <w:sz w:val="24"/>
          <w:szCs w:val="24"/>
        </w:rPr>
        <w:t xml:space="preserve"> progress achieved with regard to risk reduction and the tackling of legacy issues, starting  with a more limited re-insurance phase and moving gradually to co-insurance.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first re-insurance phase, the European Deposit Insurance Scheme could provide o</w:t>
      </w:r>
      <w:r>
        <w:rPr>
          <w:rFonts w:ascii="Times New Roman" w:hAnsi="Times New Roman" w:cs="Times New Roman"/>
          <w:noProof/>
          <w:sz w:val="24"/>
          <w:szCs w:val="24"/>
        </w:rPr>
        <w:t xml:space="preserve">nly liquidity coverage, and no loss coverage.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case of a default of a bank, national Deposit Guarantee Schemes would have to deplete their funds first before a possible intervention by the European Deposit Insurance Scheme. The European Deposit Insuranc</w:t>
      </w:r>
      <w:r>
        <w:rPr>
          <w:rFonts w:ascii="Times New Roman" w:hAnsi="Times New Roman" w:cs="Times New Roman"/>
          <w:noProof/>
          <w:sz w:val="24"/>
          <w:szCs w:val="24"/>
        </w:rPr>
        <w:t>e Scheme would only provide liquidity to the national Deposit Guarantee Schemes (which is in reality a loan since it should be fully recovered from the banking sector afterwards) and would cover up to 30% of liquidity shortfall in the first year (2019), 60</w:t>
      </w:r>
      <w:r>
        <w:rPr>
          <w:rFonts w:ascii="Times New Roman" w:hAnsi="Times New Roman" w:cs="Times New Roman"/>
          <w:noProof/>
          <w:sz w:val="24"/>
          <w:szCs w:val="24"/>
        </w:rPr>
        <w:t>% in the second year (2020) and 90% in the third year (2021).</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The rest would be covered by national Deposit Guarantee Schemes with the resources not transferred to the European Deposit Insurance Scheme during this phase or via ex-post contributions from b</w:t>
      </w:r>
      <w:r>
        <w:rPr>
          <w:rFonts w:ascii="Times New Roman" w:hAnsi="Times New Roman" w:cs="Times New Roman"/>
          <w:noProof/>
          <w:sz w:val="24"/>
          <w:szCs w:val="24"/>
        </w:rPr>
        <w:t>anks. By leaving losses to be covered nationally and providing liquidity assistance for national schemes if needed, this solution would on the one hand ensure depositor protection from the beginning (for which liquidity is needed) and, on the other hand, t</w:t>
      </w:r>
      <w:r>
        <w:rPr>
          <w:rFonts w:ascii="Times New Roman" w:hAnsi="Times New Roman" w:cs="Times New Roman"/>
          <w:noProof/>
          <w:sz w:val="24"/>
          <w:szCs w:val="24"/>
        </w:rPr>
        <w:t xml:space="preserve">ake into account legacy and moral hazard concerns.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joint Deposit Insurance Fund (DIF), managed under the auspices of the existing Single Resolution Board and financed by contributions from banks would be built-up gradually. </w:t>
      </w:r>
    </w:p>
    <w:p w:rsidR="0015531A" w:rsidRDefault="0081380B">
      <w:pPr>
        <w:pStyle w:val="Default"/>
        <w:spacing w:after="200"/>
        <w:jc w:val="both"/>
        <w:rPr>
          <w:rFonts w:ascii="Times New Roman" w:hAnsi="Times New Roman" w:cs="Times New Roman"/>
          <w:noProof/>
        </w:rPr>
      </w:pPr>
      <w:r>
        <w:rPr>
          <w:rFonts w:ascii="Times New Roman" w:hAnsi="Times New Roman" w:cs="Times New Roman"/>
          <w:noProof/>
        </w:rPr>
        <w:t>Another idea for considera</w:t>
      </w:r>
      <w:r>
        <w:rPr>
          <w:rFonts w:ascii="Times New Roman" w:hAnsi="Times New Roman" w:cs="Times New Roman"/>
          <w:noProof/>
        </w:rPr>
        <w:t>tion could be that at the end of the re-insurance phase, the move to the co-insurance phase would not be automatic, but be contingent on a set of conditions. To address concerns related to legacy risks and moral hazard, the start of the co-insurance phase,</w:t>
      </w:r>
      <w:r>
        <w:rPr>
          <w:rFonts w:ascii="Times New Roman" w:hAnsi="Times New Roman" w:cs="Times New Roman"/>
          <w:noProof/>
        </w:rPr>
        <w:t xml:space="preserve"> and therefore the access to loss coverage by the European Deposit Insurance Scheme, could be linked to conditions to be assessed by a Commission decision, which would include a targeted Asset Quality Review (AQR) to address Non Performing Loans and Level </w:t>
      </w:r>
      <w:r>
        <w:rPr>
          <w:rFonts w:ascii="Times New Roman" w:hAnsi="Times New Roman" w:cs="Times New Roman"/>
          <w:noProof/>
        </w:rPr>
        <w:t>III assets</w:t>
      </w:r>
      <w:r>
        <w:rPr>
          <w:rStyle w:val="FootnoteReference"/>
          <w:rFonts w:ascii="Times New Roman" w:hAnsi="Times New Roman" w:cs="Times New Roman"/>
          <w:noProof/>
        </w:rPr>
        <w:footnoteReference w:id="16"/>
      </w:r>
      <w:r>
        <w:rPr>
          <w:rFonts w:ascii="Times New Roman" w:hAnsi="Times New Roman" w:cs="Times New Roman"/>
          <w:noProof/>
        </w:rPr>
        <w:t xml:space="preserve"> followed by the solution of the problems identified (e.g. active portfolio reductions). Such Asset Quality Review should be conducted during the re-insurance phase (i.e. before 2022 at the latest), to ensure that legacy risks are addressed with</w:t>
      </w:r>
      <w:r>
        <w:rPr>
          <w:rFonts w:ascii="Times New Roman" w:hAnsi="Times New Roman" w:cs="Times New Roman"/>
          <w:noProof/>
        </w:rPr>
        <w:t>in the banking sectors where they were generated before the start of the co-insurance phase, based on the significant progress in tackling legacy assets that is being made and is expected to continue. This second phase would start only once such conditions</w:t>
      </w:r>
      <w:r>
        <w:rPr>
          <w:rFonts w:ascii="Times New Roman" w:hAnsi="Times New Roman" w:cs="Times New Roman"/>
          <w:noProof/>
        </w:rPr>
        <w:t xml:space="preserve"> are met. For instance, as regards the Asset Quality Review, a threshold could be set (e.g. a certain level of Non Performing Loans ratios and Level III assets) and banks not meeting the threshold would be required by supervisory authorities to prepare app</w:t>
      </w:r>
      <w:r>
        <w:rPr>
          <w:rFonts w:ascii="Times New Roman" w:hAnsi="Times New Roman" w:cs="Times New Roman"/>
          <w:noProof/>
        </w:rPr>
        <w:t xml:space="preserve">ropriate strategies on these issues.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actions envisaged by the Commission and in the European Union Action Plan on Non Performing Loanss (see section 5) will facilitate the implementation of such individual strategies.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Once these conditions are met a</w:t>
      </w:r>
      <w:r>
        <w:rPr>
          <w:rFonts w:ascii="Times New Roman" w:hAnsi="Times New Roman" w:cs="Times New Roman"/>
          <w:noProof/>
          <w:sz w:val="24"/>
          <w:szCs w:val="24"/>
        </w:rPr>
        <w:t xml:space="preserve">nd the </w:t>
      </w:r>
      <w:r>
        <w:rPr>
          <w:rFonts w:ascii="Times New Roman" w:hAnsi="Times New Roman" w:cs="Times New Roman"/>
          <w:i/>
          <w:noProof/>
          <w:sz w:val="24"/>
          <w:szCs w:val="24"/>
        </w:rPr>
        <w:t>co-insurance</w:t>
      </w:r>
      <w:r>
        <w:rPr>
          <w:rFonts w:ascii="Times New Roman" w:hAnsi="Times New Roman" w:cs="Times New Roman"/>
          <w:noProof/>
          <w:sz w:val="24"/>
          <w:szCs w:val="24"/>
        </w:rPr>
        <w:t xml:space="preserve"> (second phase) has started, the European Deposit Insurance Scheme would also, in addition to full liquidity coverage, progressively cover losses provided that all conditions are continuously met. Regarding losses, national Deposit Guarantee Schemes and th</w:t>
      </w:r>
      <w:r>
        <w:rPr>
          <w:rFonts w:ascii="Times New Roman" w:hAnsi="Times New Roman" w:cs="Times New Roman"/>
          <w:noProof/>
          <w:sz w:val="24"/>
          <w:szCs w:val="24"/>
        </w:rPr>
        <w:t>e European Deposit Insurance Scheme would contribute in parallel from the first euro of losses, according to a key which would develop progressively, starting with a 30% European Deposit Insurance Scheme contribution as of the first year of the co-insuranc</w:t>
      </w:r>
      <w:r>
        <w:rPr>
          <w:rFonts w:ascii="Times New Roman" w:hAnsi="Times New Roman" w:cs="Times New Roman"/>
          <w:noProof/>
          <w:sz w:val="24"/>
          <w:szCs w:val="24"/>
        </w:rPr>
        <w:t xml:space="preserve">e phase.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would effectively address concerns related to legacy risks and moral hazard, while still ensuring full liquidity and losses coverage by the European Deposit Insurance Scheme at the final stage. It would make any move to loss coverage by the </w:t>
      </w:r>
      <w:r>
        <w:rPr>
          <w:rFonts w:ascii="Times New Roman" w:hAnsi="Times New Roman" w:cs="Times New Roman"/>
          <w:noProof/>
          <w:sz w:val="24"/>
          <w:szCs w:val="24"/>
        </w:rPr>
        <w:t>European Deposit Insurance Scheme contingent on Member States addressing legacy issues, provide the relevant Member States with adequate time to take necessary measures and ensure, in its final stage, that the European Deposit Insurance Scheme provides the</w:t>
      </w:r>
      <w:r>
        <w:rPr>
          <w:rFonts w:ascii="Times New Roman" w:hAnsi="Times New Roman" w:cs="Times New Roman"/>
          <w:noProof/>
          <w:sz w:val="24"/>
          <w:szCs w:val="24"/>
        </w:rPr>
        <w:t xml:space="preserve"> strongest protection for depositors and, at the same time, safeguards for financial stability. A single European Union fund is superior in terms of risk absorption capacity and of breaking the sovereign-bank loop than any national system. The central fund</w:t>
      </w:r>
      <w:r>
        <w:rPr>
          <w:rFonts w:ascii="Times New Roman" w:hAnsi="Times New Roman" w:cs="Times New Roman"/>
          <w:noProof/>
          <w:sz w:val="24"/>
          <w:szCs w:val="24"/>
        </w:rPr>
        <w:t xml:space="preserve"> administration would also ensure a more rapid and efficient management of default cases, which could better cope with crisis situations.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additional aspects have also emerged during the negotiations of the 2015 European Deposit Insurance Scheme propo</w:t>
      </w:r>
      <w:r>
        <w:rPr>
          <w:rFonts w:ascii="Times New Roman" w:hAnsi="Times New Roman" w:cs="Times New Roman"/>
          <w:noProof/>
          <w:sz w:val="24"/>
          <w:szCs w:val="24"/>
        </w:rPr>
        <w:t>sal with regard to some of the options and discretions included in the Deposit Guarantee Scheme Directive that could be included also in the European Deposit Insurance Scheme (e.g. scope of the European Deposit Insurance Scheme, target level, use of Deposi</w:t>
      </w:r>
      <w:r>
        <w:rPr>
          <w:rFonts w:ascii="Times New Roman" w:hAnsi="Times New Roman" w:cs="Times New Roman"/>
          <w:noProof/>
          <w:sz w:val="24"/>
          <w:szCs w:val="24"/>
        </w:rPr>
        <w:t>t Insurance Fund funds for alternative measures). These matters will have to be considered taking into account the fact that in a common system of deposit insurance, all participants will be affected by the way these options and discretions are implemented</w:t>
      </w:r>
      <w:r>
        <w:rPr>
          <w:rFonts w:ascii="Times New Roman" w:hAnsi="Times New Roman" w:cs="Times New Roman"/>
          <w:noProof/>
          <w:sz w:val="24"/>
          <w:szCs w:val="24"/>
        </w:rPr>
        <w:t xml:space="preserve">. Hence, a balanced solution must be reached that takes account of national and regional specific characteristics, while ensuring equal treatment for all participating banks that contribute to the European Deposit Insurance Scheme.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stands </w:t>
      </w:r>
      <w:r>
        <w:rPr>
          <w:rFonts w:ascii="Times New Roman" w:hAnsi="Times New Roman" w:cs="Times New Roman"/>
          <w:noProof/>
          <w:sz w:val="24"/>
          <w:szCs w:val="24"/>
        </w:rPr>
        <w:t xml:space="preserve">ready to actively discuss as soon as possible </w:t>
      </w:r>
      <w:r>
        <w:rPr>
          <w:rFonts w:ascii="Times New Roman" w:hAnsi="Times New Roman"/>
          <w:noProof/>
          <w:sz w:val="24"/>
          <w:szCs w:val="24"/>
        </w:rPr>
        <w:t xml:space="preserve">the above-mentioned ideas with the European Parliament and Council, within the framework of the negotiations of </w:t>
      </w:r>
      <w:r>
        <w:rPr>
          <w:rFonts w:ascii="Times New Roman" w:hAnsi="Times New Roman" w:cs="Times New Roman"/>
          <w:noProof/>
          <w:sz w:val="24"/>
          <w:szCs w:val="24"/>
        </w:rPr>
        <w:t xml:space="preserve">its proposal. </w:t>
      </w:r>
    </w:p>
    <w:p w:rsidR="0015531A" w:rsidRDefault="0081380B">
      <w:pPr>
        <w:spacing w:line="240" w:lineRule="auto"/>
        <w:jc w:val="both"/>
        <w:rPr>
          <w:rFonts w:ascii="Times New Roman" w:hAnsi="Times New Roman"/>
          <w:bCs/>
          <w:iCs/>
          <w:noProof/>
          <w:sz w:val="24"/>
          <w:szCs w:val="24"/>
        </w:rPr>
      </w:pPr>
      <w:r>
        <w:rPr>
          <w:rFonts w:ascii="Times New Roman" w:hAnsi="Times New Roman"/>
          <w:bCs/>
          <w:iCs/>
          <w:noProof/>
          <w:sz w:val="24"/>
          <w:szCs w:val="24"/>
        </w:rPr>
        <w:t>In the transition to the European Deposit Insurance Scheme co-insurance phase, ther</w:t>
      </w:r>
      <w:r>
        <w:rPr>
          <w:rFonts w:ascii="Times New Roman" w:hAnsi="Times New Roman"/>
          <w:bCs/>
          <w:iCs/>
          <w:noProof/>
          <w:sz w:val="24"/>
          <w:szCs w:val="24"/>
        </w:rPr>
        <w:t xml:space="preserve">e is scope for further improvements with regard to the coordination among national Deposit Guarantee Schemes and a </w:t>
      </w:r>
      <w:r>
        <w:rPr>
          <w:rFonts w:ascii="Times New Roman" w:hAnsi="Times New Roman" w:cs="Times New Roman"/>
          <w:bCs/>
          <w:iCs/>
          <w:noProof/>
          <w:sz w:val="24"/>
          <w:szCs w:val="24"/>
        </w:rPr>
        <w:t>more coherent implementation of rules. The Deposit Guarantee Scheme Directive</w:t>
      </w:r>
      <w:r>
        <w:rPr>
          <w:rStyle w:val="FootnoteReference"/>
          <w:rFonts w:ascii="Times New Roman" w:hAnsi="Times New Roman" w:cs="Times New Roman"/>
          <w:bCs/>
          <w:iCs/>
          <w:noProof/>
          <w:sz w:val="24"/>
          <w:szCs w:val="24"/>
        </w:rPr>
        <w:footnoteReference w:id="17"/>
      </w:r>
      <w:r>
        <w:rPr>
          <w:rFonts w:ascii="Times New Roman" w:hAnsi="Times New Roman" w:cs="Times New Roman"/>
          <w:bCs/>
          <w:iCs/>
          <w:noProof/>
          <w:sz w:val="24"/>
          <w:szCs w:val="24"/>
        </w:rPr>
        <w:t xml:space="preserve"> adopted in 2014 has enhanced the functioning of national </w:t>
      </w:r>
      <w:r>
        <w:rPr>
          <w:rFonts w:ascii="Times New Roman" w:hAnsi="Times New Roman" w:cs="Times New Roman"/>
          <w:noProof/>
          <w:sz w:val="24"/>
          <w:szCs w:val="24"/>
        </w:rPr>
        <w:t>Depos</w:t>
      </w:r>
      <w:r>
        <w:rPr>
          <w:rFonts w:ascii="Times New Roman" w:hAnsi="Times New Roman" w:cs="Times New Roman"/>
          <w:noProof/>
          <w:sz w:val="24"/>
          <w:szCs w:val="24"/>
        </w:rPr>
        <w:t>it Guarantee  Schemes</w:t>
      </w:r>
      <w:r>
        <w:rPr>
          <w:rFonts w:ascii="Times New Roman" w:hAnsi="Times New Roman" w:cs="Times New Roman"/>
          <w:b/>
          <w:i/>
          <w:noProof/>
          <w:sz w:val="24"/>
          <w:szCs w:val="24"/>
        </w:rPr>
        <w:t xml:space="preserve"> </w:t>
      </w:r>
      <w:r>
        <w:rPr>
          <w:rFonts w:ascii="Times New Roman" w:hAnsi="Times New Roman" w:cs="Times New Roman"/>
          <w:bCs/>
          <w:iCs/>
          <w:noProof/>
          <w:sz w:val="24"/>
          <w:szCs w:val="24"/>
        </w:rPr>
        <w:t>and offers better protection to depositors through a harmonised coverage of depositors across the European Union and a shortened time-limit for payouts. As indicated in the 2015 Commission Communication, accompanying the European Depo</w:t>
      </w:r>
      <w:r>
        <w:rPr>
          <w:rFonts w:ascii="Times New Roman" w:hAnsi="Times New Roman" w:cs="Times New Roman"/>
          <w:bCs/>
          <w:iCs/>
          <w:noProof/>
          <w:sz w:val="24"/>
          <w:szCs w:val="24"/>
        </w:rPr>
        <w:t xml:space="preserve">sit Insurance Scheme proposal, harmonisation of national deposit schemes needs to advance in parallel with the establishment of the European Deposit Insurance Scheme to ensure the correct functioning of that Scheme </w:t>
      </w:r>
      <w:r>
        <w:rPr>
          <w:rStyle w:val="FootnoteReference"/>
          <w:rFonts w:ascii="Times New Roman" w:hAnsi="Times New Roman" w:cs="Times New Roman"/>
          <w:noProof/>
          <w:sz w:val="24"/>
          <w:szCs w:val="24"/>
        </w:rPr>
        <w:footnoteReference w:id="18"/>
      </w:r>
      <w:r>
        <w:rPr>
          <w:rFonts w:ascii="Times New Roman" w:hAnsi="Times New Roman" w:cs="Times New Roman"/>
          <w:bCs/>
          <w:iCs/>
          <w:noProof/>
          <w:sz w:val="24"/>
          <w:szCs w:val="24"/>
        </w:rPr>
        <w:t>. Some important differences remain acro</w:t>
      </w:r>
      <w:r>
        <w:rPr>
          <w:rFonts w:ascii="Times New Roman" w:hAnsi="Times New Roman" w:cs="Times New Roman"/>
          <w:bCs/>
          <w:iCs/>
          <w:noProof/>
          <w:sz w:val="24"/>
          <w:szCs w:val="24"/>
        </w:rPr>
        <w:t>ss Member States</w:t>
      </w:r>
      <w:r>
        <w:rPr>
          <w:rFonts w:ascii="Times New Roman" w:hAnsi="Times New Roman"/>
          <w:bCs/>
          <w:iCs/>
          <w:noProof/>
          <w:sz w:val="24"/>
          <w:szCs w:val="24"/>
        </w:rPr>
        <w:t xml:space="preserve"> in the implementation of the Deposit Guarantee Scheme Directive rules, for example on the conditions to declare deposits unavailable, the eligibility of deposits, the financing of Deposit Guarantee Schemes or the use of Deposit Guarantee S</w:t>
      </w:r>
      <w:r>
        <w:rPr>
          <w:rFonts w:ascii="Times New Roman" w:hAnsi="Times New Roman"/>
          <w:bCs/>
          <w:iCs/>
          <w:noProof/>
          <w:sz w:val="24"/>
          <w:szCs w:val="24"/>
        </w:rPr>
        <w:t>cheme funds. For the Banking Union, greater harmonisation of these differences is needed since they will be financed through a common fund to which all banks in the Banking Union will contribute but greater harmonisation will also be for the benefit of the</w:t>
      </w:r>
      <w:r>
        <w:rPr>
          <w:rFonts w:ascii="Times New Roman" w:hAnsi="Times New Roman"/>
          <w:bCs/>
          <w:iCs/>
          <w:noProof/>
          <w:sz w:val="24"/>
          <w:szCs w:val="24"/>
        </w:rPr>
        <w:t xml:space="preserve"> internal market as a whole. </w:t>
      </w:r>
    </w:p>
    <w:p w:rsidR="0015531A" w:rsidRDefault="0081380B">
      <w:pPr>
        <w:spacing w:line="240" w:lineRule="auto"/>
        <w:jc w:val="both"/>
        <w:rPr>
          <w:rFonts w:ascii="Times New Roman" w:hAnsi="Times New Roman"/>
          <w:bCs/>
          <w:iCs/>
          <w:noProof/>
          <w:sz w:val="24"/>
          <w:szCs w:val="24"/>
        </w:rPr>
      </w:pPr>
      <w:r>
        <w:rPr>
          <w:rFonts w:ascii="Times New Roman" w:hAnsi="Times New Roman"/>
          <w:bCs/>
          <w:iCs/>
          <w:noProof/>
          <w:sz w:val="24"/>
          <w:szCs w:val="24"/>
        </w:rPr>
        <w:t>The exchange of information and instruments to promote coordination among national Deposit Guarantee Schemes need also to be improved because  for the European Deposit Insurance Scheme to work properly, national competent auth</w:t>
      </w:r>
      <w:r>
        <w:rPr>
          <w:rFonts w:ascii="Times New Roman" w:hAnsi="Times New Roman"/>
          <w:bCs/>
          <w:iCs/>
          <w:noProof/>
          <w:sz w:val="24"/>
          <w:szCs w:val="24"/>
        </w:rPr>
        <w:t>orities and Deposit Guarantee Schemes will have to coordinate among themselves and with the Single Resolution Board, in some circumstances within very tight deadlines. The powers entrusted to the Single Resolution Board by the European Deposit Insurance Sc</w:t>
      </w:r>
      <w:r>
        <w:rPr>
          <w:rFonts w:ascii="Times New Roman" w:hAnsi="Times New Roman"/>
          <w:bCs/>
          <w:iCs/>
          <w:noProof/>
          <w:sz w:val="24"/>
          <w:szCs w:val="24"/>
        </w:rPr>
        <w:t>heme proposal are not general, do not encompass certain aspects related to deposit insurance activities which are relevant to perform its tasks (e.g. declaration of deposits as unavailable) and are limited to Member States participating in the Banking Unio</w:t>
      </w:r>
      <w:r>
        <w:rPr>
          <w:rFonts w:ascii="Times New Roman" w:hAnsi="Times New Roman"/>
          <w:bCs/>
          <w:iCs/>
          <w:noProof/>
          <w:sz w:val="24"/>
          <w:szCs w:val="24"/>
        </w:rPr>
        <w:t xml:space="preserve">n. Adjustments to the Deposit Guarantee Schemes Directive are needed to facilitate cross-border  interventions by such Schemes, foster </w:t>
      </w:r>
      <w:r>
        <w:rPr>
          <w:rFonts w:ascii="Times New Roman" w:hAnsi="Times New Roman"/>
          <w:noProof/>
          <w:sz w:val="24"/>
          <w:szCs w:val="24"/>
        </w:rPr>
        <w:t xml:space="preserve">convergence and improve the exchange of information among national Deposit Guarantee Schemes, competent authorities, the </w:t>
      </w:r>
      <w:r>
        <w:rPr>
          <w:rFonts w:ascii="Times New Roman" w:hAnsi="Times New Roman"/>
          <w:noProof/>
          <w:sz w:val="24"/>
          <w:szCs w:val="24"/>
        </w:rPr>
        <w:t>Single Resolution Board and the European Banking Authority (EBA). The European Banking Authority, the authority in charge of safeguarding the integrity, efficiency and orderly functioning of the banking sector across all Member States, shall be given the p</w:t>
      </w:r>
      <w:r>
        <w:rPr>
          <w:rFonts w:ascii="Times New Roman" w:hAnsi="Times New Roman"/>
          <w:noProof/>
          <w:sz w:val="24"/>
          <w:szCs w:val="24"/>
        </w:rPr>
        <w:t>owers to assist in and promote such processes</w:t>
      </w:r>
      <w:r>
        <w:rPr>
          <w:rFonts w:ascii="Times New Roman" w:hAnsi="Times New Roman"/>
          <w:bCs/>
          <w:iCs/>
          <w:noProof/>
          <w:sz w:val="24"/>
          <w:szCs w:val="24"/>
        </w:rPr>
        <w:t xml:space="preserve">. This will enhance deposit protection within the internal market and, as a consequence, facilitate the functioning of the European Deposit Insurance Scheme. </w:t>
      </w:r>
      <w:r>
        <w:rPr>
          <w:rFonts w:ascii="Times New Roman" w:hAnsi="Times New Roman"/>
          <w:noProof/>
          <w:sz w:val="24"/>
          <w:szCs w:val="24"/>
        </w:rPr>
        <w:t>Better cooperation and exchange of information betwee</w:t>
      </w:r>
      <w:r>
        <w:rPr>
          <w:rFonts w:ascii="Times New Roman" w:hAnsi="Times New Roman"/>
          <w:noProof/>
          <w:sz w:val="24"/>
          <w:szCs w:val="24"/>
        </w:rPr>
        <w:t>n national authorities and the Deposit Guarantee Schemes from different Member States, through the European Banking Authority, will also smoothen the interaction with national Deposit Guarantee Schemes and national authorities of non-Banking Union Member S</w:t>
      </w:r>
      <w:r>
        <w:rPr>
          <w:rFonts w:ascii="Times New Roman" w:hAnsi="Times New Roman"/>
          <w:noProof/>
          <w:sz w:val="24"/>
          <w:szCs w:val="24"/>
        </w:rPr>
        <w:t>tates and the European Deposit Insurance Scheme, as well as the accession of non-euro Member States to the European Deposit Insurance Scheme.</w:t>
      </w:r>
      <w:r>
        <w:rPr>
          <w:rFonts w:ascii="Times New Roman" w:hAnsi="Times New Roman"/>
          <w:bCs/>
          <w:iCs/>
          <w:noProof/>
          <w:sz w:val="24"/>
          <w:szCs w:val="24"/>
        </w:rPr>
        <w:t xml:space="preserve">  </w:t>
      </w:r>
    </w:p>
    <w:p w:rsidR="0015531A" w:rsidRDefault="0081380B">
      <w:pPr>
        <w:spacing w:line="240" w:lineRule="auto"/>
        <w:jc w:val="both"/>
        <w:rPr>
          <w:rFonts w:ascii="Times New Roman" w:hAnsi="Times New Roman"/>
          <w:noProof/>
          <w:sz w:val="24"/>
          <w:szCs w:val="24"/>
        </w:rPr>
      </w:pPr>
      <w:r>
        <w:rPr>
          <w:rFonts w:ascii="Times New Roman" w:hAnsi="Times New Roman"/>
          <w:noProof/>
          <w:sz w:val="24"/>
          <w:szCs w:val="24"/>
        </w:rPr>
        <w:t>Filling this gap will also align the architecture of the three pillars of the Banking Union (supervision, resolu</w:t>
      </w:r>
      <w:r>
        <w:rPr>
          <w:rFonts w:ascii="Times New Roman" w:hAnsi="Times New Roman"/>
          <w:noProof/>
          <w:sz w:val="24"/>
          <w:szCs w:val="24"/>
        </w:rPr>
        <w:t>tion and deposit insurance) since in all three there will be an European Union central institution or an agency (the European Central Bank, the Single Resolution Board and the European Deposit Insurance Scheme, respectively) in charge of the implementation</w:t>
      </w:r>
      <w:r>
        <w:rPr>
          <w:rFonts w:ascii="Times New Roman" w:hAnsi="Times New Roman"/>
          <w:noProof/>
          <w:sz w:val="24"/>
          <w:szCs w:val="24"/>
        </w:rPr>
        <w:t xml:space="preserve"> and an European Union agency (the European Banking Authority) coordinating national authorities operating in their respective fields. </w:t>
      </w:r>
    </w:p>
    <w:p w:rsidR="0015531A" w:rsidRDefault="0081380B">
      <w:pPr>
        <w:spacing w:line="240" w:lineRule="auto"/>
        <w:jc w:val="both"/>
        <w:rPr>
          <w:rFonts w:ascii="Times New Roman" w:hAnsi="Times New Roman"/>
          <w:noProof/>
          <w:sz w:val="24"/>
          <w:szCs w:val="24"/>
        </w:rPr>
      </w:pPr>
      <w:r>
        <w:rPr>
          <w:rFonts w:ascii="Times New Roman" w:hAnsi="Times New Roman"/>
          <w:bCs/>
          <w:iCs/>
          <w:noProof/>
          <w:sz w:val="24"/>
          <w:szCs w:val="24"/>
        </w:rPr>
        <w:t xml:space="preserve">Finally, the harmonisation of some national options and discretions set out in the Deposit Guarantee Schemes Directive, </w:t>
      </w:r>
      <w:r>
        <w:rPr>
          <w:rFonts w:ascii="Times New Roman" w:hAnsi="Times New Roman"/>
          <w:noProof/>
          <w:sz w:val="24"/>
          <w:szCs w:val="24"/>
        </w:rPr>
        <w:t xml:space="preserve">will contribute to further reducing financial fragmentation and simplifying the coordinating role played by the European Deposit Insurance Scheme and the European Banking Authority. </w:t>
      </w:r>
    </w:p>
    <w:p w:rsidR="0015531A" w:rsidRDefault="0015531A">
      <w:pPr>
        <w:spacing w:line="240" w:lineRule="auto"/>
        <w:jc w:val="both"/>
        <w:rPr>
          <w:rFonts w:ascii="Times New Roman" w:hAnsi="Times New Roman"/>
          <w:noProof/>
          <w:sz w:val="24"/>
          <w:szCs w:val="24"/>
        </w:rPr>
      </w:pPr>
    </w:p>
    <w:p w:rsidR="0015531A" w:rsidRDefault="0081380B">
      <w:pPr>
        <w:keepNext/>
        <w:widowControl w:val="0"/>
        <w:spacing w:line="240" w:lineRule="auto"/>
        <w:jc w:val="both"/>
        <w:rPr>
          <w:rFonts w:ascii="Times New Roman" w:hAnsi="Times New Roman"/>
          <w:b/>
          <w:noProof/>
          <w:sz w:val="24"/>
        </w:rPr>
      </w:pPr>
      <w:r>
        <w:rPr>
          <w:rFonts w:ascii="Times New Roman" w:hAnsi="Times New Roman" w:cs="Times New Roman"/>
          <w:b/>
          <w:noProof/>
          <w:sz w:val="24"/>
          <w:szCs w:val="24"/>
        </w:rPr>
        <w:t>4</w:t>
      </w:r>
      <w:r>
        <w:rPr>
          <w:rFonts w:ascii="Times New Roman" w:hAnsi="Times New Roman"/>
          <w:b/>
          <w:noProof/>
          <w:sz w:val="24"/>
        </w:rPr>
        <w:t>. Completing a backstop to the Banking Union</w:t>
      </w:r>
    </w:p>
    <w:tbl>
      <w:tblPr>
        <w:tblStyle w:val="TableGrid"/>
        <w:tblW w:w="0" w:type="auto"/>
        <w:tblLook w:val="04A0" w:firstRow="1" w:lastRow="0" w:firstColumn="1" w:lastColumn="0" w:noHBand="0" w:noVBand="1"/>
      </w:tblPr>
      <w:tblGrid>
        <w:gridCol w:w="3096"/>
        <w:gridCol w:w="3096"/>
        <w:gridCol w:w="3096"/>
      </w:tblGrid>
      <w:tr w:rsidR="0015531A">
        <w:tc>
          <w:tcPr>
            <w:tcW w:w="3096" w:type="dxa"/>
            <w:shd w:val="clear" w:color="auto" w:fill="FABF8F" w:themeFill="accent6" w:themeFillTint="99"/>
          </w:tcPr>
          <w:p w:rsidR="0015531A" w:rsidRDefault="0081380B">
            <w:pPr>
              <w:keepNext/>
              <w:widowControl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2016 Council Roadmap</w:t>
            </w:r>
          </w:p>
        </w:tc>
        <w:tc>
          <w:tcPr>
            <w:tcW w:w="3096" w:type="dxa"/>
          </w:tcPr>
          <w:p w:rsidR="0015531A" w:rsidRDefault="0081380B">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cs="Times New Roman"/>
                <w:b/>
                <w:i/>
                <w:noProof/>
                <w:sz w:val="20"/>
                <w:szCs w:val="20"/>
              </w:rPr>
              <w:t>Status</w:t>
            </w:r>
          </w:p>
        </w:tc>
        <w:tc>
          <w:tcPr>
            <w:tcW w:w="3096" w:type="dxa"/>
            <w:shd w:val="clear" w:color="auto" w:fill="FABF8F" w:themeFill="accent6" w:themeFillTint="99"/>
          </w:tcPr>
          <w:p w:rsidR="0015531A" w:rsidRDefault="0081380B">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Next steps</w:t>
            </w:r>
          </w:p>
        </w:tc>
      </w:tr>
      <w:tr w:rsidR="0015531A">
        <w:tc>
          <w:tcPr>
            <w:tcW w:w="3096" w:type="dxa"/>
          </w:tcPr>
          <w:p w:rsidR="0015531A" w:rsidRDefault="0081380B">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 xml:space="preserve">Takes note of the intention of Member States to start work in September 2016 if and when all participating Member States have fully transposed the Bank Recovery and Resolution Directive. </w:t>
            </w:r>
          </w:p>
          <w:p w:rsidR="0015531A" w:rsidRDefault="0081380B">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Reaffirms the need to have the common backstop fu</w:t>
            </w:r>
            <w:r>
              <w:rPr>
                <w:rFonts w:ascii="Times New Roman" w:hAnsi="Times New Roman" w:cs="Times New Roman"/>
                <w:noProof/>
                <w:sz w:val="20"/>
                <w:szCs w:val="20"/>
              </w:rPr>
              <w:t>lly operational at the latest by the end of the transition period of the Single Resolution Fund, or ealier depending on progress with risk reduction measures.</w:t>
            </w:r>
          </w:p>
        </w:tc>
        <w:tc>
          <w:tcPr>
            <w:tcW w:w="3096" w:type="dxa"/>
          </w:tcPr>
          <w:p w:rsidR="0015531A" w:rsidRDefault="0081380B">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Technical work started in November 2016.</w:t>
            </w:r>
          </w:p>
        </w:tc>
        <w:tc>
          <w:tcPr>
            <w:tcW w:w="3096" w:type="dxa"/>
          </w:tcPr>
          <w:p w:rsidR="0015531A" w:rsidRDefault="0081380B">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cs="Times New Roman"/>
                <w:noProof/>
                <w:sz w:val="20"/>
                <w:szCs w:val="20"/>
              </w:rPr>
              <w:t>Political negotiations should be finalised by 2018.</w:t>
            </w:r>
          </w:p>
        </w:tc>
      </w:tr>
    </w:tbl>
    <w:p w:rsidR="0015531A" w:rsidRDefault="0015531A">
      <w:pPr>
        <w:keepNext/>
        <w:spacing w:line="240" w:lineRule="auto"/>
        <w:jc w:val="both"/>
        <w:rPr>
          <w:rFonts w:ascii="Times New Roman" w:hAnsi="Times New Roman" w:cs="Times New Roman"/>
          <w:noProof/>
          <w:sz w:val="24"/>
          <w:szCs w:val="24"/>
        </w:rPr>
      </w:pPr>
    </w:p>
    <w:p w:rsidR="0015531A" w:rsidRDefault="0015531A">
      <w:pPr>
        <w:autoSpaceDE w:val="0"/>
        <w:autoSpaceDN w:val="0"/>
        <w:adjustRightInd w:val="0"/>
        <w:spacing w:after="0" w:line="240" w:lineRule="auto"/>
        <w:jc w:val="both"/>
        <w:rPr>
          <w:rFonts w:ascii="Times New Roman" w:hAnsi="Times New Roman"/>
          <w:noProof/>
          <w:color w:val="000000"/>
          <w:sz w:val="24"/>
        </w:rPr>
      </w:pPr>
    </w:p>
    <w:p w:rsidR="0015531A" w:rsidRDefault="0015531A">
      <w:pPr>
        <w:autoSpaceDE w:val="0"/>
        <w:autoSpaceDN w:val="0"/>
        <w:adjustRightInd w:val="0"/>
        <w:spacing w:after="0" w:line="240" w:lineRule="auto"/>
        <w:jc w:val="both"/>
        <w:rPr>
          <w:rFonts w:ascii="Times New Roman" w:hAnsi="Times New Roman"/>
          <w:noProof/>
          <w:color w:val="000000"/>
          <w:sz w:val="24"/>
        </w:rPr>
      </w:pPr>
    </w:p>
    <w:p w:rsidR="0015531A" w:rsidRDefault="0081380B">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color w:val="000000"/>
          <w:sz w:val="24"/>
        </w:rPr>
        <w:t xml:space="preserve">When the Single Resolution Mechanism was set up, Member States agreed to develop a common backstop to the </w:t>
      </w:r>
      <w:r>
        <w:rPr>
          <w:rFonts w:ascii="Times New Roman" w:hAnsi="Times New Roman" w:cs="Times New Roman"/>
          <w:noProof/>
          <w:sz w:val="24"/>
          <w:szCs w:val="24"/>
        </w:rPr>
        <w:t>Single Resolution Fund</w:t>
      </w:r>
      <w:r>
        <w:rPr>
          <w:rFonts w:ascii="Times New Roman" w:hAnsi="Times New Roman" w:cs="Times New Roman"/>
          <w:noProof/>
          <w:color w:val="000000"/>
          <w:sz w:val="24"/>
          <w:szCs w:val="24"/>
        </w:rPr>
        <w:t>, which should be fiscally neutral over the medium term as contributions would be recouped by way of contributions from the bank</w:t>
      </w:r>
      <w:r>
        <w:rPr>
          <w:rFonts w:ascii="Times New Roman" w:hAnsi="Times New Roman" w:cs="Times New Roman"/>
          <w:noProof/>
          <w:color w:val="000000"/>
          <w:sz w:val="24"/>
          <w:szCs w:val="24"/>
        </w:rPr>
        <w:t>ing sector.</w:t>
      </w:r>
      <w:r>
        <w:rPr>
          <w:rFonts w:ascii="Times New Roman" w:hAnsi="Times New Roman"/>
          <w:noProof/>
          <w:color w:val="000000"/>
          <w:sz w:val="24"/>
        </w:rPr>
        <w:t xml:space="preserve"> It was also agreed that this backstop had to be fully operational at the latest after ten years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rsidR="0015531A" w:rsidRDefault="0015531A">
      <w:pPr>
        <w:pStyle w:val="Default"/>
        <w:jc w:val="both"/>
        <w:rPr>
          <w:rFonts w:ascii="Times New Roman" w:hAnsi="Times New Roman" w:cs="Times New Roman"/>
          <w:noProof/>
        </w:rPr>
      </w:pPr>
    </w:p>
    <w:p w:rsidR="0015531A" w:rsidRDefault="0081380B">
      <w:pPr>
        <w:pStyle w:val="Default"/>
        <w:jc w:val="both"/>
        <w:rPr>
          <w:rFonts w:ascii="Times New Roman" w:hAnsi="Times New Roman" w:cs="Times New Roman"/>
          <w:noProof/>
        </w:rPr>
      </w:pPr>
      <w:r>
        <w:rPr>
          <w:rFonts w:ascii="Times New Roman" w:hAnsi="Times New Roman" w:cs="Times New Roman"/>
          <w:noProof/>
        </w:rPr>
        <w:t>Although the European supervision and resolution frameworks have significantly reduced the likelihood and potential impact of bank failures, the</w:t>
      </w:r>
      <w:r>
        <w:rPr>
          <w:rFonts w:ascii="Times New Roman" w:hAnsi="Times New Roman" w:cs="Times New Roman"/>
          <w:noProof/>
        </w:rPr>
        <w:t xml:space="preserve"> need to access a common fiscal backstop to enhance the financial capacity of the Single Resolution Fund for coping with bank resolutions cannot be entirely ruled out. The main objective of such a backstop is to instill confidence in the banking system by </w:t>
      </w:r>
      <w:r>
        <w:rPr>
          <w:rFonts w:ascii="Times New Roman" w:hAnsi="Times New Roman" w:cs="Times New Roman"/>
          <w:noProof/>
        </w:rPr>
        <w:t>underpinning the credibility of actions taken by the Single Resolution Board and ensuring that those actions enjoy absolute confidence among all parties concerned. As a last resort tool, it would only be activated in case the Single Resolution Fund’s immed</w:t>
      </w:r>
      <w:r>
        <w:rPr>
          <w:rFonts w:ascii="Times New Roman" w:hAnsi="Times New Roman" w:cs="Times New Roman"/>
          <w:noProof/>
        </w:rPr>
        <w:t>iately available resources prove to be insufficient for capital or liquidity purposes.</w:t>
      </w:r>
    </w:p>
    <w:p w:rsidR="0015531A" w:rsidRDefault="0015531A">
      <w:pPr>
        <w:pStyle w:val="Default"/>
        <w:jc w:val="both"/>
        <w:rPr>
          <w:rFonts w:ascii="Times New Roman" w:hAnsi="Times New Roman" w:cs="Times New Roman"/>
          <w:noProof/>
        </w:rPr>
      </w:pPr>
    </w:p>
    <w:p w:rsidR="0015531A" w:rsidRDefault="0081380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remains equally important that there is sufficient liquidity available for systemic banks facing problems in resolution, to ensure that bank depositors, as well as o</w:t>
      </w:r>
      <w:r>
        <w:rPr>
          <w:rFonts w:ascii="Times New Roman" w:hAnsi="Times New Roman" w:cs="Times New Roman"/>
          <w:noProof/>
          <w:sz w:val="24"/>
          <w:szCs w:val="24"/>
        </w:rPr>
        <w:t>ther stakeholders and the market overall, are sufficiently resilient. Without prejudice to the availability of liquidity from central bank operations and in combination with them, the mechanism should be sufficiently robust and with a capacity large enough</w:t>
      </w:r>
      <w:r>
        <w:rPr>
          <w:rFonts w:ascii="Times New Roman" w:hAnsi="Times New Roman" w:cs="Times New Roman"/>
          <w:noProof/>
          <w:sz w:val="24"/>
          <w:szCs w:val="24"/>
        </w:rPr>
        <w:t xml:space="preserve"> to reassure bank stakeholders and the overall market that it can contribute to possible liquidity needs of a bank facing adversity. </w:t>
      </w:r>
    </w:p>
    <w:p w:rsidR="0015531A" w:rsidRDefault="0015531A">
      <w:pPr>
        <w:pStyle w:val="Default"/>
        <w:jc w:val="both"/>
        <w:rPr>
          <w:rFonts w:ascii="Times New Roman" w:hAnsi="Times New Roman" w:cs="Times New Roman"/>
          <w:noProof/>
        </w:rPr>
      </w:pPr>
    </w:p>
    <w:p w:rsidR="0015531A" w:rsidRDefault="0081380B">
      <w:pPr>
        <w:pStyle w:val="Default"/>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Economic and Monetary Union reflection paper</w:t>
      </w:r>
      <w:r>
        <w:rPr>
          <w:rFonts w:ascii="Times New Roman" w:hAnsi="Times New Roman" w:cs="Times New Roman"/>
          <w:noProof/>
        </w:rPr>
        <w:t xml:space="preserve"> identifies certain criteria that the backstop should meet to be operatio</w:t>
      </w:r>
      <w:r>
        <w:rPr>
          <w:rFonts w:ascii="Times New Roman" w:hAnsi="Times New Roman" w:cs="Times New Roman"/>
          <w:noProof/>
        </w:rPr>
        <w:t xml:space="preserve">nal in the event of a crisis: it should be of an adequate size to be able to fulfil its role; activated in a swift manner </w:t>
      </w:r>
      <w:r>
        <w:rPr>
          <w:rFonts w:ascii="Times New Roman" w:hAnsi="Times New Roman"/>
          <w:noProof/>
        </w:rPr>
        <w:t>which is essential in times of crisis</w:t>
      </w:r>
      <w:r>
        <w:rPr>
          <w:rFonts w:ascii="Times New Roman" w:hAnsi="Times New Roman" w:cs="Times New Roman"/>
          <w:noProof/>
        </w:rPr>
        <w:t>; and fiscally neutral  given that the Single Resolution Mechanism Regulation stipulates that the</w:t>
      </w:r>
      <w:r>
        <w:rPr>
          <w:rFonts w:ascii="Times New Roman" w:hAnsi="Times New Roman" w:cs="Times New Roman"/>
          <w:noProof/>
        </w:rPr>
        <w:t xml:space="preserve"> banking industry repays any potential disbursements from the Single Resolution Fund. No room should remain for national considerations or segmentation. The financial and institutional architecture should ensure full efficiency in achieving the backstop's </w:t>
      </w:r>
      <w:r>
        <w:rPr>
          <w:rFonts w:ascii="Times New Roman" w:hAnsi="Times New Roman" w:cs="Times New Roman"/>
          <w:noProof/>
        </w:rPr>
        <w:t xml:space="preserve">objectives. The </w:t>
      </w:r>
      <w:r>
        <w:rPr>
          <w:rFonts w:ascii="Times New Roman" w:hAnsi="Times New Roman" w:cs="Times New Roman"/>
          <w:i/>
          <w:noProof/>
        </w:rPr>
        <w:t>Economic and Monetary Union reflection paper</w:t>
      </w:r>
      <w:r>
        <w:rPr>
          <w:rFonts w:ascii="Times New Roman" w:hAnsi="Times New Roman" w:cs="Times New Roman"/>
          <w:noProof/>
        </w:rPr>
        <w:t xml:space="preserve"> identified a credit line from the European Stability Mechanism (ESM) as the most effective option. </w:t>
      </w:r>
    </w:p>
    <w:p w:rsidR="0015531A" w:rsidRDefault="0015531A">
      <w:pPr>
        <w:pStyle w:val="Default"/>
        <w:jc w:val="both"/>
        <w:rPr>
          <w:rFonts w:ascii="Times New Roman" w:hAnsi="Times New Roman" w:cs="Times New Roman"/>
          <w:noProof/>
        </w:rPr>
      </w:pPr>
    </w:p>
    <w:p w:rsidR="0015531A" w:rsidRDefault="0081380B">
      <w:pPr>
        <w:pStyle w:val="Default"/>
        <w:jc w:val="both"/>
        <w:rPr>
          <w:rFonts w:ascii="Times New Roman" w:hAnsi="Times New Roman"/>
          <w:noProof/>
        </w:rPr>
      </w:pPr>
      <w:r>
        <w:rPr>
          <w:rFonts w:ascii="Times New Roman" w:hAnsi="Times New Roman"/>
          <w:noProof/>
        </w:rPr>
        <w:t>It is equally important that the backstop ensures equivalent rights and obligations across all</w:t>
      </w:r>
      <w:r>
        <w:rPr>
          <w:rFonts w:ascii="Times New Roman" w:hAnsi="Times New Roman"/>
          <w:noProof/>
        </w:rPr>
        <w:t xml:space="preserve"> participating Member States of the Banking Union regardless of whether they are member of the euro area or not. This will ensure that the Banking Union continues to be open for participation of all Member States, in principle as well as in practice. In ad</w:t>
      </w:r>
      <w:r>
        <w:rPr>
          <w:rFonts w:ascii="Times New Roman" w:hAnsi="Times New Roman"/>
          <w:noProof/>
        </w:rPr>
        <w:t>dition, the existing concept of conditionality for stability support from the European Stability Mechanism would need to be adjusted for the backstop function, taking into account that in the context of the Banking Union, incentives for banks to act pruden</w:t>
      </w:r>
      <w:r>
        <w:rPr>
          <w:rFonts w:ascii="Times New Roman" w:hAnsi="Times New Roman"/>
          <w:noProof/>
        </w:rPr>
        <w:t xml:space="preserve">tly and reform where necessary are already provided through the tools of the single rule book, of single supervision and single resolution. </w:t>
      </w:r>
    </w:p>
    <w:p w:rsidR="0015531A" w:rsidRDefault="0015531A">
      <w:pPr>
        <w:pStyle w:val="Default"/>
        <w:jc w:val="both"/>
        <w:rPr>
          <w:rFonts w:ascii="Times New Roman" w:hAnsi="Times New Roman"/>
          <w:noProof/>
        </w:rPr>
      </w:pPr>
    </w:p>
    <w:p w:rsidR="0015531A" w:rsidRDefault="0081380B">
      <w:pPr>
        <w:pStyle w:val="Default"/>
        <w:jc w:val="both"/>
        <w:rPr>
          <w:rFonts w:ascii="Times New Roman" w:hAnsi="Times New Roman" w:cs="Times New Roman"/>
          <w:noProof/>
        </w:rPr>
      </w:pPr>
      <w:r>
        <w:rPr>
          <w:rFonts w:ascii="Times New Roman" w:hAnsi="Times New Roman" w:cs="Times New Roman"/>
          <w:noProof/>
        </w:rPr>
        <w:t>Work on the common backstop has started, and the 2016 Council Roadmap indicated that the backstop may become opera</w:t>
      </w:r>
      <w:r>
        <w:rPr>
          <w:rFonts w:ascii="Times New Roman" w:hAnsi="Times New Roman" w:cs="Times New Roman"/>
          <w:noProof/>
        </w:rPr>
        <w:t xml:space="preserve">tional ahead of the end of the transition period, subject to progress being made on risk reduction measures. </w:t>
      </w:r>
    </w:p>
    <w:p w:rsidR="0015531A" w:rsidRDefault="0015531A">
      <w:pPr>
        <w:pStyle w:val="Default"/>
        <w:jc w:val="both"/>
        <w:rPr>
          <w:rFonts w:ascii="Times New Roman" w:hAnsi="Times New Roman" w:cs="Times New Roman"/>
          <w:noProof/>
        </w:rPr>
      </w:pPr>
    </w:p>
    <w:p w:rsidR="0015531A" w:rsidRDefault="0081380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insist that the backstop must become operational as rapidly as possible. Against that background, the Commission </w:t>
      </w:r>
      <w:r>
        <w:rPr>
          <w:rFonts w:ascii="Times New Roman" w:hAnsi="Times New Roman" w:cs="Times New Roman"/>
          <w:noProof/>
          <w:sz w:val="24"/>
          <w:szCs w:val="24"/>
        </w:rPr>
        <w:t xml:space="preserve">supports the ongoing work of the Task Force on Coordinated Action (TFCA) with regard to a credit line from the </w:t>
      </w:r>
      <w:r>
        <w:rPr>
          <w:rFonts w:ascii="Times New Roman" w:hAnsi="Times New Roman" w:cs="Times New Roman"/>
          <w:noProof/>
        </w:rPr>
        <w:t>European Stability Mechanism</w:t>
      </w:r>
      <w:r>
        <w:rPr>
          <w:rFonts w:ascii="Times New Roman" w:hAnsi="Times New Roman" w:cs="Times New Roman"/>
          <w:noProof/>
          <w:sz w:val="24"/>
          <w:szCs w:val="24"/>
        </w:rPr>
        <w:t>, work that should be pursued as a matter of priority. This work stream will need to be articulated with the Commissi</w:t>
      </w:r>
      <w:r>
        <w:rPr>
          <w:rFonts w:ascii="Times New Roman" w:hAnsi="Times New Roman" w:cs="Times New Roman"/>
          <w:noProof/>
          <w:sz w:val="24"/>
          <w:szCs w:val="24"/>
        </w:rPr>
        <w:t xml:space="preserve">on's forthcoming package of proposals for the deepening of the Economic and Monetary Union, which will include a proposal to transform the </w:t>
      </w:r>
      <w:r>
        <w:rPr>
          <w:rFonts w:ascii="Times New Roman" w:hAnsi="Times New Roman" w:cs="Times New Roman"/>
          <w:noProof/>
        </w:rPr>
        <w:t>European Stability Mechanism</w:t>
      </w:r>
      <w:r>
        <w:rPr>
          <w:rFonts w:ascii="Times New Roman" w:hAnsi="Times New Roman" w:cs="Times New Roman"/>
          <w:noProof/>
          <w:sz w:val="24"/>
          <w:szCs w:val="24"/>
        </w:rPr>
        <w:t xml:space="preserve"> into a European Monetary Fund, within the framework of Union law. In this context, it wi</w:t>
      </w:r>
      <w:r>
        <w:rPr>
          <w:rFonts w:ascii="Times New Roman" w:hAnsi="Times New Roman" w:cs="Times New Roman"/>
          <w:noProof/>
          <w:sz w:val="24"/>
          <w:szCs w:val="24"/>
        </w:rPr>
        <w:t xml:space="preserve">ll also be important to ensure an efficient decision-making process that will allow for a swift deployment of the backstop, in those last resort situations where this might become necessary. </w:t>
      </w:r>
    </w:p>
    <w:p w:rsidR="0015531A" w:rsidRDefault="0015531A">
      <w:pPr>
        <w:spacing w:after="0" w:line="240" w:lineRule="auto"/>
        <w:jc w:val="both"/>
        <w:rPr>
          <w:rFonts w:ascii="Times New Roman" w:hAnsi="Times New Roman" w:cs="Times New Roman"/>
          <w:noProof/>
          <w:sz w:val="24"/>
          <w:szCs w:val="24"/>
        </w:rPr>
      </w:pPr>
    </w:p>
    <w:p w:rsidR="0015531A" w:rsidRDefault="0015531A">
      <w:pPr>
        <w:spacing w:after="0" w:line="240" w:lineRule="auto"/>
        <w:jc w:val="both"/>
        <w:rPr>
          <w:rFonts w:ascii="Times New Roman" w:hAnsi="Times New Roman" w:cs="Times New Roman"/>
          <w:noProof/>
          <w:sz w:val="24"/>
          <w:szCs w:val="24"/>
        </w:rPr>
      </w:pPr>
    </w:p>
    <w:p w:rsidR="0015531A" w:rsidRDefault="0081380B">
      <w:pPr>
        <w:keepNext/>
        <w:spacing w:line="240" w:lineRule="auto"/>
        <w:jc w:val="both"/>
        <w:rPr>
          <w:rFonts w:ascii="Times New Roman" w:hAnsi="Times New Roman"/>
          <w:b/>
          <w:noProof/>
          <w:sz w:val="24"/>
        </w:rPr>
      </w:pPr>
      <w:r>
        <w:rPr>
          <w:rFonts w:ascii="Times New Roman" w:hAnsi="Times New Roman" w:cs="Times New Roman"/>
          <w:b/>
          <w:noProof/>
          <w:sz w:val="24"/>
          <w:szCs w:val="24"/>
        </w:rPr>
        <w:t>5.</w:t>
      </w:r>
      <w:r>
        <w:rPr>
          <w:rFonts w:ascii="Times New Roman" w:hAnsi="Times New Roman"/>
          <w:b/>
          <w:noProof/>
          <w:sz w:val="24"/>
        </w:rPr>
        <w:t xml:space="preserve"> Additional new measures: Actions to address Non-Performing </w:t>
      </w:r>
      <w:r>
        <w:rPr>
          <w:rFonts w:ascii="Times New Roman" w:hAnsi="Times New Roman"/>
          <w:b/>
          <w:noProof/>
          <w:sz w:val="24"/>
        </w:rPr>
        <w:t>Loans</w:t>
      </w:r>
    </w:p>
    <w:tbl>
      <w:tblPr>
        <w:tblStyle w:val="TableGrid"/>
        <w:tblW w:w="9322" w:type="dxa"/>
        <w:tblLook w:val="04A0" w:firstRow="1" w:lastRow="0" w:firstColumn="1" w:lastColumn="0" w:noHBand="0" w:noVBand="1"/>
      </w:tblPr>
      <w:tblGrid>
        <w:gridCol w:w="3510"/>
        <w:gridCol w:w="2977"/>
        <w:gridCol w:w="2835"/>
      </w:tblGrid>
      <w:tr w:rsidR="0015531A">
        <w:tc>
          <w:tcPr>
            <w:tcW w:w="3510" w:type="dxa"/>
            <w:shd w:val="clear" w:color="auto" w:fill="FABF8F" w:themeFill="accent6" w:themeFillTint="99"/>
          </w:tcPr>
          <w:p w:rsidR="0015531A" w:rsidRDefault="0081380B">
            <w:pPr>
              <w:keepNext/>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2016 Council Roadmap</w:t>
            </w:r>
          </w:p>
        </w:tc>
        <w:tc>
          <w:tcPr>
            <w:tcW w:w="2977" w:type="dxa"/>
          </w:tcPr>
          <w:p w:rsidR="0015531A" w:rsidRDefault="0081380B">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cs="Times New Roman"/>
                <w:b/>
                <w:i/>
                <w:noProof/>
                <w:sz w:val="20"/>
                <w:szCs w:val="20"/>
              </w:rPr>
              <w:t>Status</w:t>
            </w:r>
          </w:p>
        </w:tc>
        <w:tc>
          <w:tcPr>
            <w:tcW w:w="2835" w:type="dxa"/>
            <w:shd w:val="clear" w:color="auto" w:fill="FABF8F" w:themeFill="accent6" w:themeFillTint="99"/>
          </w:tcPr>
          <w:p w:rsidR="0015531A" w:rsidRDefault="0081380B">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Next steps</w:t>
            </w:r>
          </w:p>
        </w:tc>
      </w:tr>
      <w:tr w:rsidR="0015531A">
        <w:tc>
          <w:tcPr>
            <w:tcW w:w="3510" w:type="dxa"/>
          </w:tcPr>
          <w:p w:rsidR="0015531A" w:rsidRDefault="0081380B">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Propose a legislative proposal for minimum harmonisation in the field of insolvency law in the context of the Capital Markets Union, which may also support efforts to reduce levels of Non Performing Loans.</w:t>
            </w:r>
          </w:p>
        </w:tc>
        <w:tc>
          <w:tcPr>
            <w:tcW w:w="2977" w:type="dxa"/>
          </w:tcPr>
          <w:p w:rsidR="0015531A" w:rsidRDefault="0081380B">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Legislative proposal for new approach on business insolvency under negotiation</w:t>
            </w:r>
            <w:r>
              <w:rPr>
                <w:rStyle w:val="FootnoteReference"/>
                <w:rFonts w:ascii="Times New Roman" w:hAnsi="Times New Roman" w:cs="Times New Roman"/>
                <w:noProof/>
                <w:sz w:val="20"/>
                <w:szCs w:val="20"/>
              </w:rPr>
              <w:footnoteReference w:id="20"/>
            </w:r>
            <w:r>
              <w:rPr>
                <w:rFonts w:ascii="Times New Roman" w:hAnsi="Times New Roman" w:cs="Times New Roman"/>
                <w:noProof/>
                <w:sz w:val="20"/>
                <w:szCs w:val="20"/>
              </w:rPr>
              <w:t>.</w:t>
            </w:r>
          </w:p>
        </w:tc>
        <w:tc>
          <w:tcPr>
            <w:tcW w:w="2835" w:type="dxa"/>
          </w:tcPr>
          <w:p w:rsidR="0015531A" w:rsidRDefault="0081380B">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Agreement among co-legislators on the legislative proposal by end of 2018.</w:t>
            </w:r>
          </w:p>
        </w:tc>
      </w:tr>
      <w:tr w:rsidR="0015531A">
        <w:tc>
          <w:tcPr>
            <w:tcW w:w="3510" w:type="dxa"/>
          </w:tcPr>
          <w:p w:rsidR="0015531A" w:rsidRDefault="0015531A">
            <w:pPr>
              <w:autoSpaceDE w:val="0"/>
              <w:autoSpaceDN w:val="0"/>
              <w:adjustRightInd w:val="0"/>
              <w:spacing w:before="120" w:after="120"/>
              <w:jc w:val="both"/>
              <w:rPr>
                <w:rFonts w:ascii="Times New Roman" w:hAnsi="Times New Roman" w:cs="Times New Roman"/>
                <w:noProof/>
                <w:sz w:val="20"/>
                <w:szCs w:val="20"/>
              </w:rPr>
            </w:pPr>
          </w:p>
        </w:tc>
        <w:tc>
          <w:tcPr>
            <w:tcW w:w="2977" w:type="dxa"/>
          </w:tcPr>
          <w:p w:rsidR="0015531A" w:rsidRDefault="0015531A">
            <w:pPr>
              <w:widowControl w:val="0"/>
              <w:autoSpaceDE w:val="0"/>
              <w:autoSpaceDN w:val="0"/>
              <w:adjustRightInd w:val="0"/>
              <w:spacing w:before="120" w:after="120"/>
              <w:jc w:val="both"/>
              <w:rPr>
                <w:rFonts w:ascii="Times New Roman" w:hAnsi="Times New Roman" w:cs="Times New Roman"/>
                <w:noProof/>
                <w:sz w:val="20"/>
                <w:szCs w:val="20"/>
              </w:rPr>
            </w:pPr>
          </w:p>
        </w:tc>
        <w:tc>
          <w:tcPr>
            <w:tcW w:w="2835" w:type="dxa"/>
          </w:tcPr>
          <w:p w:rsidR="0015531A" w:rsidRDefault="0081380B">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Implementation of the 2017 Council Action Plan on Non Performing Loans.</w:t>
            </w:r>
          </w:p>
        </w:tc>
      </w:tr>
    </w:tbl>
    <w:p w:rsidR="0015531A" w:rsidRDefault="0015531A">
      <w:pPr>
        <w:pStyle w:val="Body"/>
        <w:spacing w:before="0" w:after="200" w:line="240" w:lineRule="auto"/>
        <w:rPr>
          <w:rFonts w:cs="Times New Roman"/>
          <w:noProof/>
        </w:rPr>
      </w:pPr>
    </w:p>
    <w:p w:rsidR="0015531A" w:rsidRDefault="0081380B">
      <w:pPr>
        <w:pStyle w:val="Body"/>
        <w:spacing w:before="0" w:after="200" w:line="240" w:lineRule="auto"/>
        <w:rPr>
          <w:rFonts w:cs="Times New Roman"/>
          <w:noProof/>
        </w:rPr>
      </w:pPr>
      <w:r>
        <w:rPr>
          <w:rFonts w:cs="Times New Roman"/>
          <w:noProof/>
        </w:rPr>
        <w:t xml:space="preserve">In addition to the actions envisaged in the 2016 Council Roadmap to complete the Banking Union, a number of significant additional measures have been envisaged during the last year that will further reduce risks in the Banking Union. Since the adoption of </w:t>
      </w:r>
      <w:r>
        <w:rPr>
          <w:rFonts w:cs="Times New Roman"/>
          <w:noProof/>
        </w:rPr>
        <w:t>the 2015 Commission Communication and the 2016 Council Roadmap, the need to focus risk reduction efforts on Non Performing Loans has become increasingly clear. Non Performing Loans weigh on the profitability and viability of affected banks and thereby cons</w:t>
      </w:r>
      <w:r>
        <w:rPr>
          <w:rFonts w:cs="Times New Roman"/>
          <w:noProof/>
        </w:rPr>
        <w:t>train those banks' ability to lend and might ultimately hamper economic growth. It is a good sign that levels of Non Performing Loan are going down. Even in the most affected Member States, levels of Non Performing Loan have been materially reduced. This t</w:t>
      </w:r>
      <w:r>
        <w:rPr>
          <w:rFonts w:cs="Times New Roman"/>
          <w:noProof/>
        </w:rPr>
        <w:t xml:space="preserve">rend should be accelerated, and the build-up of new Non Performing Loans must be prevented. </w:t>
      </w:r>
    </w:p>
    <w:p w:rsidR="0015531A" w:rsidRDefault="0081380B">
      <w:pPr>
        <w:pStyle w:val="Body"/>
        <w:spacing w:before="0" w:after="200" w:line="240" w:lineRule="auto"/>
        <w:jc w:val="center"/>
        <w:rPr>
          <w:rFonts w:cs="Times New Roman"/>
          <w:noProof/>
        </w:rPr>
      </w:pPr>
      <w:r>
        <w:rPr>
          <w:rFonts w:cs="Times New Roman"/>
          <w:noProof/>
          <w:lang w:val="en-GB"/>
        </w:rPr>
        <w:drawing>
          <wp:inline distT="0" distB="0" distL="0" distR="0">
            <wp:extent cx="3200400" cy="2529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2529840"/>
                    </a:xfrm>
                    <a:prstGeom prst="rect">
                      <a:avLst/>
                    </a:prstGeom>
                    <a:noFill/>
                  </pic:spPr>
                </pic:pic>
              </a:graphicData>
            </a:graphic>
          </wp:inline>
        </w:drawing>
      </w:r>
    </w:p>
    <w:p w:rsidR="0015531A" w:rsidRDefault="0015531A">
      <w:pPr>
        <w:pStyle w:val="Body"/>
        <w:spacing w:line="240" w:lineRule="auto"/>
        <w:rPr>
          <w:rFonts w:cs="Times New Roman"/>
          <w:noProof/>
        </w:rPr>
      </w:pPr>
    </w:p>
    <w:p w:rsidR="0015531A" w:rsidRDefault="0081380B">
      <w:pPr>
        <w:pStyle w:val="Body"/>
        <w:spacing w:line="240" w:lineRule="auto"/>
        <w:rPr>
          <w:rFonts w:cs="Times New Roman"/>
          <w:noProof/>
          <w:lang w:val="en-GB"/>
        </w:rPr>
      </w:pPr>
      <w:r>
        <w:rPr>
          <w:rFonts w:cs="Times New Roman"/>
          <w:noProof/>
        </w:rPr>
        <w:t>While Member States and banks themselves have a primary responsibility in tackling Non Performing Loans, integrating national and European Union level efforts i</w:t>
      </w:r>
      <w:r>
        <w:rPr>
          <w:rFonts w:cs="Times New Roman"/>
          <w:noProof/>
        </w:rPr>
        <w:t>s warranted to make an impact on Non Performing Loan stocks and prevent the future build-up of new Non Performing Loans on banks’ balance sheets. This work can usefully build on the significant attention that has already been dedicated for several years to</w:t>
      </w:r>
      <w:r>
        <w:rPr>
          <w:rFonts w:cs="Times New Roman"/>
          <w:noProof/>
        </w:rPr>
        <w:t xml:space="preserve"> the workout of Non Performing Loans. </w:t>
      </w:r>
      <w:r>
        <w:rPr>
          <w:rFonts w:cs="Times New Roman"/>
          <w:noProof/>
          <w:lang w:val="en-GB"/>
        </w:rPr>
        <w:t>Since the outset of the financial crisis, the Commission has incentivised banks, via its State-aid control, to manage and reduce their impaired assets via market mechanisms rather than shifting the burden to tax payers</w:t>
      </w:r>
      <w:r>
        <w:rPr>
          <w:rFonts w:cs="Times New Roman"/>
          <w:noProof/>
          <w:lang w:val="en-GB"/>
        </w:rPr>
        <w:t xml:space="preserve">. For ailing banks whose viability was threatened by those impaired assets, the Commission has assisted Member States in setting up ad-hoc and system-wide measures with the objective of reducing banks' </w:t>
      </w:r>
      <w:r>
        <w:rPr>
          <w:rFonts w:cs="Times New Roman"/>
          <w:noProof/>
        </w:rPr>
        <w:t>Non Performing Loan</w:t>
      </w:r>
      <w:r>
        <w:rPr>
          <w:rFonts w:cs="Times New Roman"/>
          <w:noProof/>
          <w:lang w:val="en-GB"/>
        </w:rPr>
        <w:t xml:space="preserve"> stocks (sometimes as part of a financial assistance programme) through solutions compatible with State aid rules</w:t>
      </w:r>
      <w:r>
        <w:rPr>
          <w:rStyle w:val="FootnoteReference"/>
          <w:rFonts w:cs="Times New Roman"/>
          <w:noProof/>
          <w:lang w:val="en-GB"/>
        </w:rPr>
        <w:footnoteReference w:id="21"/>
      </w:r>
      <w:r>
        <w:rPr>
          <w:rFonts w:cs="Times New Roman"/>
          <w:noProof/>
          <w:lang w:val="en-GB"/>
        </w:rPr>
        <w:t xml:space="preserve">. The need to take determined action to address </w:t>
      </w:r>
      <w:r>
        <w:rPr>
          <w:rFonts w:cs="Times New Roman"/>
          <w:noProof/>
        </w:rPr>
        <w:t xml:space="preserve">Non Performing Loans </w:t>
      </w:r>
      <w:r>
        <w:rPr>
          <w:rFonts w:cs="Times New Roman"/>
          <w:noProof/>
          <w:lang w:val="en-GB"/>
        </w:rPr>
        <w:t xml:space="preserve">has also been underlined </w:t>
      </w:r>
      <w:r>
        <w:rPr>
          <w:rFonts w:cs="Times New Roman"/>
          <w:noProof/>
        </w:rPr>
        <w:t>in the European Semester recommendations to rele</w:t>
      </w:r>
      <w:r>
        <w:rPr>
          <w:rFonts w:cs="Times New Roman"/>
          <w:noProof/>
        </w:rPr>
        <w:t>vant Member States.</w:t>
      </w:r>
      <w:r>
        <w:rPr>
          <w:rStyle w:val="FootnoteReference"/>
          <w:rFonts w:cs="Times New Roman"/>
          <w:noProof/>
        </w:rPr>
        <w:footnoteReference w:id="22"/>
      </w:r>
      <w:r>
        <w:rPr>
          <w:rFonts w:cs="Times New Roman"/>
          <w:noProof/>
        </w:rPr>
        <w:t xml:space="preserve"> Banking supervisors have played a decisive role in enhancing the reporting and supervision of Non Performing Loans in Europe. Work in this area must be based on a comprehensive approach combining a mix of complementing policy actions, </w:t>
      </w:r>
      <w:r>
        <w:rPr>
          <w:rFonts w:cs="Times New Roman"/>
          <w:noProof/>
        </w:rPr>
        <w:t>at national level and at Union level where appropriate, involving actions in four areas: (i) supervision, (ii) reform of restructuring, insolvency and debt recovery frameworks, (iii) development of secondary markets for distressed assets, and (iv) fosterin</w:t>
      </w:r>
      <w:r>
        <w:rPr>
          <w:rFonts w:cs="Times New Roman"/>
          <w:noProof/>
        </w:rPr>
        <w:t xml:space="preserve">g restructuring of the banking system. Addressing remaining risks in the European banking sector is of the greatest importance and the Commission is committed to take the necessary measures within its remit to continue driving this process forward. </w:t>
      </w:r>
    </w:p>
    <w:p w:rsidR="0015531A" w:rsidRDefault="0081380B">
      <w:pPr>
        <w:pStyle w:val="Body"/>
        <w:spacing w:before="0" w:after="200" w:line="240" w:lineRule="auto"/>
        <w:rPr>
          <w:rFonts w:cs="Times New Roman"/>
          <w:noProof/>
        </w:rPr>
      </w:pPr>
      <w:r>
        <w:rPr>
          <w:rFonts w:cs="Times New Roman"/>
          <w:noProof/>
        </w:rPr>
        <w:t>As one</w:t>
      </w:r>
      <w:r>
        <w:rPr>
          <w:rFonts w:cs="Times New Roman"/>
          <w:noProof/>
        </w:rPr>
        <w:t xml:space="preserve"> important measure to deal with Non Performing Loans, the Commission presented in November 2016, in the context of the Capital Markets Union work, a legislative proposal on business insolvency, restructuring and second chance</w:t>
      </w:r>
      <w:r>
        <w:rPr>
          <w:rStyle w:val="FootnoteReference"/>
          <w:rFonts w:cs="Times New Roman"/>
          <w:noProof/>
        </w:rPr>
        <w:footnoteReference w:id="23"/>
      </w:r>
      <w:r>
        <w:rPr>
          <w:rFonts w:cs="Times New Roman"/>
          <w:noProof/>
        </w:rPr>
        <w:t>. The key features of this pro</w:t>
      </w:r>
      <w:r>
        <w:rPr>
          <w:rFonts w:cs="Times New Roman"/>
          <w:noProof/>
        </w:rPr>
        <w:t>posal, in particular the availability of restructuring procedures enabling viable companies in financial difficulties to avoid insolvency as well as measures to enhance the effectiveness of restructuring and insolvency proceedings, would contribute to redu</w:t>
      </w:r>
      <w:r>
        <w:rPr>
          <w:rFonts w:cs="Times New Roman"/>
          <w:noProof/>
        </w:rPr>
        <w:t>cing Non Performing Loans as well as preventing their accumulation in the future. Swift progress by the European Parliament and the Council on this file is encouraged and necessary and should be a priority. The Council Action Plan on Non Performing Loans i</w:t>
      </w:r>
      <w:r>
        <w:rPr>
          <w:rFonts w:cs="Times New Roman"/>
          <w:noProof/>
        </w:rPr>
        <w:t>ssued in July 2017</w:t>
      </w:r>
      <w:r>
        <w:rPr>
          <w:rStyle w:val="FootnoteReference"/>
          <w:rFonts w:cs="Times New Roman"/>
          <w:noProof/>
        </w:rPr>
        <w:footnoteReference w:id="24"/>
      </w:r>
      <w:r>
        <w:rPr>
          <w:rFonts w:cs="Times New Roman"/>
          <w:noProof/>
        </w:rPr>
        <w:t xml:space="preserve"> goes beyond the commitments on risk reduction set out in the 2016 Council Roadmap and includes specific steps different actors must take to reduce the risk to financial stability due to Non Performing Loans, both by tackling the legacy </w:t>
      </w:r>
      <w:r>
        <w:rPr>
          <w:rFonts w:cs="Times New Roman"/>
          <w:noProof/>
        </w:rPr>
        <w:t xml:space="preserve">Non Performing Loans and reducing the risk of build-ups of Non Performing Loans in the future. The Commission welcomes this comprehensive approach which is consistent with its own longstanding calls to tackle Non Performing Loans and will swiftly take the </w:t>
      </w:r>
      <w:r>
        <w:rPr>
          <w:rFonts w:cs="Times New Roman"/>
          <w:noProof/>
        </w:rPr>
        <w:t xml:space="preserve">necessary actions within its remit of competence. </w:t>
      </w:r>
    </w:p>
    <w:p w:rsidR="0015531A" w:rsidRDefault="0081380B">
      <w:pPr>
        <w:pStyle w:val="Body"/>
        <w:spacing w:before="0" w:after="200" w:line="240" w:lineRule="auto"/>
        <w:rPr>
          <w:rFonts w:cs="Times New Roman"/>
          <w:noProof/>
        </w:rPr>
      </w:pPr>
      <w:r>
        <w:rPr>
          <w:rFonts w:cs="Times New Roman"/>
          <w:noProof/>
        </w:rPr>
        <w:t>The measures set out in the Action Plan represent a significant step forward on risk reduction, additional to the ones agreed in the Council Roadmap of 2016. Progress in this area would support the complet</w:t>
      </w:r>
      <w:r>
        <w:rPr>
          <w:rFonts w:cs="Times New Roman"/>
          <w:noProof/>
        </w:rPr>
        <w:t xml:space="preserve">ion of the Banking Union by removing legacy risks from the European banking sector and will render European banks more stable and competitive. The Commission will therefore move quickly with these measures. </w:t>
      </w:r>
    </w:p>
    <w:p w:rsidR="0015531A" w:rsidRDefault="0081380B">
      <w:pPr>
        <w:pStyle w:val="Body"/>
        <w:spacing w:before="0" w:after="200" w:line="240" w:lineRule="auto"/>
        <w:rPr>
          <w:rFonts w:cs="Times New Roman"/>
          <w:noProof/>
        </w:rPr>
      </w:pPr>
      <w:r>
        <w:rPr>
          <w:rFonts w:cs="Times New Roman"/>
          <w:noProof/>
        </w:rPr>
        <w:t>As a first step, the Commission is clarifying in</w:t>
      </w:r>
      <w:r>
        <w:rPr>
          <w:rFonts w:cs="Times New Roman"/>
          <w:noProof/>
        </w:rPr>
        <w:t xml:space="preserve"> the Single Supervisory Mechanism Review Report, accompanying this Communication, the interpretation of the relevant Articles of the Capital Requirement Directive (CRD) and the Single Supervisory Mechanism Regulation. The Commission is confirming that the </w:t>
      </w:r>
      <w:r>
        <w:rPr>
          <w:rFonts w:cs="Times New Roman"/>
          <w:noProof/>
        </w:rPr>
        <w:t>supervisory powers enshrined therein allow the competent authorities to influence a bank's provisioning policy with regard to Non Performing Loans within the limits of the applicable accounting framework and to apply specific adjustments where necessary fo</w:t>
      </w:r>
      <w:r>
        <w:rPr>
          <w:rFonts w:cs="Times New Roman"/>
          <w:noProof/>
        </w:rPr>
        <w:t xml:space="preserve">r prudential purposes. </w:t>
      </w:r>
    </w:p>
    <w:p w:rsidR="0015531A" w:rsidRDefault="0081380B">
      <w:pPr>
        <w:pStyle w:val="Body"/>
        <w:spacing w:before="0" w:after="40" w:line="240" w:lineRule="auto"/>
        <w:rPr>
          <w:rFonts w:cs="Times New Roman"/>
          <w:noProof/>
        </w:rPr>
      </w:pPr>
      <w:r>
        <w:rPr>
          <w:rFonts w:cs="Times New Roman"/>
          <w:noProof/>
        </w:rPr>
        <w:t xml:space="preserve">By Spring 2018, the Commission will adopt a comprehensive package of measures to address Non Performing Loans and a first Report on the implementation of the Action Plan. This package will consist of the following measures: </w:t>
      </w:r>
    </w:p>
    <w:p w:rsidR="0015531A" w:rsidRDefault="0081380B">
      <w:pPr>
        <w:pStyle w:val="Body"/>
        <w:spacing w:before="0" w:after="40" w:line="240" w:lineRule="auto"/>
        <w:rPr>
          <w:rFonts w:cs="Times New Roman"/>
          <w:noProof/>
        </w:rPr>
      </w:pPr>
      <w:r>
        <w:rPr>
          <w:rFonts w:cs="Times New Roman"/>
          <w:noProof/>
        </w:rPr>
        <w:t xml:space="preserve"> </w:t>
      </w:r>
    </w:p>
    <w:p w:rsidR="0015531A" w:rsidRDefault="0081380B">
      <w:pPr>
        <w:pStyle w:val="Body"/>
        <w:numPr>
          <w:ilvl w:val="0"/>
          <w:numId w:val="16"/>
        </w:numPr>
        <w:spacing w:before="0" w:after="40" w:line="240" w:lineRule="auto"/>
        <w:ind w:left="568" w:hanging="284"/>
        <w:rPr>
          <w:rFonts w:cs="Times New Roman"/>
          <w:noProof/>
          <w:lang w:val="en-GB"/>
        </w:rPr>
      </w:pPr>
      <w:r>
        <w:rPr>
          <w:rFonts w:cs="Times New Roman"/>
          <w:noProof/>
          <w:lang w:val="en-GB"/>
        </w:rPr>
        <w:t xml:space="preserve">A </w:t>
      </w:r>
      <w:r>
        <w:rPr>
          <w:rFonts w:cs="Times New Roman"/>
          <w:i/>
          <w:noProof/>
          <w:lang w:val="en-GB"/>
        </w:rPr>
        <w:t>Blu</w:t>
      </w:r>
      <w:r>
        <w:rPr>
          <w:rFonts w:cs="Times New Roman"/>
          <w:i/>
          <w:noProof/>
          <w:lang w:val="en-GB"/>
        </w:rPr>
        <w:t>eprint for how national Asset Management Companies</w:t>
      </w:r>
      <w:r>
        <w:rPr>
          <w:rFonts w:cs="Times New Roman"/>
          <w:noProof/>
          <w:lang w:val="en-GB"/>
        </w:rPr>
        <w:t xml:space="preserve"> (AMCs) can be set up within existing banking and State aid rules by building on best practices learned from past experiences in Member States. </w:t>
      </w:r>
    </w:p>
    <w:p w:rsidR="0015531A" w:rsidRDefault="0081380B">
      <w:pPr>
        <w:pStyle w:val="Body"/>
        <w:numPr>
          <w:ilvl w:val="0"/>
          <w:numId w:val="16"/>
        </w:numPr>
        <w:spacing w:before="0" w:after="40" w:line="240" w:lineRule="auto"/>
        <w:ind w:left="568" w:hanging="284"/>
        <w:rPr>
          <w:rFonts w:cs="Times New Roman"/>
          <w:noProof/>
          <w:lang w:val="en-GB"/>
        </w:rPr>
      </w:pPr>
      <w:r>
        <w:rPr>
          <w:rFonts w:cs="Times New Roman"/>
          <w:i/>
          <w:noProof/>
          <w:lang w:val="en-GB"/>
        </w:rPr>
        <w:t xml:space="preserve">Measures to further develop secondary markets for </w:t>
      </w:r>
      <w:r>
        <w:rPr>
          <w:rFonts w:cs="Times New Roman"/>
          <w:noProof/>
        </w:rPr>
        <w:t>Non Perform</w:t>
      </w:r>
      <w:r>
        <w:rPr>
          <w:rFonts w:cs="Times New Roman"/>
          <w:noProof/>
        </w:rPr>
        <w:t>ing Loans</w:t>
      </w:r>
      <w:r>
        <w:rPr>
          <w:rFonts w:cs="Times New Roman"/>
          <w:noProof/>
          <w:lang w:val="en-GB"/>
        </w:rPr>
        <w:t xml:space="preserve">, especially with the aim of removing undue impediments to loan servicing by third parties and the transfer of loans following the ongoing impact assessment. </w:t>
      </w:r>
    </w:p>
    <w:p w:rsidR="0015531A" w:rsidRDefault="0081380B">
      <w:pPr>
        <w:pStyle w:val="Body"/>
        <w:numPr>
          <w:ilvl w:val="0"/>
          <w:numId w:val="16"/>
        </w:numPr>
        <w:spacing w:before="0" w:after="40" w:line="240" w:lineRule="auto"/>
        <w:ind w:left="568" w:hanging="284"/>
        <w:rPr>
          <w:rFonts w:cs="Times New Roman"/>
          <w:noProof/>
          <w:lang w:val="en-GB"/>
        </w:rPr>
      </w:pPr>
      <w:r>
        <w:rPr>
          <w:rFonts w:cs="Times New Roman"/>
          <w:i/>
          <w:noProof/>
          <w:lang w:val="en-GB"/>
        </w:rPr>
        <w:t>Measures to enhance the protection of secured creditors</w:t>
      </w:r>
      <w:r>
        <w:rPr>
          <w:rFonts w:cs="Times New Roman"/>
          <w:noProof/>
          <w:lang w:val="en-GB"/>
        </w:rPr>
        <w:t xml:space="preserve"> by allowing them more efficient methods of value recovery from secured loans. Work in this </w:t>
      </w:r>
      <w:r>
        <w:rPr>
          <w:rFonts w:cs="Times New Roman"/>
          <w:noProof/>
          <w:color w:val="000000" w:themeColor="text1"/>
          <w:lang w:val="en-GB"/>
        </w:rPr>
        <w:t xml:space="preserve">area will </w:t>
      </w:r>
      <w:r>
        <w:rPr>
          <w:noProof/>
          <w:color w:val="000000" w:themeColor="text1"/>
        </w:rPr>
        <w:t xml:space="preserve">be determined by the Impact Assessment and </w:t>
      </w:r>
      <w:r>
        <w:rPr>
          <w:rFonts w:cs="Times New Roman"/>
          <w:noProof/>
          <w:lang w:val="en-GB"/>
        </w:rPr>
        <w:t xml:space="preserve">remain consistent with and complementary to the Commission proposal of November 2016 for a Directive on, </w:t>
      </w:r>
      <w:r>
        <w:rPr>
          <w:rFonts w:cs="Times New Roman"/>
          <w:i/>
          <w:noProof/>
          <w:lang w:val="en-GB"/>
        </w:rPr>
        <w:t xml:space="preserve">inter </w:t>
      </w:r>
      <w:r>
        <w:rPr>
          <w:rFonts w:cs="Times New Roman"/>
          <w:i/>
          <w:noProof/>
          <w:lang w:val="en-GB"/>
        </w:rPr>
        <w:t>alia</w:t>
      </w:r>
      <w:r>
        <w:rPr>
          <w:rFonts w:cs="Times New Roman"/>
          <w:noProof/>
          <w:lang w:val="en-GB"/>
        </w:rPr>
        <w:t xml:space="preserve">, preventive restructuring frameworks and would not require harmonisation of actual insolvency provisions. </w:t>
      </w:r>
    </w:p>
    <w:p w:rsidR="0015531A" w:rsidRDefault="0081380B">
      <w:pPr>
        <w:pStyle w:val="Body"/>
        <w:numPr>
          <w:ilvl w:val="0"/>
          <w:numId w:val="16"/>
        </w:numPr>
        <w:spacing w:before="0" w:after="40" w:line="240" w:lineRule="auto"/>
        <w:ind w:left="568" w:hanging="284"/>
        <w:rPr>
          <w:rFonts w:cs="Times New Roman"/>
          <w:noProof/>
          <w:lang w:val="en-GB"/>
        </w:rPr>
      </w:pPr>
      <w:r>
        <w:rPr>
          <w:rFonts w:cs="Times New Roman"/>
          <w:noProof/>
          <w:lang w:val="en-GB"/>
        </w:rPr>
        <w:t xml:space="preserve">In addition, </w:t>
      </w:r>
      <w:r>
        <w:rPr>
          <w:rFonts w:cs="Times New Roman"/>
          <w:noProof/>
        </w:rPr>
        <w:t>since the management of Non Performing Loans would benefit from more efficient and more predictable loan enforcement and insolvency</w:t>
      </w:r>
      <w:r>
        <w:rPr>
          <w:rFonts w:cs="Times New Roman"/>
          <w:noProof/>
        </w:rPr>
        <w:t xml:space="preserve"> frameworks, the Commission is also undertaking a benchmarking exercise of loan enforcement regimes to establish a reliable picture of the delays and value-recovery banks experience when faced with borrowers' defaults, and invites close cooperation from Me</w:t>
      </w:r>
      <w:r>
        <w:rPr>
          <w:rFonts w:cs="Times New Roman"/>
          <w:noProof/>
        </w:rPr>
        <w:t>mber States and supervisors to develop a sound and significant benchmarking methodology.</w:t>
      </w:r>
      <w:r>
        <w:rPr>
          <w:rFonts w:cs="Times New Roman"/>
          <w:noProof/>
          <w:lang w:val="en-GB"/>
        </w:rPr>
        <w:t xml:space="preserve"> In this context, the Commission proposal for a Directive on business insolvency, restructuring and second chance lays down obligations on Member States to collect comp</w:t>
      </w:r>
      <w:r>
        <w:rPr>
          <w:rFonts w:cs="Times New Roman"/>
          <w:noProof/>
          <w:lang w:val="en-GB"/>
        </w:rPr>
        <w:t xml:space="preserve">arable data on insolvency and restructuring proceedings and communicate it to the Commission which would be crucial in order to demonstrate the efficiency of the regulatory framework in Member States as regards insolvent debtors. </w:t>
      </w:r>
    </w:p>
    <w:p w:rsidR="0015531A" w:rsidRDefault="0081380B">
      <w:pPr>
        <w:pStyle w:val="Body"/>
        <w:numPr>
          <w:ilvl w:val="0"/>
          <w:numId w:val="16"/>
        </w:numPr>
        <w:spacing w:before="0" w:after="40" w:line="240" w:lineRule="auto"/>
        <w:ind w:left="568" w:hanging="284"/>
        <w:rPr>
          <w:rFonts w:cs="Times New Roman"/>
          <w:noProof/>
          <w:lang w:val="en-GB"/>
        </w:rPr>
      </w:pPr>
      <w:r>
        <w:rPr>
          <w:rFonts w:cs="Times New Roman"/>
          <w:noProof/>
          <w:lang w:val="en-GB"/>
        </w:rPr>
        <w:t xml:space="preserve">A Report, accompanied if </w:t>
      </w:r>
      <w:r>
        <w:rPr>
          <w:rFonts w:cs="Times New Roman"/>
          <w:noProof/>
          <w:lang w:val="en-GB"/>
        </w:rPr>
        <w:t>appropriate with the necessary legislative proposals to amend the Capital Requirement Regulation, with regard to the possible introduction of minimum levels of provisioning which banks must make for future NPLs arising from newly originated loans, as reque</w:t>
      </w:r>
      <w:r>
        <w:rPr>
          <w:rFonts w:cs="Times New Roman"/>
          <w:noProof/>
          <w:lang w:val="en-GB"/>
        </w:rPr>
        <w:t xml:space="preserve">sted by the Council Action Plan. Such </w:t>
      </w:r>
      <w:r>
        <w:rPr>
          <w:rFonts w:cs="Times New Roman"/>
          <w:i/>
          <w:noProof/>
          <w:lang w:val="en-GB"/>
        </w:rPr>
        <w:t>statutory (</w:t>
      </w:r>
      <w:r>
        <w:rPr>
          <w:rFonts w:cs="Times New Roman"/>
          <w:noProof/>
          <w:lang w:val="en-GB"/>
        </w:rPr>
        <w:t xml:space="preserve">so-called </w:t>
      </w:r>
      <w:r>
        <w:rPr>
          <w:rFonts w:cs="Times New Roman"/>
          <w:i/>
          <w:noProof/>
          <w:lang w:val="en-GB"/>
        </w:rPr>
        <w:t>Pillar 1) prudential backstops</w:t>
      </w:r>
      <w:r>
        <w:rPr>
          <w:rFonts w:cs="Times New Roman"/>
          <w:noProof/>
          <w:lang w:val="en-GB"/>
        </w:rPr>
        <w:t xml:space="preserve"> will prevent the build-up and potential under provisioning of future NPLs stocks across Member States and banks via time-bound prudential deductions from own funds. </w:t>
      </w:r>
      <w:r>
        <w:rPr>
          <w:rFonts w:cs="Times New Roman"/>
          <w:noProof/>
        </w:rPr>
        <w:t>I</w:t>
      </w:r>
      <w:r>
        <w:rPr>
          <w:rFonts w:cs="Times New Roman"/>
          <w:noProof/>
        </w:rPr>
        <w:t xml:space="preserve">n this context the Commission will also </w:t>
      </w:r>
      <w:r>
        <w:rPr>
          <w:rFonts w:cs="Times New Roman"/>
          <w:noProof/>
          <w:lang w:val="en-GB"/>
        </w:rPr>
        <w:t xml:space="preserve">consider introducing a </w:t>
      </w:r>
      <w:r>
        <w:rPr>
          <w:rFonts w:cs="Times New Roman"/>
          <w:i/>
          <w:noProof/>
          <w:lang w:val="en-GB"/>
        </w:rPr>
        <w:t>common definition of non-performing exposures (NPE)</w:t>
      </w:r>
      <w:r>
        <w:rPr>
          <w:rFonts w:cs="Times New Roman"/>
          <w:noProof/>
          <w:lang w:val="en-GB"/>
        </w:rPr>
        <w:t xml:space="preserve"> in accordance with the one already used for supervisory reporting purposes</w:t>
      </w:r>
      <w:r>
        <w:rPr>
          <w:rFonts w:cs="Times New Roman"/>
          <w:noProof/>
          <w:vertAlign w:val="superscript"/>
          <w:lang w:val="en-GB"/>
        </w:rPr>
        <w:footnoteReference w:id="25"/>
      </w:r>
      <w:r>
        <w:rPr>
          <w:rFonts w:cs="Times New Roman"/>
          <w:noProof/>
          <w:lang w:val="en-GB"/>
        </w:rPr>
        <w:t xml:space="preserve"> in order to establish a sound legal basis </w:t>
      </w:r>
      <w:r>
        <w:rPr>
          <w:noProof/>
          <w:lang w:val="en-GB"/>
        </w:rPr>
        <w:t xml:space="preserve">for </w:t>
      </w:r>
      <w:r>
        <w:rPr>
          <w:rFonts w:cs="Times New Roman"/>
          <w:noProof/>
          <w:lang w:val="en-GB"/>
        </w:rPr>
        <w:t>and ensure consiste</w:t>
      </w:r>
      <w:r>
        <w:rPr>
          <w:rFonts w:cs="Times New Roman"/>
          <w:noProof/>
          <w:lang w:val="en-GB"/>
        </w:rPr>
        <w:t xml:space="preserve">ncy in the prudential treatment of such exposures. </w:t>
      </w:r>
    </w:p>
    <w:p w:rsidR="0015531A" w:rsidRDefault="0081380B">
      <w:pPr>
        <w:pStyle w:val="Body"/>
        <w:numPr>
          <w:ilvl w:val="0"/>
          <w:numId w:val="16"/>
        </w:numPr>
        <w:spacing w:before="0" w:after="200" w:line="240" w:lineRule="auto"/>
        <w:ind w:left="568" w:hanging="284"/>
        <w:rPr>
          <w:rFonts w:cs="Times New Roman"/>
          <w:noProof/>
        </w:rPr>
      </w:pPr>
      <w:r>
        <w:rPr>
          <w:rFonts w:cs="Times New Roman"/>
          <w:noProof/>
          <w:lang w:val="en-GB"/>
        </w:rPr>
        <w:t xml:space="preserve">A way forward to </w:t>
      </w:r>
      <w:r>
        <w:rPr>
          <w:rFonts w:cs="Times New Roman"/>
          <w:i/>
          <w:noProof/>
          <w:lang w:val="en-GB"/>
        </w:rPr>
        <w:t xml:space="preserve">foster </w:t>
      </w:r>
      <w:r>
        <w:rPr>
          <w:rFonts w:cs="Times New Roman"/>
          <w:i/>
          <w:noProof/>
        </w:rPr>
        <w:t>the transparency on Non Performing Loans in Europe</w:t>
      </w:r>
      <w:r>
        <w:rPr>
          <w:rFonts w:cs="Times New Roman"/>
          <w:noProof/>
        </w:rPr>
        <w:t xml:space="preserve"> by improving the data availability and comparability as regards Non Performing Loans, and potentially supporting the development </w:t>
      </w:r>
      <w:r>
        <w:rPr>
          <w:rFonts w:cs="Times New Roman"/>
          <w:noProof/>
        </w:rPr>
        <w:t xml:space="preserve">by market participants of Non Performing Loan information platforms or credit registers. </w:t>
      </w:r>
    </w:p>
    <w:p w:rsidR="0015531A" w:rsidRDefault="0015531A">
      <w:pPr>
        <w:pStyle w:val="Body"/>
        <w:spacing w:before="0" w:after="200" w:line="240" w:lineRule="auto"/>
        <w:ind w:left="568"/>
        <w:rPr>
          <w:rFonts w:cs="Times New Roman"/>
          <w:noProof/>
        </w:rPr>
      </w:pPr>
    </w:p>
    <w:p w:rsidR="0015531A" w:rsidRDefault="0081380B">
      <w:pPr>
        <w:keepNext/>
        <w:widowControl w:val="0"/>
        <w:spacing w:line="240" w:lineRule="auto"/>
        <w:jc w:val="both"/>
        <w:rPr>
          <w:rFonts w:ascii="Times New Roman" w:hAnsi="Times New Roman"/>
          <w:b/>
          <w:noProof/>
          <w:sz w:val="24"/>
        </w:rPr>
      </w:pPr>
      <w:r>
        <w:rPr>
          <w:rFonts w:ascii="Times New Roman" w:hAnsi="Times New Roman"/>
          <w:b/>
          <w:noProof/>
          <w:sz w:val="24"/>
        </w:rPr>
        <w:t>6. Additional new measure: An enabling framework for the development of Sovereign Bond-Backed Securities (SBBS)</w:t>
      </w:r>
    </w:p>
    <w:tbl>
      <w:tblPr>
        <w:tblStyle w:val="TableGrid"/>
        <w:tblW w:w="0" w:type="auto"/>
        <w:tblLook w:val="04A0" w:firstRow="1" w:lastRow="0" w:firstColumn="1" w:lastColumn="0" w:noHBand="0" w:noVBand="1"/>
      </w:tblPr>
      <w:tblGrid>
        <w:gridCol w:w="2359"/>
        <w:gridCol w:w="3703"/>
        <w:gridCol w:w="3118"/>
      </w:tblGrid>
      <w:tr w:rsidR="0015531A">
        <w:tc>
          <w:tcPr>
            <w:tcW w:w="2359" w:type="dxa"/>
            <w:shd w:val="clear" w:color="auto" w:fill="FABF8F" w:themeFill="accent6" w:themeFillTint="99"/>
          </w:tcPr>
          <w:p w:rsidR="0015531A" w:rsidRDefault="0081380B">
            <w:pPr>
              <w:keepNext/>
              <w:spacing w:before="120" w:after="120"/>
              <w:rPr>
                <w:rFonts w:ascii="Times New Roman" w:hAnsi="Times New Roman" w:cs="Times New Roman"/>
                <w:b/>
                <w:noProof/>
                <w:sz w:val="20"/>
                <w:szCs w:val="20"/>
              </w:rPr>
            </w:pPr>
            <w:r>
              <w:rPr>
                <w:rFonts w:ascii="Times New Roman" w:hAnsi="Times New Roman" w:cs="Times New Roman"/>
                <w:b/>
                <w:noProof/>
                <w:sz w:val="20"/>
                <w:szCs w:val="20"/>
              </w:rPr>
              <w:t>2016 Council Roadmap</w:t>
            </w:r>
          </w:p>
        </w:tc>
        <w:tc>
          <w:tcPr>
            <w:tcW w:w="3703" w:type="dxa"/>
          </w:tcPr>
          <w:p w:rsidR="0015531A" w:rsidRDefault="0081380B">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cs="Times New Roman"/>
                <w:b/>
                <w:i/>
                <w:noProof/>
                <w:sz w:val="20"/>
                <w:szCs w:val="20"/>
              </w:rPr>
              <w:t>Status</w:t>
            </w:r>
          </w:p>
        </w:tc>
        <w:tc>
          <w:tcPr>
            <w:tcW w:w="3118" w:type="dxa"/>
            <w:shd w:val="clear" w:color="auto" w:fill="FABF8F" w:themeFill="accent6" w:themeFillTint="99"/>
          </w:tcPr>
          <w:p w:rsidR="0015531A" w:rsidRDefault="0081380B">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Next steps</w:t>
            </w:r>
          </w:p>
        </w:tc>
      </w:tr>
      <w:tr w:rsidR="0015531A">
        <w:tc>
          <w:tcPr>
            <w:tcW w:w="2359" w:type="dxa"/>
          </w:tcPr>
          <w:p w:rsidR="0015531A" w:rsidRDefault="0081380B">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cs="Times New Roman"/>
                <w:noProof/>
                <w:sz w:val="20"/>
                <w:szCs w:val="20"/>
              </w:rPr>
              <w:t>-</w:t>
            </w:r>
          </w:p>
          <w:p w:rsidR="0015531A" w:rsidRDefault="0015531A">
            <w:pPr>
              <w:keepNext/>
              <w:autoSpaceDE w:val="0"/>
              <w:autoSpaceDN w:val="0"/>
              <w:adjustRightInd w:val="0"/>
              <w:spacing w:before="120" w:after="120"/>
              <w:jc w:val="both"/>
              <w:rPr>
                <w:rFonts w:ascii="Times New Roman" w:hAnsi="Times New Roman" w:cs="Times New Roman"/>
                <w:noProof/>
                <w:sz w:val="20"/>
                <w:szCs w:val="20"/>
              </w:rPr>
            </w:pPr>
          </w:p>
        </w:tc>
        <w:tc>
          <w:tcPr>
            <w:tcW w:w="3703" w:type="dxa"/>
          </w:tcPr>
          <w:p w:rsidR="0015531A" w:rsidRDefault="0081380B">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3118" w:type="dxa"/>
          </w:tcPr>
          <w:p w:rsidR="0015531A" w:rsidRDefault="0081380B">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In light</w:t>
            </w:r>
            <w:r>
              <w:rPr>
                <w:rFonts w:ascii="Times New Roman" w:hAnsi="Times New Roman" w:cs="Times New Roman"/>
                <w:noProof/>
                <w:sz w:val="20"/>
                <w:szCs w:val="20"/>
              </w:rPr>
              <w:t xml:space="preserve"> of the work of the European Systemic Risk Board, Commission may decide to introduce an enabling framework for sovereign bond-backed securities.</w:t>
            </w:r>
          </w:p>
        </w:tc>
      </w:tr>
    </w:tbl>
    <w:p w:rsidR="0015531A" w:rsidRDefault="0015531A">
      <w:pPr>
        <w:tabs>
          <w:tab w:val="left" w:pos="8368"/>
        </w:tabs>
        <w:spacing w:line="240" w:lineRule="auto"/>
        <w:jc w:val="both"/>
        <w:rPr>
          <w:rFonts w:ascii="Times New Roman" w:hAnsi="Times New Roman" w:cs="Times New Roman"/>
          <w:noProof/>
          <w:sz w:val="24"/>
          <w:szCs w:val="24"/>
        </w:rPr>
      </w:pP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 of reducing risks to financial stability by facilitating the diversification of banks' sovereig</w:t>
      </w:r>
      <w:r>
        <w:rPr>
          <w:rFonts w:ascii="Times New Roman" w:hAnsi="Times New Roman" w:cs="Times New Roman"/>
          <w:noProof/>
          <w:sz w:val="24"/>
          <w:szCs w:val="24"/>
        </w:rPr>
        <w:t>n portfolios and further weakening the bank-sovereign nexus is of high importance for the completion of the Banking Union. As regards the regulatory treatment of sovereign exposures, the Commission will come back to the issue in due course, as mentioned in</w:t>
      </w:r>
      <w:r>
        <w:rPr>
          <w:rFonts w:ascii="Times New Roman" w:hAnsi="Times New Roman" w:cs="Times New Roman"/>
          <w:noProof/>
          <w:sz w:val="24"/>
          <w:szCs w:val="24"/>
        </w:rPr>
        <w:t xml:space="preserve"> the 2016 Council Roadmap, which agreed to await the outcomes of the Basel Committee, and the Reflection Paper on the Deepening of the Economic and Monetary Union.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make tangible progress on this matter, so-called sovereign bond-backed securiti</w:t>
      </w:r>
      <w:r>
        <w:rPr>
          <w:rFonts w:ascii="Times New Roman" w:hAnsi="Times New Roman" w:cs="Times New Roman"/>
          <w:noProof/>
          <w:sz w:val="24"/>
          <w:szCs w:val="24"/>
        </w:rPr>
        <w:t xml:space="preserve">es (SBBS) could as a first step have the potential to contribute to the completion of the Banking Union and the enhancement of the Capital Markets Union. By pooling and possibly tranching sovereign bonds from different Member States, Sovereign Bond-Backed </w:t>
      </w:r>
      <w:r>
        <w:rPr>
          <w:rFonts w:ascii="Times New Roman" w:hAnsi="Times New Roman" w:cs="Times New Roman"/>
          <w:noProof/>
          <w:sz w:val="24"/>
          <w:szCs w:val="24"/>
        </w:rPr>
        <w:t>Securities could support further portfolio diversification in the banking sector, while creating a new source of high-quality collateral particularly suited for use in cross-border financial transactions. Moreover, this new instrument could eliminate damag</w:t>
      </w:r>
      <w:r>
        <w:rPr>
          <w:rFonts w:ascii="Times New Roman" w:hAnsi="Times New Roman" w:cs="Times New Roman"/>
          <w:noProof/>
          <w:sz w:val="24"/>
          <w:szCs w:val="24"/>
        </w:rPr>
        <w:t>ing flights away from some sovereigns, which obstruct an economically efficient allocation of funds. Also, it could render bonds issued in otherwise small and less liquid markets more attractive for international investors. This would foster private-sector</w:t>
      </w:r>
      <w:r>
        <w:rPr>
          <w:rFonts w:ascii="Times New Roman" w:hAnsi="Times New Roman" w:cs="Times New Roman"/>
          <w:noProof/>
          <w:sz w:val="24"/>
          <w:szCs w:val="24"/>
        </w:rPr>
        <w:t xml:space="preserve"> risk sharing and risk reduction and promote a more efficient allocation of risks among financial operators.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closely following and contributing to the ongoing work on Sovereign Bond-Backed Securities within the European Systemic Risk Boa</w:t>
      </w:r>
      <w:r>
        <w:rPr>
          <w:rFonts w:ascii="Times New Roman" w:hAnsi="Times New Roman" w:cs="Times New Roman"/>
          <w:noProof/>
          <w:sz w:val="24"/>
          <w:szCs w:val="24"/>
        </w:rPr>
        <w:t>rd (ESRB). Building on the outcome of this work, in December 2017 and consultations with relevant stakeholders, the Commission will consider putting forward a legislative proposal for an enabling framework for the development of sovereign bond-backed secur</w:t>
      </w:r>
      <w:r>
        <w:rPr>
          <w:rFonts w:ascii="Times New Roman" w:hAnsi="Times New Roman" w:cs="Times New Roman"/>
          <w:noProof/>
          <w:sz w:val="24"/>
          <w:szCs w:val="24"/>
        </w:rPr>
        <w:t xml:space="preserve">ities in early 2018. </w:t>
      </w:r>
    </w:p>
    <w:p w:rsidR="0015531A" w:rsidRDefault="0015531A">
      <w:pPr>
        <w:spacing w:line="240" w:lineRule="auto"/>
        <w:jc w:val="both"/>
        <w:rPr>
          <w:rFonts w:ascii="Times New Roman" w:hAnsi="Times New Roman" w:cs="Times New Roman"/>
          <w:noProof/>
          <w:sz w:val="24"/>
          <w:szCs w:val="24"/>
        </w:rPr>
      </w:pPr>
    </w:p>
    <w:p w:rsidR="0015531A" w:rsidRDefault="0081380B">
      <w:pPr>
        <w:keepNext/>
        <w:widowControl w:val="0"/>
        <w:spacing w:line="240" w:lineRule="auto"/>
        <w:jc w:val="both"/>
        <w:rPr>
          <w:rFonts w:ascii="Times New Roman" w:hAnsi="Times New Roman"/>
          <w:b/>
          <w:noProof/>
          <w:sz w:val="24"/>
        </w:rPr>
      </w:pPr>
      <w:r>
        <w:rPr>
          <w:rFonts w:ascii="Times New Roman" w:hAnsi="Times New Roman" w:cs="Times New Roman"/>
          <w:b/>
          <w:noProof/>
          <w:sz w:val="24"/>
          <w:szCs w:val="24"/>
        </w:rPr>
        <w:t xml:space="preserve">7. Continuing to ensure high quality supervision </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Single Supervisory Mechanism has now been fully implemented and is fully operational, with clear benefits in terms of level playing field and confidence emerging from the integrated supervision of credit institutions. The report from the Commission to </w:t>
      </w:r>
      <w:r>
        <w:rPr>
          <w:rFonts w:ascii="Times New Roman" w:hAnsi="Times New Roman" w:cs="Times New Roman"/>
          <w:noProof/>
          <w:sz w:val="24"/>
          <w:szCs w:val="24"/>
        </w:rPr>
        <w:t>the European Parliament and the Council adopted on the same day as this Communication, highlights that the European Central Bank has taken up fully its supervisory role and has managed to establish a good reputation as an effective and rigorous supervisory</w:t>
      </w:r>
      <w:r>
        <w:rPr>
          <w:rFonts w:ascii="Times New Roman" w:hAnsi="Times New Roman" w:cs="Times New Roman"/>
          <w:noProof/>
          <w:sz w:val="24"/>
          <w:szCs w:val="24"/>
        </w:rPr>
        <w:t xml:space="preserve"> authority since it took over supervisory tasks in November 2014. This represents a remarkable achievement especially in a context where timelines were extremely challenging and the underlying supervisory realities of the 19 participating Member States wer</w:t>
      </w:r>
      <w:r>
        <w:rPr>
          <w:rFonts w:ascii="Times New Roman" w:hAnsi="Times New Roman" w:cs="Times New Roman"/>
          <w:noProof/>
          <w:sz w:val="24"/>
          <w:szCs w:val="24"/>
        </w:rPr>
        <w:t xml:space="preserve">e very diverse. </w:t>
      </w:r>
    </w:p>
    <w:p w:rsidR="0015531A" w:rsidRDefault="0081380B">
      <w:pPr>
        <w:spacing w:line="240" w:lineRule="auto"/>
        <w:jc w:val="both"/>
        <w:rPr>
          <w:rFonts w:ascii="Times New Roman" w:hAnsi="Times New Roman"/>
          <w:noProof/>
          <w:sz w:val="24"/>
          <w:szCs w:val="24"/>
        </w:rPr>
      </w:pPr>
      <w:r>
        <w:rPr>
          <w:rFonts w:ascii="Times New Roman" w:hAnsi="Times New Roman" w:cs="Times New Roman"/>
          <w:noProof/>
          <w:sz w:val="24"/>
          <w:szCs w:val="24"/>
        </w:rPr>
        <w:t>The functioning of the Banking Union system may be undermined if loopholes in the supervision emerge. Recent structural market developments show a trend for banking groups to have increasingly complex structures, operating through entities</w:t>
      </w:r>
      <w:r>
        <w:rPr>
          <w:rFonts w:ascii="Times New Roman" w:hAnsi="Times New Roman" w:cs="Times New Roman"/>
          <w:noProof/>
          <w:sz w:val="24"/>
          <w:szCs w:val="24"/>
        </w:rPr>
        <w:t xml:space="preserve"> that escape bank supervision, but undertake largely the same activities as banks. Particularly, large investment firms carry out investment banking activities similar to those of credit institutions that raise financial stability concerns. As announced in</w:t>
      </w:r>
      <w:r>
        <w:rPr>
          <w:rFonts w:ascii="Times New Roman" w:hAnsi="Times New Roman" w:cs="Times New Roman"/>
          <w:noProof/>
          <w:sz w:val="24"/>
          <w:szCs w:val="24"/>
        </w:rPr>
        <w:t xml:space="preserve"> September 2017,</w:t>
      </w:r>
      <w:r>
        <w:rPr>
          <w:rStyle w:val="FootnoteReference"/>
          <w:rFonts w:ascii="Times New Roman" w:hAnsi="Times New Roman"/>
          <w:noProof/>
          <w:sz w:val="24"/>
          <w:szCs w:val="24"/>
        </w:rPr>
        <w:footnoteReference w:id="26"/>
      </w:r>
      <w:r>
        <w:rPr>
          <w:rFonts w:ascii="Times New Roman" w:hAnsi="Times New Roman" w:cs="Times New Roman"/>
          <w:noProof/>
          <w:sz w:val="24"/>
          <w:szCs w:val="24"/>
        </w:rPr>
        <w:t xml:space="preserve"> these concerns will be addressed in the upcoming Commission legislative proposals  reviewing the prudential treatment of investment firms.</w:t>
      </w:r>
      <w:r>
        <w:rPr>
          <w:rFonts w:ascii="Times New Roman" w:hAnsi="Times New Roman"/>
          <w:noProof/>
          <w:sz w:val="24"/>
          <w:szCs w:val="24"/>
        </w:rPr>
        <w:t xml:space="preserve"> </w:t>
      </w:r>
    </w:p>
    <w:p w:rsidR="0015531A" w:rsidRDefault="0015531A">
      <w:pPr>
        <w:spacing w:line="240" w:lineRule="auto"/>
        <w:jc w:val="both"/>
        <w:rPr>
          <w:rFonts w:ascii="Times New Roman" w:hAnsi="Times New Roman" w:cs="Times New Roman"/>
          <w:noProof/>
          <w:sz w:val="24"/>
          <w:szCs w:val="24"/>
        </w:rPr>
      </w:pPr>
    </w:p>
    <w:p w:rsidR="0015531A" w:rsidRDefault="0081380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8. Way forward</w:t>
      </w:r>
    </w:p>
    <w:p w:rsidR="0015531A" w:rsidRDefault="008138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progress made so far and the remaining steps needed to </w:t>
      </w:r>
      <w:r>
        <w:rPr>
          <w:rFonts w:ascii="Times New Roman" w:hAnsi="Times New Roman" w:cs="Times New Roman"/>
          <w:noProof/>
          <w:sz w:val="24"/>
          <w:szCs w:val="24"/>
        </w:rPr>
        <w:t>complete the Banking Union, both as regards risk reduction and risk sharing measures, the path towards the achievement of the agreed finalisation of the Banking Union could be envisaged as follows:</w:t>
      </w:r>
    </w:p>
    <w:p w:rsidR="0015531A" w:rsidRDefault="0015531A">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15531A">
        <w:tc>
          <w:tcPr>
            <w:tcW w:w="9288" w:type="dxa"/>
          </w:tcPr>
          <w:p w:rsidR="0015531A" w:rsidRDefault="0015531A">
            <w:pPr>
              <w:pStyle w:val="ListParagraph"/>
              <w:jc w:val="both"/>
              <w:rPr>
                <w:rFonts w:ascii="Times New Roman" w:hAnsi="Times New Roman" w:cs="Times New Roman"/>
                <w:noProof/>
                <w:sz w:val="24"/>
                <w:szCs w:val="24"/>
              </w:rPr>
            </w:pPr>
          </w:p>
          <w:p w:rsidR="0015531A" w:rsidRDefault="0081380B">
            <w:pPr>
              <w:pStyle w:val="ListParagraph"/>
              <w:jc w:val="both"/>
              <w:rPr>
                <w:rFonts w:ascii="Times New Roman" w:hAnsi="Times New Roman" w:cs="Times New Roman"/>
                <w:noProof/>
                <w:sz w:val="24"/>
                <w:szCs w:val="24"/>
              </w:rPr>
            </w:pPr>
            <w:r>
              <w:rPr>
                <w:rFonts w:ascii="Times New Roman" w:hAnsi="Times New Roman" w:cs="Times New Roman"/>
                <w:b/>
                <w:noProof/>
                <w:sz w:val="24"/>
                <w:szCs w:val="24"/>
              </w:rPr>
              <w:t>2017</w:t>
            </w:r>
          </w:p>
          <w:p w:rsidR="0015531A" w:rsidRDefault="0081380B">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cs="Times New Roman"/>
                <w:noProof/>
                <w:sz w:val="24"/>
                <w:szCs w:val="24"/>
              </w:rPr>
              <w:t>Agreement by co-legislators on first items included</w:t>
            </w:r>
            <w:r>
              <w:rPr>
                <w:rFonts w:ascii="Times New Roman" w:hAnsi="Times New Roman" w:cs="Times New Roman"/>
                <w:noProof/>
                <w:sz w:val="24"/>
                <w:szCs w:val="24"/>
              </w:rPr>
              <w:t xml:space="preserve"> in the 2016 November banking package (International Financial Reporting Standard N.9 - IFRS9, creditor hierarchy and large exposure for foreign denominated debt) and significant progress on the rest of the package. </w:t>
            </w:r>
          </w:p>
          <w:p w:rsidR="0015531A" w:rsidRDefault="0081380B">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cs="Times New Roman"/>
                <w:noProof/>
                <w:sz w:val="24"/>
                <w:szCs w:val="24"/>
              </w:rPr>
              <w:t>Clarification</w:t>
            </w:r>
            <w:r>
              <w:rPr>
                <w:rFonts w:ascii="Times New Roman" w:eastAsia="Times New Roman" w:hAnsi="Times New Roman" w:cs="Times New Roman"/>
                <w:noProof/>
                <w:color w:val="000000"/>
                <w:sz w:val="24"/>
                <w:szCs w:val="24"/>
                <w:lang w:eastAsia="en-GB"/>
              </w:rPr>
              <w:t xml:space="preserve"> by the Commission of exis</w:t>
            </w:r>
            <w:r>
              <w:rPr>
                <w:rFonts w:ascii="Times New Roman" w:eastAsia="Times New Roman" w:hAnsi="Times New Roman" w:cs="Times New Roman"/>
                <w:noProof/>
                <w:color w:val="000000"/>
                <w:sz w:val="24"/>
                <w:szCs w:val="24"/>
                <w:lang w:eastAsia="en-GB"/>
              </w:rPr>
              <w:t xml:space="preserve">ting supervisory powers to address risks related to Non Performing Loans in the framework of the </w:t>
            </w:r>
            <w:r>
              <w:rPr>
                <w:rFonts w:ascii="Times New Roman" w:hAnsi="Times New Roman" w:cs="Times New Roman"/>
                <w:noProof/>
                <w:sz w:val="24"/>
                <w:szCs w:val="24"/>
              </w:rPr>
              <w:t xml:space="preserve">Single Supervisory Mechanism Review Report. </w:t>
            </w:r>
          </w:p>
          <w:p w:rsidR="0015531A" w:rsidRDefault="0081380B">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legislative proposal regarding the investment firms review. </w:t>
            </w:r>
          </w:p>
          <w:p w:rsidR="0015531A" w:rsidRDefault="0015531A">
            <w:pPr>
              <w:pStyle w:val="ListParagraph"/>
              <w:tabs>
                <w:tab w:val="left" w:pos="1418"/>
                <w:tab w:val="left" w:pos="2410"/>
              </w:tabs>
              <w:ind w:left="1418"/>
              <w:jc w:val="both"/>
              <w:rPr>
                <w:rFonts w:ascii="Times New Roman" w:hAnsi="Times New Roman" w:cs="Times New Roman"/>
                <w:noProof/>
                <w:sz w:val="24"/>
                <w:szCs w:val="24"/>
              </w:rPr>
            </w:pPr>
          </w:p>
          <w:p w:rsidR="0015531A" w:rsidRDefault="0081380B">
            <w:pPr>
              <w:pStyle w:val="ListParagraph"/>
              <w:jc w:val="both"/>
              <w:rPr>
                <w:rFonts w:ascii="Times New Roman" w:hAnsi="Times New Roman" w:cs="Times New Roman"/>
                <w:noProof/>
                <w:sz w:val="24"/>
                <w:szCs w:val="24"/>
              </w:rPr>
            </w:pPr>
            <w:r>
              <w:rPr>
                <w:rFonts w:ascii="Times New Roman" w:hAnsi="Times New Roman" w:cs="Times New Roman"/>
                <w:b/>
                <w:noProof/>
                <w:sz w:val="24"/>
                <w:szCs w:val="24"/>
              </w:rPr>
              <w:t>2018</w:t>
            </w:r>
          </w:p>
          <w:p w:rsidR="0015531A" w:rsidRDefault="0081380B">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Achievement of a European Parliament</w:t>
            </w:r>
            <w:r>
              <w:rPr>
                <w:rFonts w:ascii="Times New Roman" w:hAnsi="Times New Roman" w:cs="Times New Roman"/>
                <w:noProof/>
                <w:sz w:val="24"/>
                <w:szCs w:val="24"/>
              </w:rPr>
              <w:t xml:space="preserve"> position and a Council general approach (Q4 2017/Q1 2018) and adoption by co-legislators (Q2 2018) of the 2016 November Banking Package. </w:t>
            </w:r>
          </w:p>
          <w:p w:rsidR="0015531A" w:rsidRDefault="0081380B">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Achievement of a European Parliament position and a Council general approach (Q2 2018) and adoption by co-legislators</w:t>
            </w:r>
            <w:r>
              <w:rPr>
                <w:rFonts w:ascii="Times New Roman" w:hAnsi="Times New Roman" w:cs="Times New Roman"/>
                <w:noProof/>
                <w:sz w:val="24"/>
                <w:szCs w:val="24"/>
              </w:rPr>
              <w:t xml:space="preserve"> (Q4 2018) of the European Deposit Insurance Scheme proposal. </w:t>
            </w:r>
          </w:p>
          <w:p w:rsidR="0015531A" w:rsidRDefault="0081380B">
            <w:pPr>
              <w:pStyle w:val="ListParagraph"/>
              <w:numPr>
                <w:ilvl w:val="0"/>
                <w:numId w:val="44"/>
              </w:numPr>
              <w:jc w:val="both"/>
              <w:rPr>
                <w:rFonts w:ascii="Times New Roman" w:hAnsi="Times New Roman" w:cs="Times New Roman"/>
                <w:noProof/>
                <w:sz w:val="24"/>
                <w:szCs w:val="24"/>
              </w:rPr>
            </w:pPr>
            <w:r>
              <w:rPr>
                <w:rFonts w:ascii="Times New Roman" w:eastAsia="Times New Roman" w:hAnsi="Times New Roman" w:cs="Times New Roman"/>
                <w:noProof/>
                <w:sz w:val="24"/>
                <w:szCs w:val="24"/>
              </w:rPr>
              <w:t>Agreement on a common backstop (2018).</w:t>
            </w:r>
          </w:p>
          <w:p w:rsidR="0015531A" w:rsidRDefault="0081380B">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Commission proposals on measures addressing issues linked to Non Performing Loans  (Spring 2018 – to be adopted by co-legislators by early 2019 at the lat</w:t>
            </w:r>
            <w:r>
              <w:rPr>
                <w:rFonts w:ascii="Times New Roman" w:hAnsi="Times New Roman" w:cs="Times New Roman"/>
                <w:noProof/>
                <w:sz w:val="24"/>
                <w:szCs w:val="24"/>
              </w:rPr>
              <w:t>est).</w:t>
            </w:r>
          </w:p>
          <w:p w:rsidR="0015531A" w:rsidRDefault="0081380B">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An enabling framework for the development of Sovereign Bond-Backed Securities (SBBSs) (early 2018).</w:t>
            </w:r>
          </w:p>
          <w:p w:rsidR="0015531A" w:rsidRDefault="0015531A">
            <w:pPr>
              <w:pStyle w:val="ListParagraph"/>
              <w:ind w:left="1353"/>
              <w:jc w:val="both"/>
              <w:rPr>
                <w:rFonts w:ascii="Times New Roman" w:hAnsi="Times New Roman" w:cs="Times New Roman"/>
                <w:noProof/>
                <w:sz w:val="24"/>
                <w:szCs w:val="24"/>
              </w:rPr>
            </w:pPr>
          </w:p>
          <w:p w:rsidR="0015531A" w:rsidRDefault="0081380B">
            <w:pPr>
              <w:pStyle w:val="ListParagraph"/>
              <w:jc w:val="both"/>
              <w:rPr>
                <w:rFonts w:ascii="Times New Roman" w:hAnsi="Times New Roman" w:cs="Times New Roman"/>
                <w:b/>
                <w:noProof/>
                <w:sz w:val="24"/>
                <w:szCs w:val="24"/>
              </w:rPr>
            </w:pPr>
            <w:r>
              <w:rPr>
                <w:rFonts w:ascii="Times New Roman" w:hAnsi="Times New Roman" w:cs="Times New Roman"/>
                <w:b/>
                <w:noProof/>
                <w:sz w:val="24"/>
                <w:szCs w:val="24"/>
              </w:rPr>
              <w:t xml:space="preserve">Spring 2019 </w:t>
            </w:r>
          </w:p>
          <w:p w:rsidR="0015531A" w:rsidRDefault="0081380B">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 xml:space="preserve">All foreseen risk reduction and risk sharing measures should be in place and the implementation phase should start. </w:t>
            </w:r>
          </w:p>
          <w:p w:rsidR="0015531A" w:rsidRDefault="0015531A">
            <w:pPr>
              <w:pStyle w:val="ListParagraph"/>
              <w:jc w:val="both"/>
              <w:rPr>
                <w:rFonts w:ascii="Times New Roman" w:hAnsi="Times New Roman" w:cs="Times New Roman"/>
                <w:noProof/>
                <w:sz w:val="24"/>
                <w:szCs w:val="24"/>
              </w:rPr>
            </w:pPr>
          </w:p>
        </w:tc>
      </w:tr>
    </w:tbl>
    <w:p w:rsidR="0015531A" w:rsidRDefault="0015531A">
      <w:pPr>
        <w:spacing w:line="240" w:lineRule="auto"/>
        <w:jc w:val="both"/>
        <w:rPr>
          <w:rFonts w:ascii="Times New Roman" w:hAnsi="Times New Roman" w:cs="Times New Roman"/>
          <w:noProof/>
          <w:sz w:val="24"/>
          <w:szCs w:val="24"/>
        </w:rPr>
      </w:pPr>
    </w:p>
    <w:p w:rsidR="0015531A" w:rsidRDefault="0081380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9. Conclusions </w:t>
      </w:r>
    </w:p>
    <w:p w:rsidR="0015531A" w:rsidRDefault="0081380B">
      <w:pPr>
        <w:spacing w:after="120" w:line="240" w:lineRule="auto"/>
        <w:jc w:val="both"/>
        <w:rPr>
          <w:noProof/>
        </w:rPr>
      </w:pPr>
      <w:r>
        <w:rPr>
          <w:rFonts w:ascii="Times New Roman" w:hAnsi="Times New Roman" w:cs="Times New Roman"/>
          <w:noProof/>
          <w:sz w:val="24"/>
          <w:szCs w:val="24"/>
        </w:rPr>
        <w:t>Despite significant progress made since the financial crisis, the Banking Union remains incomplete and does not therefore play its full role as a mechanism of shock absorption through private channels in a strong Economic and Monetary Union. All issues are</w:t>
      </w:r>
      <w:r>
        <w:rPr>
          <w:rFonts w:ascii="Times New Roman" w:hAnsi="Times New Roman" w:cs="Times New Roman"/>
          <w:noProof/>
          <w:sz w:val="24"/>
          <w:szCs w:val="24"/>
        </w:rPr>
        <w:t xml:space="preserve"> well-known and on the table for some time already. The moment to take bold but realistic actions is now, mending the roof while the sun is still shining and while the European economy is experiencing a sustained recovery. All Member States stand to lose i</w:t>
      </w:r>
      <w:r>
        <w:rPr>
          <w:rFonts w:ascii="Times New Roman" w:hAnsi="Times New Roman" w:cs="Times New Roman"/>
          <w:noProof/>
          <w:sz w:val="24"/>
          <w:szCs w:val="24"/>
        </w:rPr>
        <w:t>f the current momentum is not used. To strengthen shock absorption through private channels in the Economic and Monetary Union, the European Union must find a "win win" equilibrium, delivering with regard to risk reduction as well as risk sharing. As the e</w:t>
      </w:r>
      <w:r>
        <w:rPr>
          <w:rFonts w:ascii="Times New Roman" w:hAnsi="Times New Roman" w:cs="Times New Roman"/>
          <w:noProof/>
          <w:sz w:val="24"/>
          <w:szCs w:val="24"/>
        </w:rPr>
        <w:t xml:space="preserve">nd of the legislative term is approaching, clear political decisions are needed in the coming months to ensure agreement on all the outstanding key elements by the end of 2018. Hence, the Commission calls upon the European Parliament and all Member States </w:t>
      </w:r>
      <w:r>
        <w:rPr>
          <w:rFonts w:ascii="Times New Roman" w:hAnsi="Times New Roman" w:cs="Times New Roman"/>
          <w:noProof/>
          <w:sz w:val="24"/>
          <w:szCs w:val="24"/>
        </w:rPr>
        <w:t>to reach a political agreement in the coming months on a renewed commitment to complete the Banking Union by 2019. The Commission stands ready to actively contribute to and facilitate these discussions.</w:t>
      </w:r>
    </w:p>
    <w:sectPr w:rsidR="0015531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1A" w:rsidRDefault="0081380B">
      <w:pPr>
        <w:spacing w:after="0" w:line="240" w:lineRule="auto"/>
      </w:pPr>
      <w:r>
        <w:separator/>
      </w:r>
    </w:p>
  </w:endnote>
  <w:endnote w:type="continuationSeparator" w:id="0">
    <w:p w:rsidR="0015531A" w:rsidRDefault="0081380B">
      <w:pPr>
        <w:spacing w:after="0" w:line="240" w:lineRule="auto"/>
      </w:pPr>
      <w:r>
        <w:continuationSeparator/>
      </w:r>
    </w:p>
  </w:endnote>
  <w:endnote w:type="continuationNotice" w:id="1">
    <w:p w:rsidR="0015531A" w:rsidRDefault="00155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81380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1801"/>
      <w:docPartObj>
        <w:docPartGallery w:val="Page Numbers (Bottom of Page)"/>
        <w:docPartUnique/>
      </w:docPartObj>
    </w:sdtPr>
    <w:sdtEndPr>
      <w:rPr>
        <w:noProof/>
      </w:rPr>
    </w:sdtEndPr>
    <w:sdtContent>
      <w:p w:rsidR="0015531A" w:rsidRDefault="0081380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5531A" w:rsidRDefault="001553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1A" w:rsidRDefault="0081380B">
      <w:pPr>
        <w:spacing w:after="0" w:line="240" w:lineRule="auto"/>
      </w:pPr>
      <w:r>
        <w:separator/>
      </w:r>
    </w:p>
  </w:footnote>
  <w:footnote w:type="continuationSeparator" w:id="0">
    <w:p w:rsidR="0015531A" w:rsidRDefault="0081380B">
      <w:pPr>
        <w:spacing w:after="0" w:line="240" w:lineRule="auto"/>
      </w:pPr>
      <w:r>
        <w:continuationSeparator/>
      </w:r>
    </w:p>
  </w:footnote>
  <w:footnote w:type="continuationNotice" w:id="1">
    <w:p w:rsidR="0015531A" w:rsidRDefault="0015531A">
      <w:pPr>
        <w:spacing w:after="0" w:line="240" w:lineRule="auto"/>
      </w:pPr>
    </w:p>
  </w:footnote>
  <w:footnote w:id="2">
    <w:p w:rsidR="0015531A" w:rsidRDefault="0081380B">
      <w:pPr>
        <w:pStyle w:val="FootnoteText"/>
        <w:spacing w:line="240" w:lineRule="auto"/>
        <w:jc w:val="left"/>
        <w:rPr>
          <w:color w:val="0000FF" w:themeColor="hyperlink"/>
          <w:u w:val="single"/>
          <w:lang w:val="en-GB"/>
        </w:rPr>
      </w:pPr>
      <w:r>
        <w:rPr>
          <w:rStyle w:val="FootnoteReference"/>
        </w:rPr>
        <w:footnoteRef/>
      </w:r>
      <w:r>
        <w:t xml:space="preserve"> </w:t>
      </w:r>
      <w:hyperlink r:id="rId1" w:history="1">
        <w:r>
          <w:t>https://ec.europa.eu/commission/state-union-2017_en</w:t>
        </w:r>
      </w:hyperlink>
      <w:r>
        <w:t>: "</w:t>
      </w:r>
      <w:r>
        <w:rPr>
          <w:i/>
        </w:rPr>
        <w:t>If we want banks to operate under the same rules and under the same supervision across our continent, then we should encourage all Member State</w:t>
      </w:r>
      <w:r>
        <w:rPr>
          <w:i/>
        </w:rPr>
        <w:t>s to join the Banking Union. We need to reduce the remaining risks in the banking systems of some of our Member States. Banking Union can only function if risk-reduction and risk-sharing go hand in hand. As everyone well knows, this can only be achieved if</w:t>
      </w:r>
      <w:r>
        <w:rPr>
          <w:i/>
        </w:rPr>
        <w:t xml:space="preserve"> the conditions, as proposed by the Commission in November 2015, are met. There can only be a common deposit insurance scheme once everyone will have done their national homework</w:t>
      </w:r>
      <w:r>
        <w:t xml:space="preserve">".  </w:t>
      </w:r>
    </w:p>
  </w:footnote>
  <w:footnote w:id="3">
    <w:p w:rsidR="0015531A" w:rsidRDefault="0081380B">
      <w:pPr>
        <w:pStyle w:val="FootnoteText"/>
        <w:spacing w:line="240" w:lineRule="auto"/>
        <w:jc w:val="left"/>
      </w:pPr>
      <w:r>
        <w:rPr>
          <w:rStyle w:val="FootnoteReference"/>
        </w:rPr>
        <w:footnoteRef/>
      </w:r>
      <w:r>
        <w:t xml:space="preserve"> See EP, Banking Union – Annual Report 2016, available at http://www.eur</w:t>
      </w:r>
      <w:r>
        <w:t>oparl.europa.eu/sides/getDoc.do?pubRef=-//EP//NONSGML+TA+P8-TA-2017-0041+0+DOC+PDF+V0//EN.</w:t>
      </w:r>
    </w:p>
  </w:footnote>
  <w:footnote w:id="4">
    <w:p w:rsidR="0015531A" w:rsidRDefault="0081380B">
      <w:pPr>
        <w:pStyle w:val="FootnoteText"/>
        <w:jc w:val="left"/>
        <w:rPr>
          <w:lang w:val="en-GB"/>
        </w:rPr>
      </w:pPr>
      <w:r>
        <w:rPr>
          <w:rStyle w:val="FootnoteReference"/>
        </w:rPr>
        <w:footnoteRef/>
      </w:r>
      <w:r>
        <w:t xml:space="preserve"> The Five Presidents’ Report: Completing Europe's Economic and Monetary Union, 2015, available at: </w:t>
      </w:r>
      <w:hyperlink r:id="rId2" w:history="1">
        <w:r>
          <w:t>https://ec.europa.eu/commission/sites/beta-political/files/5-presidents-report_en.pdf</w:t>
        </w:r>
      </w:hyperlink>
      <w:r>
        <w:t xml:space="preserve">. </w:t>
      </w:r>
    </w:p>
  </w:footnote>
  <w:footnote w:id="5">
    <w:p w:rsidR="0015531A" w:rsidRDefault="0081380B">
      <w:pPr>
        <w:pStyle w:val="FootnoteText"/>
        <w:spacing w:line="240" w:lineRule="auto"/>
        <w:jc w:val="left"/>
      </w:pPr>
      <w:r>
        <w:rPr>
          <w:rStyle w:val="FootnoteReference"/>
        </w:rPr>
        <w:footnoteRef/>
      </w:r>
      <w:r>
        <w:t xml:space="preserve"> COM(2017) 291 of 31 May 2017, https://ec.europa.eu/commission/site</w:t>
      </w:r>
      <w:r>
        <w:t>s/beta-political/filespublications/reflection-paper-emudeepening-economic-and-monetary-union_en.pdf</w:t>
      </w:r>
    </w:p>
  </w:footnote>
  <w:footnote w:id="6">
    <w:p w:rsidR="0015531A" w:rsidRDefault="0081380B">
      <w:pPr>
        <w:pStyle w:val="FootnoteText"/>
        <w:jc w:val="left"/>
      </w:pPr>
      <w:r>
        <w:rPr>
          <w:rStyle w:val="FootnoteReference"/>
        </w:rPr>
        <w:footnoteRef/>
      </w:r>
      <w:r>
        <w:t xml:space="preserve"> Communication from the Commission to the European Parliament, the Council, the European Central Bank, the European Economic and Social Committee and the C</w:t>
      </w:r>
      <w:r>
        <w:t xml:space="preserve">ommittee of the Regions, Consumer Financial Services Action Plan: Better Products, More Choice, COM/2017/0139 final. </w:t>
      </w:r>
    </w:p>
  </w:footnote>
  <w:footnote w:id="7">
    <w:p w:rsidR="0015531A" w:rsidRDefault="0081380B">
      <w:pPr>
        <w:pStyle w:val="FootnoteText"/>
        <w:jc w:val="left"/>
      </w:pPr>
      <w:r>
        <w:rPr>
          <w:rStyle w:val="FootnoteReference"/>
        </w:rPr>
        <w:footnoteRef/>
      </w:r>
      <w:r>
        <w:t xml:space="preserve"> Regulation (EC) No 924/2009 of the European Parliament and of the Council of 16 September 2009 on cross-border payments in the Community</w:t>
      </w:r>
      <w:r>
        <w:t xml:space="preserve"> and repealing Regulation (EC) No 2560/2001, OJ L 266, 9.10.2009, p. 11.</w:t>
      </w:r>
    </w:p>
  </w:footnote>
  <w:footnote w:id="8">
    <w:p w:rsidR="0015531A" w:rsidRDefault="0081380B">
      <w:pPr>
        <w:pStyle w:val="FootnoteText"/>
        <w:jc w:val="left"/>
      </w:pPr>
      <w:r>
        <w:rPr>
          <w:rStyle w:val="FootnoteReference"/>
        </w:rPr>
        <w:footnoteRef/>
      </w:r>
      <w:r>
        <w:t xml:space="preserve"> See Economic and Financial Affairs Council Conclusions of 18 December 2013, 8 December 2015 and 17 June 2016. </w:t>
      </w:r>
    </w:p>
  </w:footnote>
  <w:footnote w:id="9">
    <w:p w:rsidR="0015531A" w:rsidRDefault="0081380B">
      <w:pPr>
        <w:pStyle w:val="FootnoteText"/>
        <w:jc w:val="left"/>
      </w:pPr>
      <w:r>
        <w:rPr>
          <w:rStyle w:val="FootnoteReference"/>
        </w:rPr>
        <w:footnoteRef/>
      </w:r>
      <w:r>
        <w:t xml:space="preserve"> </w:t>
      </w:r>
      <w:hyperlink r:id="rId3" w:history="1">
        <w:r>
          <w:rPr>
            <w:rStyle w:val="Hyperlink"/>
            <w:color w:val="auto"/>
            <w:u w:val="none"/>
          </w:rPr>
          <w:t>http://europa.eu/rapid/press-release_IP-16-3731_en.htm</w:t>
        </w:r>
      </w:hyperlink>
      <w:r>
        <w:t>. Further initiatives of the Commission aim at resilient, recoverable and resolvable market infrastructures, in particular in relatio</w:t>
      </w:r>
      <w:r>
        <w:t xml:space="preserve">n to central counterparties, </w:t>
      </w:r>
      <w:hyperlink r:id="rId4" w:history="1">
        <w:r>
          <w:rPr>
            <w:rStyle w:val="Hyperlink"/>
            <w:color w:val="auto"/>
            <w:u w:val="none"/>
          </w:rPr>
          <w:t>http://eur-lex.europa.eu/legal-content/EN/TXT/?uri=CELEX%3A52016PC0856</w:t>
        </w:r>
      </w:hyperlink>
      <w:r>
        <w:t>, http://eur-lex.europa.eu/legal-content/EN/TXT/?uri=CELEX:52017PC0331</w:t>
      </w:r>
      <w:r>
        <w:t xml:space="preserve">.  </w:t>
      </w:r>
    </w:p>
  </w:footnote>
  <w:footnote w:id="10">
    <w:p w:rsidR="0015531A" w:rsidRDefault="0081380B">
      <w:pPr>
        <w:pStyle w:val="FootnoteText"/>
        <w:jc w:val="left"/>
      </w:pPr>
      <w:r>
        <w:rPr>
          <w:rStyle w:val="FootnoteReference"/>
        </w:rPr>
        <w:footnoteRef/>
      </w:r>
      <w:r>
        <w:t xml:space="preserve"> http://www.consilium.europa.eu/en/press/press-releases/2016/06/17-conclusions-on-banking-union/</w:t>
      </w:r>
    </w:p>
  </w:footnote>
  <w:footnote w:id="11">
    <w:p w:rsidR="0015531A" w:rsidRDefault="0081380B">
      <w:pPr>
        <w:pStyle w:val="FootnoteText"/>
        <w:spacing w:line="240" w:lineRule="auto"/>
        <w:jc w:val="left"/>
      </w:pPr>
      <w:r>
        <w:rPr>
          <w:rStyle w:val="FootnoteReference"/>
        </w:rPr>
        <w:footnoteRef/>
      </w:r>
      <w:r>
        <w:t xml:space="preserve"> In addition to the elements mentioned in 2016 Council Roadmap, the Commission proposals also introduce new rules in areas of market risk, counterparty c</w:t>
      </w:r>
      <w:r>
        <w:t>redit risk, large exposures and for exposures to central counterparties (CCPs).</w:t>
      </w:r>
    </w:p>
  </w:footnote>
  <w:footnote w:id="12">
    <w:p w:rsidR="0015531A" w:rsidRDefault="0081380B">
      <w:pPr>
        <w:pStyle w:val="FootnoteText"/>
        <w:jc w:val="left"/>
        <w:rPr>
          <w:lang w:val="en-GB"/>
        </w:rPr>
      </w:pPr>
      <w:r>
        <w:rPr>
          <w:rStyle w:val="FootnoteReference"/>
        </w:rPr>
        <w:footnoteRef/>
      </w:r>
      <w:r>
        <w:rPr>
          <w:lang w:val="en-GB"/>
        </w:rPr>
        <w:t xml:space="preserve"> Report from the Commission to the European Parliament and the Council, Assessment of the remuneration rules under Directive 2013/36/EU and Regulation (EU) No 575/2013, COM(20</w:t>
      </w:r>
      <w:r>
        <w:rPr>
          <w:lang w:val="en-GB"/>
        </w:rPr>
        <w:t>16) 510 final.</w:t>
      </w:r>
    </w:p>
  </w:footnote>
  <w:footnote w:id="13">
    <w:p w:rsidR="0015531A" w:rsidRDefault="0081380B">
      <w:pPr>
        <w:pStyle w:val="FootnoteText"/>
        <w:spacing w:line="240" w:lineRule="auto"/>
        <w:jc w:val="left"/>
        <w:rPr>
          <w:lang w:val="en-GB"/>
        </w:rPr>
      </w:pPr>
      <w:r>
        <w:rPr>
          <w:rStyle w:val="FootnoteReference"/>
        </w:rPr>
        <w:footnoteRef/>
      </w:r>
      <w:r>
        <w:rPr>
          <w:lang w:val="en-GB"/>
        </w:rPr>
        <w:t xml:space="preserve"> https://ec.europa.eu/info/business-economy-euro/banking-and-finance/banking-union/european-deposit-insurance-scheme_en.</w:t>
      </w:r>
      <w:r>
        <w:rPr>
          <w:highlight w:val="yellow"/>
          <w:lang w:val="en-GB"/>
        </w:rPr>
        <w:t xml:space="preserve"> </w:t>
      </w:r>
    </w:p>
  </w:footnote>
  <w:footnote w:id="14">
    <w:p w:rsidR="0015531A" w:rsidRDefault="0081380B">
      <w:pPr>
        <w:pStyle w:val="FootnoteText"/>
        <w:spacing w:line="240" w:lineRule="auto"/>
        <w:jc w:val="left"/>
        <w:rPr>
          <w:lang w:val="en-GB"/>
        </w:rPr>
      </w:pPr>
      <w:r>
        <w:rPr>
          <w:rStyle w:val="FootnoteReference"/>
        </w:rPr>
        <w:footnoteRef/>
      </w:r>
      <w:r>
        <w:rPr>
          <w:lang w:val="en-GB"/>
        </w:rPr>
        <w:t xml:space="preserve"> Also the Effects analysis, available at https://ec.europa.eu/info/publications/effects-analysis-european-deposit-ins</w:t>
      </w:r>
      <w:r>
        <w:rPr>
          <w:lang w:val="en-GB"/>
        </w:rPr>
        <w:t>urance-scheme-edis_en.</w:t>
      </w:r>
    </w:p>
  </w:footnote>
  <w:footnote w:id="15">
    <w:p w:rsidR="0015531A" w:rsidRDefault="0081380B">
      <w:pPr>
        <w:pStyle w:val="FootnoteText"/>
        <w:spacing w:line="240" w:lineRule="auto"/>
        <w:jc w:val="left"/>
      </w:pPr>
      <w:r>
        <w:rPr>
          <w:rStyle w:val="FootnoteReference"/>
        </w:rPr>
        <w:footnoteRef/>
      </w:r>
      <w:r>
        <w:t xml:space="preserve"> See table 1.</w:t>
      </w:r>
    </w:p>
  </w:footnote>
  <w:footnote w:id="16">
    <w:p w:rsidR="0015531A" w:rsidRDefault="0081380B">
      <w:pPr>
        <w:pStyle w:val="FootnoteText"/>
        <w:jc w:val="left"/>
      </w:pPr>
      <w:r>
        <w:rPr>
          <w:rStyle w:val="FootnoteReference"/>
        </w:rPr>
        <w:footnoteRef/>
      </w:r>
      <w:r>
        <w:t xml:space="preserve"> Assets which are typically very illiquid, and their valuation cannot be determined by using observable measures such as market prices or models.</w:t>
      </w:r>
    </w:p>
  </w:footnote>
  <w:footnote w:id="17">
    <w:p w:rsidR="0015531A" w:rsidRDefault="0081380B">
      <w:pPr>
        <w:pStyle w:val="FootnoteText"/>
        <w:jc w:val="left"/>
      </w:pPr>
      <w:r>
        <w:rPr>
          <w:rStyle w:val="FootnoteReference"/>
        </w:rPr>
        <w:footnoteRef/>
      </w:r>
      <w:r>
        <w:t>https://ec.europa.eu/info/business-economy-euro/banking-and-finance/fi</w:t>
      </w:r>
      <w:r>
        <w:t>nancial-supervision-and-risk-management/managing-risks-banks-and-financial-institutions/deposit-guarantee-schemes_en.</w:t>
      </w:r>
      <w:r>
        <w:rPr>
          <w:highlight w:val="yellow"/>
        </w:rPr>
        <w:t xml:space="preserve"> </w:t>
      </w:r>
    </w:p>
  </w:footnote>
  <w:footnote w:id="18">
    <w:p w:rsidR="0015531A" w:rsidRDefault="0081380B">
      <w:pPr>
        <w:pStyle w:val="FootnoteText"/>
        <w:jc w:val="left"/>
      </w:pPr>
      <w:r>
        <w:rPr>
          <w:rStyle w:val="FootnoteReference"/>
        </w:rPr>
        <w:footnoteRef/>
      </w:r>
      <w:r>
        <w:t xml:space="preserve"> http://eur-lex.europa.eu/legal-content/EN/TXT/PDF/?uri=CELEX:52015DC0587&amp;from=EN.</w:t>
      </w:r>
    </w:p>
  </w:footnote>
  <w:footnote w:id="19">
    <w:p w:rsidR="0015531A" w:rsidRDefault="0081380B">
      <w:pPr>
        <w:pStyle w:val="FootnoteText"/>
        <w:jc w:val="left"/>
      </w:pPr>
      <w:r>
        <w:rPr>
          <w:rStyle w:val="FootnoteReference"/>
        </w:rPr>
        <w:footnoteRef/>
      </w:r>
      <w:r>
        <w:t xml:space="preserve"> </w:t>
      </w:r>
      <w:r>
        <w:rPr>
          <w:bCs/>
        </w:rPr>
        <w:t>Statement of Eurogroup and Economic and Financial A</w:t>
      </w:r>
      <w:r>
        <w:rPr>
          <w:bCs/>
        </w:rPr>
        <w:t>ffairs Council Ministers on the Single Resolution Mechanism backstop, 18 December 2013.</w:t>
      </w:r>
    </w:p>
  </w:footnote>
  <w:footnote w:id="20">
    <w:p w:rsidR="0015531A" w:rsidRDefault="0081380B">
      <w:pPr>
        <w:pStyle w:val="FootnoteText"/>
        <w:jc w:val="left"/>
      </w:pPr>
      <w:r>
        <w:rPr>
          <w:rStyle w:val="FootnoteReference"/>
        </w:rPr>
        <w:footnoteRef/>
      </w:r>
      <w:r>
        <w:t xml:space="preserve"> http://ec.europa.eu/information_society/newsroom/image/document/2016-48/proposal_40046.pdf.</w:t>
      </w:r>
    </w:p>
  </w:footnote>
  <w:footnote w:id="21">
    <w:p w:rsidR="0015531A" w:rsidRDefault="0081380B">
      <w:pPr>
        <w:pStyle w:val="FootnoteText"/>
        <w:spacing w:line="240" w:lineRule="auto"/>
        <w:jc w:val="left"/>
      </w:pPr>
      <w:r>
        <w:rPr>
          <w:rStyle w:val="FootnoteReference"/>
        </w:rPr>
        <w:footnoteRef/>
      </w:r>
      <w:r>
        <w:t xml:space="preserve"> </w:t>
      </w:r>
      <w:r>
        <w:rPr>
          <w:color w:val="000000"/>
          <w:u w:color="000000"/>
          <w:lang w:val="en-GB" w:eastAsia="en-GB"/>
        </w:rPr>
        <w:t xml:space="preserve">These measures included transfer of </w:t>
      </w:r>
      <w:r>
        <w:t>Non Performing Loans</w:t>
      </w:r>
      <w:r>
        <w:rPr>
          <w:color w:val="000000"/>
          <w:u w:color="000000"/>
          <w:lang w:val="en-GB" w:eastAsia="en-GB"/>
        </w:rPr>
        <w:t xml:space="preserve"> to asset manage</w:t>
      </w:r>
      <w:r>
        <w:rPr>
          <w:color w:val="000000"/>
          <w:u w:color="000000"/>
          <w:lang w:val="en-GB" w:eastAsia="en-GB"/>
        </w:rPr>
        <w:t>ment companies (such as in Ireland, Spain and Slovenia). They were associated with recapitalisation aid to the banks. In all those cases, state-aid was approved by the Commission under the European Union State aid framework, which require in-depth restruct</w:t>
      </w:r>
      <w:r>
        <w:rPr>
          <w:color w:val="000000"/>
          <w:u w:color="000000"/>
          <w:lang w:val="en-GB" w:eastAsia="en-GB"/>
        </w:rPr>
        <w:t>uring and adequate burden sharing. For the banks whose viability could not be restored, other measures approved under state aid rules included specific bank actions like orderly liquidation plans approved by the Commission under state aid rules, which enta</w:t>
      </w:r>
      <w:r>
        <w:rPr>
          <w:color w:val="000000"/>
          <w:u w:color="000000"/>
          <w:lang w:val="en-GB" w:eastAsia="en-GB"/>
        </w:rPr>
        <w:t xml:space="preserve">iled a reduction of the </w:t>
      </w:r>
      <w:r>
        <w:t>Non Performing Loan</w:t>
      </w:r>
      <w:r>
        <w:rPr>
          <w:color w:val="000000"/>
          <w:u w:color="000000"/>
          <w:lang w:val="en-GB" w:eastAsia="en-GB"/>
        </w:rPr>
        <w:t xml:space="preserve"> stock present in the banking sector. Finally, more recently, the Commission also facilitated the setting up of state aid free schemes, such as schemes to facilitate the securitisation of </w:t>
      </w:r>
      <w:r>
        <w:t>Non Performing Loans</w:t>
      </w:r>
      <w:r>
        <w:rPr>
          <w:color w:val="000000"/>
          <w:u w:color="000000"/>
          <w:lang w:val="en-GB" w:eastAsia="en-GB"/>
        </w:rPr>
        <w:t>.</w:t>
      </w:r>
    </w:p>
  </w:footnote>
  <w:footnote w:id="22">
    <w:p w:rsidR="0015531A" w:rsidRDefault="0081380B">
      <w:pPr>
        <w:pStyle w:val="FootnoteText"/>
        <w:spacing w:line="240" w:lineRule="auto"/>
        <w:jc w:val="left"/>
      </w:pPr>
      <w:r>
        <w:rPr>
          <w:rStyle w:val="FootnoteReference"/>
        </w:rPr>
        <w:footnoteRef/>
      </w:r>
      <w:r>
        <w:t xml:space="preserve"> S</w:t>
      </w:r>
      <w:r>
        <w:t>ee most recently Commission Communication 2017 European Semester: Country-specific recommendations, COM(2017) 500 final of 22 May 2017.</w:t>
      </w:r>
    </w:p>
  </w:footnote>
  <w:footnote w:id="23">
    <w:p w:rsidR="0015531A" w:rsidRDefault="0081380B">
      <w:pPr>
        <w:pStyle w:val="FootnoteText"/>
        <w:spacing w:line="240" w:lineRule="auto"/>
        <w:jc w:val="left"/>
      </w:pPr>
      <w:r>
        <w:rPr>
          <w:rStyle w:val="FootnoteReference"/>
        </w:rPr>
        <w:footnoteRef/>
      </w:r>
      <w:r>
        <w:t xml:space="preserve"> Proposal </w:t>
      </w:r>
      <w:r>
        <w:rPr>
          <w:lang w:val="en-GB"/>
        </w:rPr>
        <w:t>for a Directive on preventive restructuring frameworks, second chance and measures to increase the efficiency</w:t>
      </w:r>
      <w:r>
        <w:rPr>
          <w:lang w:val="en-GB"/>
        </w:rPr>
        <w:t xml:space="preserve"> of restructuring, insolvency and discharge procedures and amending Directive 2012/30/EU, 22 November 2016, COM(2016) 723 final.</w:t>
      </w:r>
    </w:p>
  </w:footnote>
  <w:footnote w:id="24">
    <w:p w:rsidR="0015531A" w:rsidRDefault="0081380B">
      <w:pPr>
        <w:pStyle w:val="FootnoteText"/>
        <w:jc w:val="left"/>
        <w:rPr>
          <w:lang w:val="en-GB"/>
        </w:rPr>
      </w:pPr>
      <w:r>
        <w:rPr>
          <w:rStyle w:val="FootnoteReference"/>
        </w:rPr>
        <w:footnoteRef/>
      </w:r>
      <w:r>
        <w:t xml:space="preserve"> Action Plan To Tackle Non-Performing Loans In Europe</w:t>
      </w:r>
      <w:r>
        <w:rPr>
          <w:i/>
        </w:rPr>
        <w:t>;</w:t>
      </w:r>
      <w:r>
        <w:t xml:space="preserve"> http://www.consilium.europa.eu/en/press/press-releases/2017/07/11-concl</w:t>
      </w:r>
      <w:r>
        <w:t>usions-non-performing-loans/.</w:t>
      </w:r>
    </w:p>
  </w:footnote>
  <w:footnote w:id="25">
    <w:p w:rsidR="0015531A" w:rsidRDefault="0081380B">
      <w:pPr>
        <w:pStyle w:val="FootnoteText"/>
        <w:jc w:val="left"/>
      </w:pPr>
      <w:r>
        <w:rPr>
          <w:rStyle w:val="FootnoteReference"/>
        </w:rPr>
        <w:footnoteRef/>
      </w:r>
      <w:r>
        <w:t xml:space="preserve"> See Commission Implementing Regulation (EU) No. 680/2014.</w:t>
      </w:r>
    </w:p>
  </w:footnote>
  <w:footnote w:id="26">
    <w:p w:rsidR="0015531A" w:rsidRDefault="0081380B">
      <w:pPr>
        <w:pStyle w:val="FootnoteText"/>
        <w:jc w:val="left"/>
      </w:pPr>
      <w:r>
        <w:rPr>
          <w:rStyle w:val="FootnoteReference"/>
        </w:rPr>
        <w:footnoteRef/>
      </w:r>
      <w:r>
        <w:t xml:space="preserve"> </w:t>
      </w:r>
      <w:r>
        <w:rPr>
          <w:lang w:val="en-GB"/>
        </w:rPr>
        <w:t>See Commission Communication on Reinforcing integrated supervision to strengthen Capital Markets Union and financial integration in a changing environment, 20 Septe</w:t>
      </w:r>
      <w:r>
        <w:rPr>
          <w:lang w:val="en-GB"/>
        </w:rPr>
        <w:t>mber 2017,  COM(2017) 542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A" w:rsidRDefault="00155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6D"/>
    <w:multiLevelType w:val="hybridMultilevel"/>
    <w:tmpl w:val="720C9CE0"/>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2331439"/>
    <w:multiLevelType w:val="hybridMultilevel"/>
    <w:tmpl w:val="1A6E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04944"/>
    <w:multiLevelType w:val="hybridMultilevel"/>
    <w:tmpl w:val="879A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D0110"/>
    <w:multiLevelType w:val="hybridMultilevel"/>
    <w:tmpl w:val="264CBDE2"/>
    <w:lvl w:ilvl="0" w:tplc="82CEA38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17090E"/>
    <w:multiLevelType w:val="hybridMultilevel"/>
    <w:tmpl w:val="25C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E6247"/>
    <w:multiLevelType w:val="hybridMultilevel"/>
    <w:tmpl w:val="E788CE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0C6D5FE6"/>
    <w:multiLevelType w:val="hybridMultilevel"/>
    <w:tmpl w:val="77104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0EE05CB7"/>
    <w:multiLevelType w:val="hybridMultilevel"/>
    <w:tmpl w:val="357C3E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3C76EA"/>
    <w:multiLevelType w:val="hybridMultilevel"/>
    <w:tmpl w:val="96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719D4"/>
    <w:multiLevelType w:val="hybridMultilevel"/>
    <w:tmpl w:val="23B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91843"/>
    <w:multiLevelType w:val="hybridMultilevel"/>
    <w:tmpl w:val="5260C5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227CD4"/>
    <w:multiLevelType w:val="hybridMultilevel"/>
    <w:tmpl w:val="41664F8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6C7D60"/>
    <w:multiLevelType w:val="hybridMultilevel"/>
    <w:tmpl w:val="53D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9D5939"/>
    <w:multiLevelType w:val="hybridMultilevel"/>
    <w:tmpl w:val="34A4099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A5F6BFB"/>
    <w:multiLevelType w:val="hybridMultilevel"/>
    <w:tmpl w:val="B8D44F14"/>
    <w:lvl w:ilvl="0" w:tplc="357426C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BC1E85"/>
    <w:multiLevelType w:val="hybridMultilevel"/>
    <w:tmpl w:val="3C0C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964EA9"/>
    <w:multiLevelType w:val="hybridMultilevel"/>
    <w:tmpl w:val="E6D665DE"/>
    <w:lvl w:ilvl="0" w:tplc="D16E1E08">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98458F4"/>
    <w:multiLevelType w:val="hybridMultilevel"/>
    <w:tmpl w:val="7FC8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F6835"/>
    <w:multiLevelType w:val="multilevel"/>
    <w:tmpl w:val="FB6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81349"/>
    <w:multiLevelType w:val="hybridMultilevel"/>
    <w:tmpl w:val="1AEC4122"/>
    <w:lvl w:ilvl="0" w:tplc="2274084C">
      <w:start w:val="1"/>
      <w:numFmt w:val="lowerRoman"/>
      <w:lvlText w:val="%1."/>
      <w:lvlJc w:val="righ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
    <w:nsid w:val="3D147673"/>
    <w:multiLevelType w:val="hybridMultilevel"/>
    <w:tmpl w:val="B8A8790A"/>
    <w:lvl w:ilvl="0" w:tplc="D16E1E08">
      <w:numFmt w:val="bullet"/>
      <w:lvlText w:val="-"/>
      <w:lvlJc w:val="left"/>
      <w:pPr>
        <w:ind w:left="-216" w:hanging="360"/>
      </w:pPr>
      <w:rPr>
        <w:rFonts w:ascii="Calibri" w:eastAsia="Calibri" w:hAnsi="Calibri" w:cs="Times New Roman" w:hint="default"/>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21">
    <w:nsid w:val="3E4647B0"/>
    <w:multiLevelType w:val="hybridMultilevel"/>
    <w:tmpl w:val="802A5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4823B9"/>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EAF00E6"/>
    <w:multiLevelType w:val="hybridMultilevel"/>
    <w:tmpl w:val="2F6E14BE"/>
    <w:lvl w:ilvl="0" w:tplc="08090001">
      <w:start w:val="1"/>
      <w:numFmt w:val="bullet"/>
      <w:lvlText w:val=""/>
      <w:lvlJc w:val="left"/>
      <w:pPr>
        <w:ind w:left="720" w:hanging="360"/>
      </w:pPr>
      <w:rPr>
        <w:rFonts w:ascii="Symbol" w:hAnsi="Symbol" w:hint="default"/>
      </w:rPr>
    </w:lvl>
    <w:lvl w:ilvl="1" w:tplc="282ED23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E4CF1"/>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A269BB"/>
    <w:multiLevelType w:val="hybridMultilevel"/>
    <w:tmpl w:val="6FEE8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6EC10C7"/>
    <w:multiLevelType w:val="hybridMultilevel"/>
    <w:tmpl w:val="B5B8CA04"/>
    <w:lvl w:ilvl="0" w:tplc="D16E1E08">
      <w:numFmt w:val="bullet"/>
      <w:lvlText w:val="-"/>
      <w:lvlJc w:val="left"/>
      <w:pPr>
        <w:ind w:left="1353"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7067458"/>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B40C81"/>
    <w:multiLevelType w:val="hybridMultilevel"/>
    <w:tmpl w:val="B0DC7B7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FD6971"/>
    <w:multiLevelType w:val="hybridMultilevel"/>
    <w:tmpl w:val="89A4C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FDF08290">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961974"/>
    <w:multiLevelType w:val="hybridMultilevel"/>
    <w:tmpl w:val="15DC0E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EF25227"/>
    <w:multiLevelType w:val="hybridMultilevel"/>
    <w:tmpl w:val="DB20EA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4188"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D13AC1"/>
    <w:multiLevelType w:val="hybridMultilevel"/>
    <w:tmpl w:val="B0F65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725A6B"/>
    <w:multiLevelType w:val="hybridMultilevel"/>
    <w:tmpl w:val="F6024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4144F24"/>
    <w:multiLevelType w:val="hybridMultilevel"/>
    <w:tmpl w:val="95D6A84A"/>
    <w:lvl w:ilvl="0" w:tplc="88B4E8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53215F1"/>
    <w:multiLevelType w:val="hybridMultilevel"/>
    <w:tmpl w:val="DAE2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146C39"/>
    <w:multiLevelType w:val="hybridMultilevel"/>
    <w:tmpl w:val="6B144B2E"/>
    <w:lvl w:ilvl="0" w:tplc="08090001">
      <w:start w:val="1"/>
      <w:numFmt w:val="bullet"/>
      <w:lvlText w:val=""/>
      <w:lvlJc w:val="left"/>
      <w:pPr>
        <w:ind w:left="786" w:hanging="360"/>
      </w:pPr>
      <w:rPr>
        <w:rFonts w:ascii="Symbol" w:hAnsi="Symbol"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5A52504D"/>
    <w:multiLevelType w:val="hybridMultilevel"/>
    <w:tmpl w:val="CD60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AD5E9F"/>
    <w:multiLevelType w:val="hybridMultilevel"/>
    <w:tmpl w:val="949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22186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EE4DED"/>
    <w:multiLevelType w:val="hybridMultilevel"/>
    <w:tmpl w:val="48A2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B6C5C"/>
    <w:multiLevelType w:val="hybridMultilevel"/>
    <w:tmpl w:val="B5143238"/>
    <w:lvl w:ilvl="0" w:tplc="88B4E8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82046D"/>
    <w:multiLevelType w:val="hybridMultilevel"/>
    <w:tmpl w:val="24A07E7C"/>
    <w:lvl w:ilvl="0" w:tplc="FCD63784">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5552ED1"/>
    <w:multiLevelType w:val="hybridMultilevel"/>
    <w:tmpl w:val="C9F2F8AA"/>
    <w:lvl w:ilvl="0" w:tplc="9FD2B2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5D84B60"/>
    <w:multiLevelType w:val="hybridMultilevel"/>
    <w:tmpl w:val="0218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BA2054D"/>
    <w:multiLevelType w:val="hybridMultilevel"/>
    <w:tmpl w:val="005057EE"/>
    <w:lvl w:ilvl="0" w:tplc="D16E1E0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81596F"/>
    <w:multiLevelType w:val="hybridMultilevel"/>
    <w:tmpl w:val="54B6315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D6672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2102081"/>
    <w:multiLevelType w:val="hybridMultilevel"/>
    <w:tmpl w:val="FEE2DD20"/>
    <w:lvl w:ilvl="0" w:tplc="D16E1E08">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nsid w:val="78785351"/>
    <w:multiLevelType w:val="hybridMultilevel"/>
    <w:tmpl w:val="5EAC827C"/>
    <w:lvl w:ilvl="0" w:tplc="BF8E3C4A">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46"/>
  </w:num>
  <w:num w:numId="2">
    <w:abstractNumId w:val="2"/>
  </w:num>
  <w:num w:numId="3">
    <w:abstractNumId w:val="28"/>
  </w:num>
  <w:num w:numId="4">
    <w:abstractNumId w:val="11"/>
  </w:num>
  <w:num w:numId="5">
    <w:abstractNumId w:val="36"/>
  </w:num>
  <w:num w:numId="6">
    <w:abstractNumId w:val="14"/>
  </w:num>
  <w:num w:numId="7">
    <w:abstractNumId w:val="21"/>
  </w:num>
  <w:num w:numId="8">
    <w:abstractNumId w:val="29"/>
  </w:num>
  <w:num w:numId="9">
    <w:abstractNumId w:val="24"/>
  </w:num>
  <w:num w:numId="10">
    <w:abstractNumId w:val="47"/>
  </w:num>
  <w:num w:numId="11">
    <w:abstractNumId w:val="27"/>
  </w:num>
  <w:num w:numId="12">
    <w:abstractNumId w:val="22"/>
  </w:num>
  <w:num w:numId="13">
    <w:abstractNumId w:val="31"/>
  </w:num>
  <w:num w:numId="14">
    <w:abstractNumId w:val="39"/>
  </w:num>
  <w:num w:numId="15">
    <w:abstractNumId w:val="5"/>
  </w:num>
  <w:num w:numId="16">
    <w:abstractNumId w:val="45"/>
  </w:num>
  <w:num w:numId="17">
    <w:abstractNumId w:val="12"/>
  </w:num>
  <w:num w:numId="18">
    <w:abstractNumId w:val="41"/>
  </w:num>
  <w:num w:numId="19">
    <w:abstractNumId w:val="34"/>
  </w:num>
  <w:num w:numId="20">
    <w:abstractNumId w:val="23"/>
  </w:num>
  <w:num w:numId="21">
    <w:abstractNumId w:val="13"/>
  </w:num>
  <w:num w:numId="22">
    <w:abstractNumId w:val="10"/>
  </w:num>
  <w:num w:numId="23">
    <w:abstractNumId w:val="40"/>
  </w:num>
  <w:num w:numId="24">
    <w:abstractNumId w:val="25"/>
  </w:num>
  <w:num w:numId="25">
    <w:abstractNumId w:val="15"/>
  </w:num>
  <w:num w:numId="26">
    <w:abstractNumId w:val="32"/>
  </w:num>
  <w:num w:numId="27">
    <w:abstractNumId w:val="17"/>
  </w:num>
  <w:num w:numId="28">
    <w:abstractNumId w:val="30"/>
  </w:num>
  <w:num w:numId="29">
    <w:abstractNumId w:val="16"/>
  </w:num>
  <w:num w:numId="30">
    <w:abstractNumId w:val="0"/>
  </w:num>
  <w:num w:numId="31">
    <w:abstractNumId w:val="48"/>
  </w:num>
  <w:num w:numId="32">
    <w:abstractNumId w:val="38"/>
  </w:num>
  <w:num w:numId="33">
    <w:abstractNumId w:val="3"/>
  </w:num>
  <w:num w:numId="34">
    <w:abstractNumId w:val="9"/>
  </w:num>
  <w:num w:numId="35">
    <w:abstractNumId w:val="7"/>
  </w:num>
  <w:num w:numId="36">
    <w:abstractNumId w:val="37"/>
  </w:num>
  <w:num w:numId="37">
    <w:abstractNumId w:val="44"/>
  </w:num>
  <w:num w:numId="38">
    <w:abstractNumId w:val="8"/>
  </w:num>
  <w:num w:numId="39">
    <w:abstractNumId w:val="43"/>
  </w:num>
  <w:num w:numId="40">
    <w:abstractNumId w:val="18"/>
  </w:num>
  <w:num w:numId="41">
    <w:abstractNumId w:val="6"/>
  </w:num>
  <w:num w:numId="42">
    <w:abstractNumId w:val="1"/>
  </w:num>
  <w:num w:numId="43">
    <w:abstractNumId w:val="20"/>
  </w:num>
  <w:num w:numId="44">
    <w:abstractNumId w:val="26"/>
  </w:num>
  <w:num w:numId="45">
    <w:abstractNumId w:val="4"/>
  </w:num>
  <w:num w:numId="46">
    <w:abstractNumId w:val="35"/>
  </w:num>
  <w:num w:numId="47">
    <w:abstractNumId w:val="33"/>
  </w:num>
  <w:num w:numId="48">
    <w:abstractNumId w:val="42"/>
  </w:num>
  <w:num w:numId="49">
    <w:abstractNumId w:val="19"/>
  </w:num>
  <w:num w:numId="5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revisionView w:markup="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787E99B33D6249658FA65D552CB5D6A1"/>
    <w:docVar w:name="LW_CROSSREFERENCE" w:val="&lt;UNUSED&gt;"/>
    <w:docVar w:name="LW_DocType" w:val="NORMAL"/>
    <w:docVar w:name="LW_EMISSION" w:val="11.10.2017"/>
    <w:docVar w:name="LW_EMISSION_ISODATE" w:val="2017-10-11"/>
    <w:docVar w:name="LW_EMISSION_LOCATION" w:val="BRX"/>
    <w:docVar w:name="LW_EMISSION_PREFIX" w:val="Brussels, "/>
    <w:docVar w:name="LW_EMISSION_SUFFIX" w:val=" "/>
    <w:docVar w:name="LW_ID_DOCTYPE_NONLW" w:val="CP-04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92"/>
    <w:docVar w:name="LW_REF.INTERNE" w:val="&lt;UNUSED&gt;"/>
    <w:docVar w:name="LW_SOUS.TITRE.OBJ.CP" w:val="&lt;UNUSED&gt;"/>
    <w:docVar w:name="LW_SUPERTITRE" w:val="&lt;UNUSED&gt;"/>
    <w:docVar w:name="LW_TITRE.OBJ.CP" w:val="on completing the Banking Union"/>
    <w:docVar w:name="LW_TYPE.DOC.CP" w:val="COMMUNICATION TO THE EUROPEAN PARLIAMENT, THE COUNCIL, THE EUROPEAN CENTRAL BANK, THE EUROPEAN ECONOMIC AND SOCIAL COMMITTEE AND THE COMMITTEE OF THE REGIONS"/>
  </w:docVars>
  <w:rsids>
    <w:rsidRoot w:val="0015531A"/>
    <w:rsid w:val="0015531A"/>
    <w:rsid w:val="00813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lang w:val="en-US" w:eastAsia="en-GB"/>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lang w:val="en-US"/>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en-US"/>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lang w:val="en-US"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lang w:val="en-US" w:eastAsia="en-GB"/>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lang w:val="en-US"/>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en-US"/>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lang w:val="en-US"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993">
      <w:bodyDiv w:val="1"/>
      <w:marLeft w:val="0"/>
      <w:marRight w:val="0"/>
      <w:marTop w:val="0"/>
      <w:marBottom w:val="0"/>
      <w:divBdr>
        <w:top w:val="none" w:sz="0" w:space="0" w:color="auto"/>
        <w:left w:val="none" w:sz="0" w:space="0" w:color="auto"/>
        <w:bottom w:val="none" w:sz="0" w:space="0" w:color="auto"/>
        <w:right w:val="none" w:sz="0" w:space="0" w:color="auto"/>
      </w:divBdr>
    </w:div>
    <w:div w:id="513809240">
      <w:bodyDiv w:val="1"/>
      <w:marLeft w:val="0"/>
      <w:marRight w:val="0"/>
      <w:marTop w:val="0"/>
      <w:marBottom w:val="0"/>
      <w:divBdr>
        <w:top w:val="none" w:sz="0" w:space="0" w:color="auto"/>
        <w:left w:val="none" w:sz="0" w:space="0" w:color="auto"/>
        <w:bottom w:val="none" w:sz="0" w:space="0" w:color="auto"/>
        <w:right w:val="none" w:sz="0" w:space="0" w:color="auto"/>
      </w:divBdr>
    </w:div>
    <w:div w:id="581456595">
      <w:bodyDiv w:val="1"/>
      <w:marLeft w:val="0"/>
      <w:marRight w:val="0"/>
      <w:marTop w:val="0"/>
      <w:marBottom w:val="0"/>
      <w:divBdr>
        <w:top w:val="none" w:sz="0" w:space="0" w:color="auto"/>
        <w:left w:val="none" w:sz="0" w:space="0" w:color="auto"/>
        <w:bottom w:val="none" w:sz="0" w:space="0" w:color="auto"/>
        <w:right w:val="none" w:sz="0" w:space="0" w:color="auto"/>
      </w:divBdr>
    </w:div>
    <w:div w:id="674842726">
      <w:bodyDiv w:val="1"/>
      <w:marLeft w:val="0"/>
      <w:marRight w:val="0"/>
      <w:marTop w:val="0"/>
      <w:marBottom w:val="0"/>
      <w:divBdr>
        <w:top w:val="none" w:sz="0" w:space="0" w:color="auto"/>
        <w:left w:val="none" w:sz="0" w:space="0" w:color="auto"/>
        <w:bottom w:val="none" w:sz="0" w:space="0" w:color="auto"/>
        <w:right w:val="none" w:sz="0" w:space="0" w:color="auto"/>
      </w:divBdr>
    </w:div>
    <w:div w:id="803230604">
      <w:bodyDiv w:val="1"/>
      <w:marLeft w:val="0"/>
      <w:marRight w:val="0"/>
      <w:marTop w:val="0"/>
      <w:marBottom w:val="0"/>
      <w:divBdr>
        <w:top w:val="none" w:sz="0" w:space="0" w:color="auto"/>
        <w:left w:val="none" w:sz="0" w:space="0" w:color="auto"/>
        <w:bottom w:val="none" w:sz="0" w:space="0" w:color="auto"/>
        <w:right w:val="none" w:sz="0" w:space="0" w:color="auto"/>
      </w:divBdr>
    </w:div>
    <w:div w:id="1010260801">
      <w:bodyDiv w:val="1"/>
      <w:marLeft w:val="0"/>
      <w:marRight w:val="0"/>
      <w:marTop w:val="0"/>
      <w:marBottom w:val="0"/>
      <w:divBdr>
        <w:top w:val="none" w:sz="0" w:space="0" w:color="auto"/>
        <w:left w:val="none" w:sz="0" w:space="0" w:color="auto"/>
        <w:bottom w:val="none" w:sz="0" w:space="0" w:color="auto"/>
        <w:right w:val="none" w:sz="0" w:space="0" w:color="auto"/>
      </w:divBdr>
    </w:div>
    <w:div w:id="1503012016">
      <w:bodyDiv w:val="1"/>
      <w:marLeft w:val="0"/>
      <w:marRight w:val="0"/>
      <w:marTop w:val="0"/>
      <w:marBottom w:val="0"/>
      <w:divBdr>
        <w:top w:val="none" w:sz="0" w:space="0" w:color="auto"/>
        <w:left w:val="none" w:sz="0" w:space="0" w:color="auto"/>
        <w:bottom w:val="none" w:sz="0" w:space="0" w:color="auto"/>
        <w:right w:val="none" w:sz="0" w:space="0" w:color="auto"/>
      </w:divBdr>
    </w:div>
    <w:div w:id="1606156508">
      <w:bodyDiv w:val="1"/>
      <w:marLeft w:val="0"/>
      <w:marRight w:val="0"/>
      <w:marTop w:val="0"/>
      <w:marBottom w:val="0"/>
      <w:divBdr>
        <w:top w:val="none" w:sz="0" w:space="0" w:color="auto"/>
        <w:left w:val="none" w:sz="0" w:space="0" w:color="auto"/>
        <w:bottom w:val="none" w:sz="0" w:space="0" w:color="auto"/>
        <w:right w:val="none" w:sz="0" w:space="0" w:color="auto"/>
      </w:divBdr>
    </w:div>
    <w:div w:id="1641761646">
      <w:bodyDiv w:val="1"/>
      <w:marLeft w:val="0"/>
      <w:marRight w:val="0"/>
      <w:marTop w:val="0"/>
      <w:marBottom w:val="0"/>
      <w:divBdr>
        <w:top w:val="none" w:sz="0" w:space="0" w:color="auto"/>
        <w:left w:val="none" w:sz="0" w:space="0" w:color="auto"/>
        <w:bottom w:val="none" w:sz="0" w:space="0" w:color="auto"/>
        <w:right w:val="none" w:sz="0" w:space="0" w:color="auto"/>
      </w:divBdr>
    </w:div>
    <w:div w:id="1704019221">
      <w:bodyDiv w:val="1"/>
      <w:marLeft w:val="0"/>
      <w:marRight w:val="0"/>
      <w:marTop w:val="0"/>
      <w:marBottom w:val="0"/>
      <w:divBdr>
        <w:top w:val="none" w:sz="0" w:space="0" w:color="auto"/>
        <w:left w:val="none" w:sz="0" w:space="0" w:color="auto"/>
        <w:bottom w:val="none" w:sz="0" w:space="0" w:color="auto"/>
        <w:right w:val="none" w:sz="0" w:space="0" w:color="auto"/>
      </w:divBdr>
    </w:div>
    <w:div w:id="18149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en.htm" TargetMode="External"/><Relationship Id="rId2" Type="http://schemas.openxmlformats.org/officeDocument/2006/relationships/hyperlink" Target="https://ec.europa.eu/commission/sites/beta-political/files/5-presidents-report_en.pdf" TargetMode="External"/><Relationship Id="rId1" Type="http://schemas.openxmlformats.org/officeDocument/2006/relationships/hyperlink" Target="https://ec.europa.eu/commission/state-union-2017_en" TargetMode="External"/><Relationship Id="rId4" Type="http://schemas.openxmlformats.org/officeDocument/2006/relationships/hyperlink" Target="http://eur-lex.europa.eu/legal-content/EN/TXT/?uri=CELEX%3A52016PC0856"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905074365704287E-2"/>
          <c:y val="0.17709172100093823"/>
          <c:w val="0.92618591426071739"/>
          <c:h val="0.67325487029053499"/>
        </c:manualLayout>
      </c:layout>
      <c:lineChart>
        <c:grouping val="standard"/>
        <c:varyColors val="0"/>
        <c:ser>
          <c:idx val="0"/>
          <c:order val="0"/>
          <c:tx>
            <c:v>European Union</c:v>
          </c:tx>
          <c:spPr>
            <a:ln>
              <a:solidFill>
                <a:schemeClr val="tx2"/>
              </a:solidFill>
            </a:ln>
          </c:spPr>
          <c:marker>
            <c:symbol val="none"/>
          </c:marker>
          <c:cat>
            <c:strRef>
              <c:f>'NPL data, chart'!$E$6:$E$16</c:f>
              <c:strCache>
                <c:ptCount val="11"/>
                <c:pt idx="0">
                  <c:v>2007</c:v>
                </c:pt>
                <c:pt idx="1">
                  <c:v>2008</c:v>
                </c:pt>
                <c:pt idx="2">
                  <c:v>2009</c:v>
                </c:pt>
                <c:pt idx="3">
                  <c:v>2010</c:v>
                </c:pt>
                <c:pt idx="4">
                  <c:v>2011</c:v>
                </c:pt>
                <c:pt idx="5">
                  <c:v>2012</c:v>
                </c:pt>
                <c:pt idx="6">
                  <c:v>2013</c:v>
                </c:pt>
                <c:pt idx="7">
                  <c:v>2014</c:v>
                </c:pt>
                <c:pt idx="8">
                  <c:v>2015</c:v>
                </c:pt>
                <c:pt idx="9">
                  <c:v>2016</c:v>
                </c:pt>
                <c:pt idx="10">
                  <c:v>Mar 2017</c:v>
                </c:pt>
              </c:strCache>
            </c:strRef>
          </c:cat>
          <c:val>
            <c:numRef>
              <c:f>'Capital data, chart'!$B$45:$B$55</c:f>
              <c:numCache>
                <c:formatCode>General</c:formatCode>
                <c:ptCount val="11"/>
                <c:pt idx="0">
                  <c:v>20.996099999999998</c:v>
                </c:pt>
                <c:pt idx="1">
                  <c:v>24.9876</c:v>
                </c:pt>
                <c:pt idx="2">
                  <c:v>19.837299999999999</c:v>
                </c:pt>
                <c:pt idx="3">
                  <c:v>19.116</c:v>
                </c:pt>
                <c:pt idx="4">
                  <c:v>20.022300000000001</c:v>
                </c:pt>
                <c:pt idx="5">
                  <c:v>18.881799999999998</c:v>
                </c:pt>
                <c:pt idx="6">
                  <c:v>17.259599999999999</c:v>
                </c:pt>
                <c:pt idx="7">
                  <c:v>16.610600000000002</c:v>
                </c:pt>
                <c:pt idx="8">
                  <c:v>15.4437</c:v>
                </c:pt>
                <c:pt idx="9">
                  <c:v>15.1349</c:v>
                </c:pt>
                <c:pt idx="10">
                  <c:v>15.121600000000001</c:v>
                </c:pt>
              </c:numCache>
            </c:numRef>
          </c:val>
          <c:smooth val="0"/>
        </c:ser>
        <c:ser>
          <c:idx val="1"/>
          <c:order val="1"/>
          <c:tx>
            <c:v>Euro area</c:v>
          </c:tx>
          <c:spPr>
            <a:ln w="22225">
              <a:solidFill>
                <a:schemeClr val="tx2"/>
              </a:solidFill>
              <a:prstDash val="sysDash"/>
            </a:ln>
          </c:spPr>
          <c:marker>
            <c:symbol val="none"/>
          </c:marker>
          <c:cat>
            <c:strRef>
              <c:f>'NPL data, chart'!$E$6:$E$16</c:f>
              <c:strCache>
                <c:ptCount val="11"/>
                <c:pt idx="0">
                  <c:v>2007</c:v>
                </c:pt>
                <c:pt idx="1">
                  <c:v>2008</c:v>
                </c:pt>
                <c:pt idx="2">
                  <c:v>2009</c:v>
                </c:pt>
                <c:pt idx="3">
                  <c:v>2010</c:v>
                </c:pt>
                <c:pt idx="4">
                  <c:v>2011</c:v>
                </c:pt>
                <c:pt idx="5">
                  <c:v>2012</c:v>
                </c:pt>
                <c:pt idx="6">
                  <c:v>2013</c:v>
                </c:pt>
                <c:pt idx="7">
                  <c:v>2014</c:v>
                </c:pt>
                <c:pt idx="8">
                  <c:v>2015</c:v>
                </c:pt>
                <c:pt idx="9">
                  <c:v>2016</c:v>
                </c:pt>
                <c:pt idx="10">
                  <c:v>Mar 2017</c:v>
                </c:pt>
              </c:strCache>
            </c:strRef>
          </c:cat>
          <c:val>
            <c:numRef>
              <c:f>'Capital data, chart'!$E$45:$E$55</c:f>
              <c:numCache>
                <c:formatCode>General</c:formatCode>
                <c:ptCount val="11"/>
                <c:pt idx="0">
                  <c:v>19.146699999999999</c:v>
                </c:pt>
                <c:pt idx="1">
                  <c:v>24.627500000000001</c:v>
                </c:pt>
                <c:pt idx="2">
                  <c:v>19.604700000000001</c:v>
                </c:pt>
                <c:pt idx="3">
                  <c:v>19.139199999999999</c:v>
                </c:pt>
                <c:pt idx="4">
                  <c:v>20.4998</c:v>
                </c:pt>
                <c:pt idx="5">
                  <c:v>19.154800000000002</c:v>
                </c:pt>
                <c:pt idx="6">
                  <c:v>17.2774</c:v>
                </c:pt>
                <c:pt idx="7">
                  <c:v>16.632000000000001</c:v>
                </c:pt>
                <c:pt idx="8">
                  <c:v>15.717499999999999</c:v>
                </c:pt>
                <c:pt idx="9">
                  <c:v>15.328900000000001</c:v>
                </c:pt>
                <c:pt idx="10">
                  <c:v>15.2386</c:v>
                </c:pt>
              </c:numCache>
            </c:numRef>
          </c:val>
          <c:smooth val="0"/>
        </c:ser>
        <c:dLbls>
          <c:showLegendKey val="0"/>
          <c:showVal val="0"/>
          <c:showCatName val="0"/>
          <c:showSerName val="0"/>
          <c:showPercent val="0"/>
          <c:showBubbleSize val="0"/>
        </c:dLbls>
        <c:marker val="1"/>
        <c:smooth val="0"/>
        <c:axId val="121826688"/>
        <c:axId val="134199936"/>
      </c:lineChart>
      <c:dateAx>
        <c:axId val="121826688"/>
        <c:scaling>
          <c:orientation val="minMax"/>
        </c:scaling>
        <c:delete val="0"/>
        <c:axPos val="b"/>
        <c:numFmt formatCode="General" sourceLinked="0"/>
        <c:majorTickMark val="out"/>
        <c:minorTickMark val="none"/>
        <c:tickLblPos val="nextTo"/>
        <c:spPr>
          <a:ln>
            <a:noFill/>
          </a:ln>
        </c:spPr>
        <c:txPr>
          <a:bodyPr/>
          <a:lstStyle/>
          <a:p>
            <a:pPr>
              <a:defRPr sz="800">
                <a:latin typeface="Arial" panose="020B0604020202020204" pitchFamily="34" charset="0"/>
                <a:cs typeface="Arial" panose="020B0604020202020204" pitchFamily="34" charset="0"/>
              </a:defRPr>
            </a:pPr>
            <a:endParaRPr lang="en-US"/>
          </a:p>
        </c:txPr>
        <c:crossAx val="134199936"/>
        <c:crosses val="autoZero"/>
        <c:auto val="1"/>
        <c:lblOffset val="100"/>
        <c:baseTimeUnit val="months"/>
        <c:majorUnit val="1"/>
        <c:majorTimeUnit val="months"/>
        <c:minorUnit val="1"/>
        <c:minorTimeUnit val="months"/>
      </c:dateAx>
      <c:valAx>
        <c:axId val="134199936"/>
        <c:scaling>
          <c:orientation val="minMax"/>
          <c:max val="26"/>
          <c:min val="10"/>
        </c:scaling>
        <c:delete val="0"/>
        <c:axPos val="l"/>
        <c:majorGridlines>
          <c:spPr>
            <a:ln w="12700">
              <a:prstDash val="sysDash"/>
            </a:ln>
          </c:spPr>
        </c:majorGridlines>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21826688"/>
        <c:crosses val="autoZero"/>
        <c:crossBetween val="between"/>
        <c:majorUnit val="5"/>
      </c:valAx>
    </c:plotArea>
    <c:legend>
      <c:legendPos val="r"/>
      <c:layout>
        <c:manualLayout>
          <c:xMode val="edge"/>
          <c:yMode val="edge"/>
          <c:x val="0.36368516435445569"/>
          <c:y val="0.12053103090620458"/>
          <c:w val="0.4120456817897763"/>
          <c:h val="0.13605420363178586"/>
        </c:manualLayout>
      </c:layout>
      <c:overlay val="0"/>
      <c:spPr>
        <a:solidFill>
          <a:schemeClr val="bg1"/>
        </a:solidFill>
      </c:spPr>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0.00439</cdr:x>
      <cdr:y>0.89444</cdr:y>
    </cdr:from>
    <cdr:to>
      <cdr:x>0.60307</cdr:x>
      <cdr:y>1</cdr:y>
    </cdr:to>
    <cdr:sp macro="" textlink="">
      <cdr:nvSpPr>
        <cdr:cNvPr id="2" name="TextBox 1"/>
        <cdr:cNvSpPr txBox="1"/>
      </cdr:nvSpPr>
      <cdr:spPr>
        <a:xfrm xmlns:a="http://schemas.openxmlformats.org/drawingml/2006/main">
          <a:off x="15240" y="2388870"/>
          <a:ext cx="2080260" cy="281940"/>
        </a:xfrm>
        <a:prstGeom xmlns:a="http://schemas.openxmlformats.org/drawingml/2006/main" prst="rect">
          <a:avLst/>
        </a:prstGeom>
      </cdr:spPr>
      <cdr:txBody>
        <a:bodyPr xmlns:a="http://schemas.openxmlformats.org/drawingml/2006/main" vertOverflow="clip" wrap="square" lIns="36000" tIns="0" rIns="0" bIns="36000" rtlCol="0" anchor="b" anchorCtr="0"/>
        <a:lstStyle xmlns:a="http://schemas.openxmlformats.org/drawingml/2006/main"/>
        <a:p xmlns:a="http://schemas.openxmlformats.org/drawingml/2006/main">
          <a:r>
            <a:rPr lang="en-GB" sz="700">
              <a:latin typeface="Arial" panose="020B0604020202020204" pitchFamily="34" charset="0"/>
              <a:cs typeface="Arial" panose="020B0604020202020204" pitchFamily="34" charset="0"/>
            </a:rPr>
            <a:t>Source: European Central Bank</a:t>
          </a:r>
        </a:p>
      </cdr:txBody>
    </cdr:sp>
  </cdr:relSizeAnchor>
  <cdr:relSizeAnchor xmlns:cdr="http://schemas.openxmlformats.org/drawingml/2006/chartDrawing">
    <cdr:from>
      <cdr:x>0.04048</cdr:x>
      <cdr:y>0.02413</cdr:y>
    </cdr:from>
    <cdr:to>
      <cdr:x>0.98571</cdr:x>
      <cdr:y>0.21116</cdr:y>
    </cdr:to>
    <cdr:sp macro="" textlink="">
      <cdr:nvSpPr>
        <cdr:cNvPr id="3" name="TextBox 2"/>
        <cdr:cNvSpPr txBox="1"/>
      </cdr:nvSpPr>
      <cdr:spPr>
        <a:xfrm xmlns:a="http://schemas.openxmlformats.org/drawingml/2006/main">
          <a:off x="129540" y="60960"/>
          <a:ext cx="3025140" cy="472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Banks' leverage</a:t>
          </a:r>
          <a:endParaRPr lang="en-GB" sz="900" b="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8EDB-43B6-4C39-936E-68B1F9EB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7732</Words>
  <Characters>44773</Characters>
  <Application>Microsoft Office Word</Application>
  <DocSecurity>0</DocSecurity>
  <Lines>771</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2017-10-11T08:59:00Z</dcterms:created>
  <dcterms:modified xsi:type="dcterms:W3CDTF">2017-10-11T08:59:00Z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