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DBD3FB155BEB41FE975B8CD3ABFD914E" style="width:450.8pt;height:435.75pt">
            <v:imagedata r:id="rId12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Обобщение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before="120" w:after="120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Оценка на въздействието на предложението за Директива на Съвета за изменение на Директива 2006/112/ЕО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на данъчното облагане на търговията между държавите членки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A. Необходимост от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Преходният режим в </w:t>
            </w:r>
            <w:hyperlink r:id="rId19">
              <w:r>
                <w:rPr>
                  <w:rFonts w:ascii="Arial" w:hAnsi="Arial"/>
                  <w:noProof/>
                  <w:color w:val="0000FF"/>
                  <w:sz w:val="20"/>
                  <w:u w:val="single"/>
                </w:rPr>
                <w:t>Директивата за ДДС</w:t>
              </w:r>
            </w:hyperlink>
            <w:r>
              <w:rPr>
                <w:rFonts w:ascii="Arial" w:hAnsi="Arial"/>
                <w:noProof/>
                <w:sz w:val="20"/>
              </w:rPr>
              <w:t xml:space="preserve"> за вътресъюзните сделки със стоки между предприятия води i) до загуби на приходи за държавите членки от приблизително 50 милиарда евро поради вътреобщностните измами, свързани с т.нар. „липсващ търговец“, които се дължат на присъщата слабост на тази система, позволяваща презграничното закупуване на стоки без заплащане на ДДС; ii) сложност, изразяваща се в по-високи разходи (с 11 %) за предприятията, които извършват презгранична търговия, в сравнение с предприятията, занимаващи се само с вътрешна търговия, в резултат на допълнителните задължения за презграничните търговци и различията в прилагането на правилата за ДДС от държавите членки. Без действия на равнището на ЕС решенията ще продължат да бъдат частични и с ограничени резултати.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Какво се очаква да бъде постигнато с настоящата инициатива?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Окончателният режим за данъчното облагане на вътресъюзната търговия има за цел на направи системата на ДДС на ЕС по-стабилна, като преодолее присъщата ѝ слабост, и по-проста, като разгледа особеностите, които я усложняват, и да осигури равнопоставени условия за предприятията, без значение дали осъществяват вътрешни или презгранични сделки.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За промяната на окончателния режим, който е достигнал своя капацитет, е необходимо изменение на Директивата за ДДС.</w:t>
            </w:r>
          </w:p>
        </w:tc>
      </w:tr>
    </w:tbl>
    <w:p>
      <w:pPr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политиката са разгледани? Има ли предпочитан вариант? Защо?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1: клиентите продължават да купуват стоки, без да заплащат ДДС, но са въведени промени по отношение на някои сделки (номер за целите на ДДС и опростявания, предоставени на сертифицираните данъчно задължени лица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2"/>
            </w:r>
            <w:r>
              <w:rPr>
                <w:rFonts w:ascii="Arial" w:hAnsi="Arial"/>
                <w:noProof/>
                <w:sz w:val="20"/>
              </w:rPr>
              <w:t>);</w:t>
            </w:r>
          </w:p>
          <w:p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Вариант 2: доставчиците начисляват ДДС в държавата членка, в която пристигат стоките (с изключение на сертифицираните данъчно задължени лица). „Схемата за единна регистрация“ позволява на предприятията да заплатят в своята държава членка ДДС, дължим в която и да е друга държава членка; </w:t>
            </w:r>
          </w:p>
          <w:p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3: техническа промяна, еквивалентна на действащата система (отхвърлен);</w:t>
            </w:r>
          </w:p>
          <w:p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4: приравняване към правилата за услугите;</w:t>
            </w:r>
          </w:p>
          <w:p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5: подобен на вариант 2, но данъчното облагане се извършва в държавата членка, в която е установен клиентът.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Предпочитаният вариант е вариант 2 (насочен е към преодоляване на измамите и сложността) в съчетание с вариант 1, който позволява плавен преход към вариант 2.</w:t>
            </w:r>
          </w:p>
        </w:tc>
      </w:tr>
      <w:tr>
        <w:tc>
          <w:tcPr>
            <w:tcW w:w="10188" w:type="dxa"/>
            <w:shd w:val="clear" w:color="auto" w:fill="CCCCCC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отделните варианти?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Държавите членки и предприятията подкрепят вариант 1. Освен това държавите членки биха могли да подкрепят вариант 2, а предприятията — варианти 4 и 5.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предпочитания вариант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предпочитания вариант (ако има такъв; в противен случай —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                              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2: За държавите членки: намаляване с 41 милиарда евро на загубите на приходи в резултат на вътреобщностните измами с липсващ търговец.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За предприятията: намаляват разходите за спазване на разпоредбите (с 1 милиард евро).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За вътрешния пазар: еднакво третиране на вътрешните и презграничните доставки на стоки и нетно увеличение с 18,5 милиарда евро на БВП в ЕС за период от 3 години.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1 намалява разходите за спазване на разпоредбите на предприятията (с 0,5 милиарда евро годишно).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Въздействието върху околната среда и върху социалната сфера не е значително.</w:t>
            </w:r>
          </w:p>
          <w:p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>
      <w:pPr>
        <w:widowControl w:val="0"/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предпочитания вариант (ако има такъв; в противен случай —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                              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2: За държавите членки: увеличение на административните разходи за държавите членки с 385 милиона евро в годината на въвеждане и с 311 милиона евро в годините след това.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За предприятията: за някои МСП годишните разходи за спазване на разпоредбите може да нараснат с 6 %.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 вариант 1 административните разходи за държавите членки се увеличават с 35 милиона евро и не се постига еднакво третиране на вътрешните и презграничните доставки на стоки.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Въздействието върху околната среда и върху социалната сфера не е значително.</w:t>
            </w:r>
          </w:p>
          <w:p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предприятията, МСП и микропредприятията?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ind w:left="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Инициативата не предвижда преференциално третиране на МСП. Тя разглежда проблемите, пред които са изправени всички предприятия. Микропредприятията ще продължат да се ползват от режима на освобождаване от ДДС и от нови мерки за опростяване, насочени конкретно към тях, в предстоящия пакет за опростяване за МСП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3"/>
            </w:r>
            <w:r>
              <w:rPr>
                <w:rFonts w:ascii="Arial" w:hAnsi="Arial"/>
                <w:noProof/>
                <w:sz w:val="20"/>
              </w:rPr>
              <w:t>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 върху националните бюджети и администрации?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 равнището на ЕС се очакват нетни ползи от приблизително 43 милиарда евро в резултат от намаляването на вътреобщностните измами с липсващ търговец и от въздействието върху паричния поток, което ще компенсира с повече от необходимото нарастването на административните разходи.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друго значително въздействие?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Преходът към новата система изисква от държавите членки и предприятията да се адаптират към новите правила (въвеждане + контрол).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Кога ще се извърши преглед на политиката?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Постепенно въвеждане:</w:t>
            </w:r>
          </w:p>
          <w:p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Първа директива (септември 2017 г.):  въвеждане на вариант 1 („временни решения“ и сертифицирано данъчно задължено лице) и поставяне на основните елементи на вариант 2.</w:t>
            </w:r>
          </w:p>
          <w:p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Втора директива (2018 г.):  пълно въвеждане на вариант 2.</w:t>
            </w:r>
          </w:p>
          <w:p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Наблюдение (напр. на броя на сертифицираните данъчно задължени лица, проблеми при въвеждането) посредством Комитета по ДДС, групата за бъдещето на ДДС и експертната група за ДДС.</w:t>
            </w:r>
          </w:p>
          <w:p>
            <w:pPr>
              <w:pStyle w:val="ListParagraph"/>
              <w:ind w:left="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Оценка: пет години след влизането в сила на втората директива.</w:t>
            </w:r>
          </w:p>
        </w:tc>
      </w:tr>
    </w:tbl>
    <w:p>
      <w:pPr>
        <w:rPr>
          <w:noProof/>
        </w:rPr>
      </w:pPr>
    </w:p>
    <w:sectPr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134" w:bottom="851" w:left="1134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Сертифицирано данъчно задължено лице е предприятие, признато за „благонадеждно“ от данъчните администрации.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План за действие на Комисията (</w:t>
      </w:r>
      <w:hyperlink r:id="rId1">
        <w:r>
          <w:rPr>
            <w:rStyle w:val="Hyperlink"/>
          </w:rPr>
          <w:t>COM(2016) 148 final</w:t>
        </w:r>
      </w:hyperlink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884"/>
    <w:multiLevelType w:val="hybridMultilevel"/>
    <w:tmpl w:val="24F40AC6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E18E6C8">
      <w:start w:val="1"/>
      <w:numFmt w:val="bullet"/>
      <w:lvlText w:val="-"/>
      <w:lvlJc w:val="center"/>
      <w:pPr>
        <w:ind w:left="32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4C350F9"/>
    <w:multiLevelType w:val="hybridMultilevel"/>
    <w:tmpl w:val="37DA3042"/>
    <w:lvl w:ilvl="0" w:tplc="8988A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18CF"/>
    <w:multiLevelType w:val="hybridMultilevel"/>
    <w:tmpl w:val="E9A2B430"/>
    <w:lvl w:ilvl="0" w:tplc="1E18E6C8">
      <w:start w:val="1"/>
      <w:numFmt w:val="bullet"/>
      <w:lvlText w:val="-"/>
      <w:lvlJc w:val="center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71B59"/>
    <w:multiLevelType w:val="hybridMultilevel"/>
    <w:tmpl w:val="BE322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6D5507"/>
    <w:multiLevelType w:val="hybridMultilevel"/>
    <w:tmpl w:val="159EC320"/>
    <w:lvl w:ilvl="0" w:tplc="3E861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v-S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D1A8E"/>
    <w:multiLevelType w:val="hybridMultilevel"/>
    <w:tmpl w:val="E0BE6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C00AC"/>
    <w:multiLevelType w:val="hybridMultilevel"/>
    <w:tmpl w:val="CC289BEE"/>
    <w:lvl w:ilvl="0" w:tplc="1E18E6C8">
      <w:start w:val="1"/>
      <w:numFmt w:val="bullet"/>
      <w:lvlText w:val="-"/>
      <w:lvlJc w:val="center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445378"/>
    <w:multiLevelType w:val="hybridMultilevel"/>
    <w:tmpl w:val="F96EA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602A27"/>
    <w:multiLevelType w:val="hybridMultilevel"/>
    <w:tmpl w:val="A17812CC"/>
    <w:lvl w:ilvl="0" w:tplc="1E18E6C8">
      <w:start w:val="1"/>
      <w:numFmt w:val="bullet"/>
      <w:lvlText w:val="-"/>
      <w:lvlJc w:val="center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B3DDE"/>
    <w:multiLevelType w:val="hybridMultilevel"/>
    <w:tmpl w:val="7972913A"/>
    <w:lvl w:ilvl="0" w:tplc="1E18E6C8">
      <w:start w:val="1"/>
      <w:numFmt w:val="bullet"/>
      <w:lvlText w:val="-"/>
      <w:lvlJc w:val="center"/>
      <w:pPr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4C5961"/>
    <w:multiLevelType w:val="hybridMultilevel"/>
    <w:tmpl w:val="7F0C8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732DAC"/>
    <w:multiLevelType w:val="hybridMultilevel"/>
    <w:tmpl w:val="37DA3042"/>
    <w:lvl w:ilvl="0" w:tplc="8988A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85614"/>
    <w:multiLevelType w:val="hybridMultilevel"/>
    <w:tmpl w:val="EE1C5694"/>
    <w:lvl w:ilvl="0" w:tplc="1E18E6C8">
      <w:start w:val="1"/>
      <w:numFmt w:val="bullet"/>
      <w:lvlText w:val="-"/>
      <w:lvlJc w:val="center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2007D9"/>
    <w:multiLevelType w:val="hybridMultilevel"/>
    <w:tmpl w:val="651A267C"/>
    <w:lvl w:ilvl="0" w:tplc="1E18E6C8">
      <w:start w:val="1"/>
      <w:numFmt w:val="bullet"/>
      <w:lvlText w:val="-"/>
      <w:lvlJc w:val="center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E4908"/>
    <w:multiLevelType w:val="hybridMultilevel"/>
    <w:tmpl w:val="37DA3042"/>
    <w:lvl w:ilvl="0" w:tplc="8988A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058D5"/>
    <w:multiLevelType w:val="hybridMultilevel"/>
    <w:tmpl w:val="7E66AF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903B6"/>
    <w:multiLevelType w:val="hybridMultilevel"/>
    <w:tmpl w:val="07DA8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11CB6"/>
    <w:multiLevelType w:val="hybridMultilevel"/>
    <w:tmpl w:val="3EB2B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17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"/>
    <w:docVar w:name="LW_CORRIGENDUM" w:val="&lt;UNUSED&gt;"/>
    <w:docVar w:name="LW_COVERPAGE_GUID" w:val="DBD3FB155BEB41FE975B8CD3ABFD914E"/>
    <w:docVar w:name="LW_CROSSREFERENCE" w:val="{COM(2017) 569 final}_x000b_{SWD(2017) 325 final}"/>
    <w:docVar w:name="LW_DocType" w:val="NORMAL"/>
    <w:docVar w:name="LW_EMISSION" w:val="4.10.2017"/>
    <w:docVar w:name="LW_EMISSION_ISODATE" w:val="2017-10-04"/>
    <w:docVar w:name="LW_EMISSION_LOCATION" w:val="BRX"/>
    <w:docVar w:name="LW_EMISSION_PREFIX" w:val="Брюксел, "/>
    <w:docVar w:name="LW_EMISSION_SUFFIX" w:val=" \u1075?."/>
    <w:docVar w:name="LW_ID_DOCTYPE_NONLW" w:val="CP-02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44?\u1080?\u1088?\u1077?\u1082?\u1090?\u1080?\u1074?\u1072? 2006/112/\u1045?\u1054? \u1087?\u1086? \u1086?\u1090?\u1085?\u1086?\u1096?\u1077?\u1085?\u1080?\u1077? \u1085?\u1072? \u1093?\u1072?\u1088?\u1084?\u1086?\u1085?\u1080?\u1079?\u1080?\u1088?\u1072?\u1085?\u1077?\u1090?\u1086? \u1080? \u1086?\u1087?\u1088?\u1086?\u1089?\u1090?\u1103?\u1074?\u1072?\u1085?\u1077?\u1090?\u1086? \u1085?\u1072? \u1085?\u1103?\u1082?\u1086?\u1080? \u1087?\u1088?\u1072?\u1074?\u1080?\u1083?\u1072? \u1086?\u1090? \u1089?\u1080?\u1089?\u1090?\u1077?\u1084?\u1072?\u1090?\u1072? \u1085?\u1072? \u1076?\u1072?\u1085?\u1098?\u1082?\u1072? \u1074?\u1098?\u1088?\u1093?\u1091? \u1076?\u1086?\u1073?\u1072?\u1074?\u1077?\u1085?\u1072?\u1090?\u1072? \u1089?\u1090?\u1086?\u1081?\u1085?\u1086?\u1089?\u1090? \u1080? \u1074?\u1098?\u1074?\u1077?\u1078?\u1076?\u1072?\u1085?\u1077?\u1090?\u1086? \u1085?\u1072? \u1086?\u1082?\u1086?\u1085?\u1095?\u1072?\u1090?\u1077?\u1083?\u1085?\u1072?\u1090?\u1072? \u1089?\u1080?\u1089?\u1090?\u1077?\u1084?\u1072? \u1079?\u1072? \u1076?\u1072?\u1085?\u1098?\u1095?\u1085?\u1086? \u1086?\u1073?\u1083?\u1072?\u1075?\u1072?\u1085?\u1077? \u1085?\u1072? \u1090?\u1098?\u1088?\u1075?\u1086?\u1074?\u1080?\u1103?\u1090?\u1072? \u1084?\u1077?\u1078?\u1076?\u1091? \u1076?\u1098?\u1088?\u1078?\u1072?\u1074?\u1080?\u1090?\u1077? \u1095?\u1083?\u1077?\u1085?\u1082?\u1080?"/>
    <w:docVar w:name="LW_PART_NBR" w:val="1"/>
    <w:docVar w:name="LW_PART_NBR_TOTAL" w:val="1"/>
    <w:docVar w:name="LW_REF.INST.NEW" w:val="SWD"/>
    <w:docVar w:name="LW_REF.INST.NEW_ADOPTED" w:val="final"/>
    <w:docVar w:name="LW_REF.INST.NEW_TEXT" w:val="(2017) 326"/>
    <w:docVar w:name="LW_REF.INTERNE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44?\u1080?\u1088?\u1077?\u1082?\u1090?\u1080?\u1074?\u1072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customStyle="1" w:styleId="MediumGrid3-Accent51">
    <w:name w:val="Medium Grid 3 - Accent 51"/>
    <w:basedOn w:val="TableNormal"/>
    <w:next w:val="MediumGrid3-Accent5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customStyle="1" w:styleId="MediumGrid3-Accent51">
    <w:name w:val="Medium Grid 3 - Accent 51"/>
    <w:basedOn w:val="TableNormal"/>
    <w:next w:val="MediumGrid3-Accent5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://eur-lex.europa.eu/legal-content/BG/TXT/PDF/?uri=CELEX:02006L0112-20150101&amp;from=B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BG/TXT/PDF/?uri=CELEX:52016DC0148&amp;from=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D4CDFEEBEDF764FAB126859C09062E8" ma:contentTypeVersion="1" ma:contentTypeDescription="Create a new document in this library." ma:contentTypeScope="" ma:versionID="5008c6496899bed68a2b3cc65a3af05f">
  <xsd:schema xmlns:xsd="http://www.w3.org/2001/XMLSchema" xmlns:xs="http://www.w3.org/2001/XMLSchema" xmlns:p="http://schemas.microsoft.com/office/2006/metadata/properties" xmlns:ns3="bdf60e78-a03e-437e-9717-7369c04d4e42" targetNamespace="http://schemas.microsoft.com/office/2006/metadata/properties" ma:root="true" ma:fieldsID="2238814e938f334923e4ada7bea32c07" ns3:_="">
    <xsd:import namespace="bdf60e78-a03e-437e-9717-7369c04d4e4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60e78-a03e-437e-9717-7369c04d4e4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bdf60e78-a03e-437e-9717-7369c04d4e42" xsi:nil="true"/>
    <EC_Collab_DocumentLanguage xmlns="bdf60e78-a03e-437e-9717-7369c04d4e42">EN</EC_Collab_DocumentLanguage>
    <EC_Collab_Status xmlns="bdf60e78-a03e-437e-9717-7369c04d4e42">Not Started</EC_Collab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51805-9F07-40C4-B40D-72DC8729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60e78-a03e-437e-9717-7369c04d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228E3-FEEC-429F-8C93-CFCC37DE565D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df60e78-a03e-437e-9717-7369c04d4e4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4C40F64-A857-4EF4-9C1F-E687FE6E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885</Words>
  <Characters>5127</Characters>
  <Application>Microsoft Office Word</Application>
  <DocSecurity>0</DocSecurity>
  <Lines>109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2017-09-26T10:20:00Z</cp:lastPrinted>
  <dcterms:created xsi:type="dcterms:W3CDTF">2017-10-02T11:58:00Z</dcterms:created>
  <dcterms:modified xsi:type="dcterms:W3CDTF">2017-10-16T07:25:00Z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Order">
    <vt:r8>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NewReviewCycle">
    <vt:lpwstr/>
  </property>
  <property fmtid="{D5CDD505-2E9C-101B-9397-08002B2CF9AE}" pid="10" name="ContentTypeId">
    <vt:lpwstr>0x010100258AA79CEB83498886A3A0868112325000CD4CDFEEBEDF764FAB126859C09062E8</vt:lpwstr>
  </property>
  <property fmtid="{D5CDD505-2E9C-101B-9397-08002B2CF9AE}" pid="11" name="TemplateUrl">
    <vt:lpwstr/>
  </property>
</Properties>
</file>