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549D9A730E240129F1939DECCF7C1F1" style="width:450.35pt;height:307.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line="240" w:lineRule="auto"/>
        <w:jc w:val="center"/>
        <w:rPr>
          <w:rFonts w:ascii="Times New Roman" w:hAnsi="Times New Roman"/>
          <w:b/>
          <w:noProof/>
          <w:sz w:val="24"/>
          <w:szCs w:val="24"/>
        </w:rPr>
      </w:pPr>
      <w:bookmarkStart w:id="1" w:name="_GoBack"/>
      <w:bookmarkEnd w:id="1"/>
      <w:r>
        <w:rPr>
          <w:rFonts w:ascii="Times New Roman" w:hAnsi="Times New Roman"/>
          <w:b/>
          <w:noProof/>
          <w:sz w:val="24"/>
        </w:rPr>
        <w:lastRenderedPageBreak/>
        <w:t>ДОКЛАД НА КОМИСИЯТА</w:t>
      </w:r>
    </w:p>
    <w:p>
      <w:pPr>
        <w:spacing w:line="240" w:lineRule="auto"/>
        <w:jc w:val="center"/>
        <w:rPr>
          <w:rFonts w:ascii="Times New Roman" w:hAnsi="Times New Roman"/>
          <w:b/>
          <w:noProof/>
          <w:sz w:val="24"/>
          <w:szCs w:val="24"/>
        </w:rPr>
      </w:pPr>
      <w:r>
        <w:rPr>
          <w:rFonts w:ascii="Times New Roman" w:hAnsi="Times New Roman"/>
          <w:b/>
          <w:noProof/>
          <w:sz w:val="24"/>
        </w:rPr>
        <w:t>ЗА РАБОТАТА НА КОМИТЕТИТЕ ПРЕЗ 2016 ГОДИНА</w:t>
      </w:r>
    </w:p>
    <w:p>
      <w:pPr>
        <w:spacing w:line="240" w:lineRule="auto"/>
        <w:jc w:val="center"/>
        <w:rPr>
          <w:rFonts w:ascii="Times New Roman" w:hAnsi="Times New Roman"/>
          <w:b/>
          <w:noProof/>
          <w:sz w:val="24"/>
          <w:szCs w:val="24"/>
        </w:rPr>
      </w:pPr>
    </w:p>
    <w:p>
      <w:pPr>
        <w:spacing w:line="240" w:lineRule="auto"/>
        <w:jc w:val="both"/>
        <w:rPr>
          <w:rFonts w:ascii="Times New Roman" w:hAnsi="Times New Roman"/>
          <w:noProof/>
          <w:sz w:val="24"/>
          <w:szCs w:val="24"/>
        </w:rPr>
      </w:pPr>
      <w:bookmarkStart w:id="2" w:name="_Toc531662363"/>
      <w:bookmarkStart w:id="3" w:name="_Toc530990686"/>
      <w:bookmarkStart w:id="4" w:name="_Toc527972231"/>
      <w:bookmarkStart w:id="5" w:name="_Toc525033196"/>
      <w:bookmarkStart w:id="6" w:name="_Toc525019710"/>
      <w:r>
        <w:rPr>
          <w:rFonts w:ascii="Times New Roman" w:hAnsi="Times New Roman"/>
          <w:noProof/>
          <w:sz w:val="24"/>
        </w:rPr>
        <w:t>Съгласно член 10, параграф 2 от Регламент (ЕС) № 182/2011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w:t>
      </w:r>
      <w:r>
        <w:rPr>
          <w:rFonts w:ascii="Times New Roman" w:hAnsi="Times New Roman"/>
          <w:noProof/>
          <w:sz w:val="24"/>
          <w:vertAlign w:val="superscript"/>
        </w:rPr>
        <w:footnoteReference w:id="1"/>
      </w:r>
      <w:r>
        <w:rPr>
          <w:rFonts w:ascii="Times New Roman" w:hAnsi="Times New Roman"/>
          <w:noProof/>
          <w:sz w:val="24"/>
        </w:rPr>
        <w:t xml:space="preserve"> (наричан по-нататък „Регламент относно комитологията“) Комисията представя годишен доклад за работата на комитетите през 2016 г.</w:t>
      </w:r>
    </w:p>
    <w:p>
      <w:pPr>
        <w:spacing w:line="240" w:lineRule="auto"/>
        <w:jc w:val="both"/>
        <w:rPr>
          <w:rFonts w:ascii="Times New Roman" w:hAnsi="Times New Roman"/>
          <w:noProof/>
          <w:sz w:val="24"/>
          <w:szCs w:val="24"/>
        </w:rPr>
      </w:pPr>
      <w:r>
        <w:rPr>
          <w:rFonts w:ascii="Times New Roman" w:hAnsi="Times New Roman"/>
          <w:noProof/>
          <w:sz w:val="24"/>
        </w:rPr>
        <w:t>Настоящият доклад съдържа преглед на случилото се в системата на комитологията през 2016 г. и резюме на дейностите на комитетите. Той е придружен от работен документ на службите на Комисията, съдържащ подробна статистика за работата на отделните комитети.</w:t>
      </w:r>
    </w:p>
    <w:p>
      <w:pPr>
        <w:spacing w:line="240" w:lineRule="auto"/>
        <w:jc w:val="both"/>
        <w:rPr>
          <w:rFonts w:ascii="Times New Roman" w:hAnsi="Times New Roman"/>
          <w:b/>
          <w:noProof/>
          <w:sz w:val="24"/>
          <w:szCs w:val="24"/>
        </w:rPr>
      </w:pPr>
      <w:r>
        <w:rPr>
          <w:rFonts w:ascii="Times New Roman" w:hAnsi="Times New Roman"/>
          <w:b/>
          <w:noProof/>
          <w:sz w:val="24"/>
        </w:rPr>
        <w:t>1.</w:t>
      </w:r>
      <w:r>
        <w:rPr>
          <w:noProof/>
        </w:rPr>
        <w:tab/>
      </w:r>
      <w:r>
        <w:rPr>
          <w:rFonts w:ascii="Times New Roman" w:hAnsi="Times New Roman"/>
          <w:b/>
          <w:smallCaps/>
          <w:noProof/>
          <w:sz w:val="24"/>
        </w:rPr>
        <w:t>Преглед на случилото се в системата на комитология през 2016 г.</w:t>
      </w:r>
    </w:p>
    <w:p>
      <w:pPr>
        <w:spacing w:line="240" w:lineRule="auto"/>
        <w:jc w:val="both"/>
        <w:rPr>
          <w:rFonts w:ascii="Times New Roman" w:hAnsi="Times New Roman"/>
          <w:b/>
          <w:noProof/>
          <w:sz w:val="24"/>
          <w:szCs w:val="24"/>
        </w:rPr>
      </w:pPr>
      <w:r>
        <w:rPr>
          <w:rFonts w:ascii="Times New Roman" w:hAnsi="Times New Roman"/>
          <w:b/>
          <w:noProof/>
          <w:sz w:val="24"/>
        </w:rPr>
        <w:t>1.1</w:t>
      </w:r>
      <w:r>
        <w:rPr>
          <w:noProof/>
        </w:rPr>
        <w:tab/>
      </w:r>
      <w:r>
        <w:rPr>
          <w:rFonts w:ascii="Times New Roman" w:hAnsi="Times New Roman"/>
          <w:b/>
          <w:noProof/>
          <w:sz w:val="24"/>
        </w:rPr>
        <w:t>Общо развитие</w:t>
      </w:r>
    </w:p>
    <w:p>
      <w:pPr>
        <w:spacing w:line="240" w:lineRule="auto"/>
        <w:jc w:val="both"/>
        <w:rPr>
          <w:rFonts w:ascii="Times New Roman" w:hAnsi="Times New Roman"/>
          <w:b/>
          <w:noProof/>
          <w:sz w:val="24"/>
          <w:szCs w:val="24"/>
        </w:rPr>
      </w:pPr>
      <w:r>
        <w:rPr>
          <w:rFonts w:ascii="Times New Roman" w:hAnsi="Times New Roman"/>
          <w:noProof/>
          <w:sz w:val="24"/>
        </w:rPr>
        <w:t>Както бе описано в годишния доклад за 2013 г.</w:t>
      </w:r>
      <w:r>
        <w:rPr>
          <w:rFonts w:ascii="Times New Roman" w:hAnsi="Times New Roman"/>
          <w:noProof/>
          <w:sz w:val="24"/>
          <w:vertAlign w:val="superscript"/>
        </w:rPr>
        <w:footnoteReference w:id="2"/>
      </w:r>
      <w:r>
        <w:rPr>
          <w:rFonts w:ascii="Times New Roman" w:hAnsi="Times New Roman"/>
          <w:noProof/>
          <w:sz w:val="24"/>
        </w:rPr>
        <w:t>, всички процедури по комитология, предвидени в предходното Решение относно комитологията</w:t>
      </w:r>
      <w:r>
        <w:rPr>
          <w:rFonts w:ascii="Times New Roman" w:hAnsi="Times New Roman"/>
          <w:noProof/>
          <w:sz w:val="24"/>
          <w:vertAlign w:val="superscript"/>
        </w:rPr>
        <w:footnoteReference w:id="3"/>
      </w:r>
      <w:r>
        <w:rPr>
          <w:rFonts w:ascii="Times New Roman" w:hAnsi="Times New Roman"/>
          <w:noProof/>
          <w:sz w:val="24"/>
        </w:rPr>
        <w:t>, с изключение на процедурата по регулиране с контрол (ПРК), бяха автоматично адаптирани към новите процедури по комитология, предвидени в Регламента относно комитологията (Регламент (ЕС) № 182/2011).</w:t>
      </w:r>
    </w:p>
    <w:p>
      <w:pPr>
        <w:spacing w:line="240" w:lineRule="auto"/>
        <w:jc w:val="both"/>
        <w:rPr>
          <w:rFonts w:ascii="Times New Roman" w:hAnsi="Times New Roman"/>
          <w:noProof/>
          <w:sz w:val="24"/>
          <w:szCs w:val="24"/>
        </w:rPr>
      </w:pPr>
      <w:r>
        <w:rPr>
          <w:rFonts w:ascii="Times New Roman" w:hAnsi="Times New Roman"/>
          <w:noProof/>
          <w:sz w:val="24"/>
        </w:rPr>
        <w:t>Следователно през 2016 г. комитетите по комитология са функционирали съгласно процедурите, определени в Регламента относно комитологията, а именно по консултиране (член 4) и по разглеждане (член 5), както и съгласно процедурата по регулиране с контрол (ПРК), определена в член 5а от Решението относно комитологията.</w:t>
      </w:r>
    </w:p>
    <w:p>
      <w:pPr>
        <w:spacing w:line="240" w:lineRule="auto"/>
        <w:jc w:val="both"/>
        <w:rPr>
          <w:rFonts w:ascii="Times New Roman" w:hAnsi="Times New Roman"/>
          <w:noProof/>
          <w:sz w:val="24"/>
          <w:szCs w:val="24"/>
        </w:rPr>
      </w:pPr>
      <w:r>
        <w:rPr>
          <w:rFonts w:ascii="Times New Roman" w:hAnsi="Times New Roman"/>
          <w:noProof/>
          <w:sz w:val="24"/>
        </w:rPr>
        <w:t>В Междуинституционалното споразумение за по-добро законотворчество от 13 април 2016 г.</w:t>
      </w:r>
      <w:r>
        <w:rPr>
          <w:rStyle w:val="FootnoteReference"/>
          <w:rFonts w:ascii="Times New Roman" w:hAnsi="Times New Roman"/>
          <w:noProof/>
          <w:sz w:val="24"/>
        </w:rPr>
        <w:footnoteReference w:id="4"/>
      </w:r>
      <w:r>
        <w:rPr>
          <w:rFonts w:ascii="Times New Roman" w:hAnsi="Times New Roman"/>
          <w:noProof/>
          <w:sz w:val="24"/>
        </w:rPr>
        <w:t xml:space="preserve"> се припомня необходимостта от привеждане в съответствие на процедурата по регулиране с контрол:</w:t>
      </w:r>
    </w:p>
    <w:p>
      <w:pPr>
        <w:spacing w:line="240" w:lineRule="auto"/>
        <w:jc w:val="both"/>
        <w:rPr>
          <w:rFonts w:ascii="Times New Roman" w:hAnsi="Times New Roman"/>
          <w:noProof/>
          <w:sz w:val="24"/>
          <w:szCs w:val="24"/>
        </w:rPr>
      </w:pPr>
      <w:r>
        <w:rPr>
          <w:rFonts w:ascii="Times New Roman" w:hAnsi="Times New Roman"/>
          <w:noProof/>
          <w:sz w:val="24"/>
        </w:rPr>
        <w:t>„Трите институции признават необходимостта цялото действащо законодателство да се приведе в съответствие с правната рамка, въведена с Лисабонския договор, и по-специално нуждата да бъде даден пълен приоритет на бързото привеждане в съответствие на всички основни актове, които все още се позовават на процедурата по регулиране с контрол. Комисията ще предложи посоченото привеждане в съответствие до края на 2016 г.“</w:t>
      </w:r>
    </w:p>
    <w:p>
      <w:pPr>
        <w:spacing w:line="240" w:lineRule="auto"/>
        <w:jc w:val="both"/>
        <w:rPr>
          <w:rFonts w:ascii="Times New Roman" w:hAnsi="Times New Roman"/>
          <w:noProof/>
          <w:sz w:val="24"/>
          <w:szCs w:val="24"/>
        </w:rPr>
      </w:pPr>
      <w:r>
        <w:rPr>
          <w:rFonts w:ascii="Times New Roman" w:hAnsi="Times New Roman"/>
          <w:noProof/>
          <w:sz w:val="24"/>
        </w:rPr>
        <w:t>В съответствие с този ангажимент Комисията прие ново предложение за привеждане на основните актове, предвиждащи процедурата по регулиране с контрол, в съответствие с разпоредбите за делегирани актове и актове за изпълнение</w:t>
      </w:r>
      <w:r>
        <w:rPr>
          <w:rStyle w:val="FootnoteReference"/>
          <w:rFonts w:ascii="Times New Roman" w:hAnsi="Times New Roman"/>
          <w:noProof/>
          <w:sz w:val="24"/>
        </w:rPr>
        <w:footnoteReference w:id="5"/>
      </w:r>
      <w:r>
        <w:rPr>
          <w:rFonts w:ascii="Times New Roman" w:hAnsi="Times New Roman"/>
          <w:noProof/>
          <w:sz w:val="24"/>
        </w:rPr>
        <w:t>. Тя прие и второ предложение, което се отнася конкретно до привеждането в съответствие на основните актове в областта на правосъдието</w:t>
      </w:r>
      <w:r>
        <w:rPr>
          <w:rStyle w:val="FootnoteReference"/>
          <w:rFonts w:ascii="Times New Roman" w:hAnsi="Times New Roman"/>
          <w:noProof/>
          <w:sz w:val="24"/>
        </w:rPr>
        <w:footnoteReference w:id="6"/>
      </w:r>
      <w:r>
        <w:rPr>
          <w:rFonts w:ascii="Times New Roman" w:hAnsi="Times New Roman"/>
          <w:noProof/>
          <w:sz w:val="24"/>
        </w:rPr>
        <w:t xml:space="preserve">. Междуинституционалните преговори по двете досиета започнаха през 2017 г. </w:t>
      </w:r>
    </w:p>
    <w:p>
      <w:pPr>
        <w:spacing w:line="240" w:lineRule="auto"/>
        <w:jc w:val="both"/>
        <w:rPr>
          <w:rFonts w:ascii="Times New Roman" w:hAnsi="Times New Roman"/>
          <w:noProof/>
          <w:sz w:val="24"/>
          <w:szCs w:val="24"/>
        </w:rPr>
      </w:pPr>
      <w:r>
        <w:rPr>
          <w:rFonts w:ascii="Times New Roman" w:hAnsi="Times New Roman"/>
          <w:noProof/>
          <w:sz w:val="24"/>
        </w:rPr>
        <w:t>През 2016 г. Комисията представи доклад за прилагането на Регламент (ЕС) № 182/2011</w:t>
      </w:r>
      <w:r>
        <w:rPr>
          <w:rStyle w:val="FootnoteReference"/>
          <w:rFonts w:ascii="Times New Roman" w:hAnsi="Times New Roman"/>
          <w:noProof/>
          <w:sz w:val="24"/>
        </w:rPr>
        <w:footnoteReference w:id="7"/>
      </w:r>
      <w:r>
        <w:rPr>
          <w:rFonts w:ascii="Times New Roman" w:hAnsi="Times New Roman"/>
          <w:noProof/>
          <w:sz w:val="24"/>
        </w:rPr>
        <w:t xml:space="preserve"> пет години след влизането му в сила. </w:t>
      </w:r>
    </w:p>
    <w:p>
      <w:pPr>
        <w:spacing w:after="240"/>
        <w:jc w:val="both"/>
        <w:rPr>
          <w:rFonts w:ascii="Times New Roman" w:eastAsia="Arial Unicode MS" w:hAnsi="Times New Roman"/>
          <w:bCs/>
          <w:iCs/>
          <w:noProof/>
          <w:sz w:val="24"/>
          <w:szCs w:val="24"/>
        </w:rPr>
      </w:pPr>
      <w:r>
        <w:rPr>
          <w:rFonts w:ascii="Times New Roman" w:hAnsi="Times New Roman"/>
          <w:noProof/>
          <w:sz w:val="24"/>
        </w:rPr>
        <w:t>През септември 2016 г. в своята реч за състоянието на Съюза, произнесена пред Европейския парламент, председателят на Комисията обяви инициатива на Комисията за укрепване на демократичния характер на процедурата по комитология, като заяви:</w:t>
      </w:r>
      <w:r>
        <w:rPr>
          <w:rFonts w:ascii="Times New Roman" w:hAnsi="Times New Roman"/>
          <w:i/>
          <w:noProof/>
          <w:sz w:val="24"/>
        </w:rPr>
        <w:t xml:space="preserve"> „Не е редно, когато държавите от ЕС не могат да се споразумеят помежду си дали да забранят употребата на глифозат в хербицидите, Парламентът и Съветът да принуждават Комисията да вземе решение. Затова ще променим тези правила, тъй като демокрацията не изглежда така.“</w:t>
      </w:r>
      <w:r>
        <w:rPr>
          <w:rStyle w:val="FootnoteReference"/>
          <w:rFonts w:ascii="Times New Roman" w:hAnsi="Times New Roman"/>
          <w:noProof/>
          <w:sz w:val="24"/>
        </w:rPr>
        <w:footnoteReference w:id="8"/>
      </w:r>
    </w:p>
    <w:p>
      <w:pPr>
        <w:jc w:val="both"/>
        <w:rPr>
          <w:rFonts w:ascii="Times New Roman" w:hAnsi="Times New Roman"/>
          <w:noProof/>
          <w:sz w:val="24"/>
          <w:szCs w:val="24"/>
        </w:rPr>
      </w:pPr>
      <w:r>
        <w:rPr>
          <w:rFonts w:ascii="Times New Roman" w:hAnsi="Times New Roman"/>
          <w:noProof/>
          <w:sz w:val="24"/>
        </w:rPr>
        <w:t>Вследствие на изявлението на председателя на 13 февруари 2017 г. Комисията прие предложение за Регламент на Европейския парламент и на Съвета за изменение на Регламент (ЕС) № 182/2011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(COM(2017) 85/3).</w:t>
      </w:r>
    </w:p>
    <w:p>
      <w:pPr>
        <w:jc w:val="both"/>
        <w:rPr>
          <w:rFonts w:ascii="Times New Roman" w:hAnsi="Times New Roman"/>
          <w:noProof/>
          <w:sz w:val="24"/>
          <w:szCs w:val="24"/>
        </w:rPr>
      </w:pPr>
      <w:r>
        <w:rPr>
          <w:rFonts w:ascii="Times New Roman" w:hAnsi="Times New Roman"/>
          <w:noProof/>
          <w:sz w:val="24"/>
        </w:rPr>
        <w:t>От 1 юли 2016 г. Комисията започна да публикува проекти на актове за изпълнение и на актове по процедурата за регулиране с контрол за период от четири седмици, осигуряващ възможност за обществено обсъждане</w:t>
      </w:r>
      <w:r>
        <w:rPr>
          <w:rStyle w:val="FootnoteReference"/>
          <w:rFonts w:ascii="Times New Roman" w:hAnsi="Times New Roman"/>
          <w:noProof/>
          <w:sz w:val="24"/>
        </w:rPr>
        <w:footnoteReference w:id="9"/>
      </w:r>
      <w:r>
        <w:rPr>
          <w:rFonts w:ascii="Times New Roman" w:hAnsi="Times New Roman"/>
          <w:noProof/>
          <w:sz w:val="24"/>
        </w:rPr>
        <w:t>. Това е важен елемент от новия подход за прозрачност и е резултат от ангажимента, поет в съобщението за по-добро регулиране от 2015 г.</w:t>
      </w:r>
      <w:r>
        <w:rPr>
          <w:rStyle w:val="FootnoteReference"/>
          <w:rFonts w:ascii="Times New Roman" w:hAnsi="Times New Roman"/>
          <w:noProof/>
          <w:sz w:val="24"/>
        </w:rPr>
        <w:footnoteReference w:id="10"/>
      </w:r>
      <w:r>
        <w:rPr>
          <w:rFonts w:ascii="Times New Roman" w:hAnsi="Times New Roman"/>
          <w:noProof/>
          <w:sz w:val="24"/>
        </w:rPr>
        <w:t>: „За период от четири седмици обществено достъпни ще бъдат и важни актове за изпълнение, за които се изисква становището на комитет, като по този начин заинтересованите страни ще могат да предоставят коментарите си преди вота на държавите членки в съответния комитет.“ След като се направи оценка на получената обратна информация, проектът на акт се представя за гласуване от съответния комитет. По време на заседанието на комитета Комисията разяснява как е била взета предвид тази обратна информация и включва това обяснение в обобщения протокол от заседанието (който е публично достъпен в регистъра на комитологията</w:t>
      </w:r>
      <w:r>
        <w:rPr>
          <w:rStyle w:val="FootnoteReference"/>
          <w:rFonts w:ascii="Times New Roman" w:hAnsi="Times New Roman"/>
          <w:noProof/>
          <w:sz w:val="24"/>
        </w:rPr>
        <w:footnoteReference w:id="11"/>
      </w:r>
      <w:r>
        <w:rPr>
          <w:rFonts w:ascii="Times New Roman" w:hAnsi="Times New Roman"/>
          <w:noProof/>
          <w:sz w:val="24"/>
        </w:rPr>
        <w:t xml:space="preserve">). </w:t>
      </w:r>
    </w:p>
    <w:p>
      <w:pPr>
        <w:spacing w:line="240" w:lineRule="auto"/>
        <w:jc w:val="both"/>
        <w:rPr>
          <w:rFonts w:ascii="Times New Roman" w:hAnsi="Times New Roman"/>
          <w:b/>
          <w:noProof/>
          <w:sz w:val="24"/>
          <w:szCs w:val="24"/>
        </w:rPr>
      </w:pPr>
      <w:r>
        <w:rPr>
          <w:rFonts w:ascii="Times New Roman" w:hAnsi="Times New Roman"/>
          <w:b/>
          <w:noProof/>
          <w:sz w:val="24"/>
        </w:rPr>
        <w:t>1.2</w:t>
      </w:r>
      <w:r>
        <w:rPr>
          <w:noProof/>
        </w:rPr>
        <w:tab/>
      </w:r>
      <w:r>
        <w:rPr>
          <w:rFonts w:ascii="Times New Roman" w:hAnsi="Times New Roman"/>
          <w:b/>
          <w:noProof/>
          <w:sz w:val="24"/>
        </w:rPr>
        <w:t>Развитие в съдебната практика</w:t>
      </w:r>
    </w:p>
    <w:p>
      <w:pPr>
        <w:spacing w:line="240" w:lineRule="auto"/>
        <w:jc w:val="both"/>
        <w:rPr>
          <w:rFonts w:ascii="Times New Roman" w:hAnsi="Times New Roman"/>
          <w:noProof/>
          <w:sz w:val="24"/>
          <w:szCs w:val="24"/>
        </w:rPr>
      </w:pPr>
      <w:r>
        <w:rPr>
          <w:rFonts w:ascii="Times New Roman" w:hAnsi="Times New Roman"/>
          <w:noProof/>
          <w:sz w:val="24"/>
        </w:rPr>
        <w:t>Във връзка с решението на Съда от 1 март 2016 г. по дело C-440/14, National Iranian Oil Company/Съвет, което не засяга пряко упражняването от страна на Комисията на изпълнителните ѝ правомощия, но е важно с оглед на мотивите, които обосновават предоставянето на изпълнителни правомощия на Съвета в някои изключителни случаи</w:t>
      </w:r>
      <w:r>
        <w:rPr>
          <w:rStyle w:val="FootnoteReference"/>
          <w:rFonts w:ascii="Times New Roman" w:hAnsi="Times New Roman"/>
          <w:noProof/>
          <w:sz w:val="24"/>
        </w:rPr>
        <w:footnoteReference w:id="12"/>
      </w:r>
      <w:r>
        <w:rPr>
          <w:rFonts w:ascii="Times New Roman" w:hAnsi="Times New Roman"/>
          <w:noProof/>
          <w:sz w:val="24"/>
        </w:rPr>
        <w:t xml:space="preserve">. </w:t>
      </w:r>
    </w:p>
    <w:p>
      <w:pPr>
        <w:spacing w:line="240" w:lineRule="auto"/>
        <w:jc w:val="both"/>
        <w:rPr>
          <w:rFonts w:ascii="Times New Roman" w:hAnsi="Times New Roman"/>
          <w:b/>
          <w:noProof/>
          <w:sz w:val="24"/>
          <w:szCs w:val="24"/>
        </w:rPr>
      </w:pPr>
      <w:r>
        <w:rPr>
          <w:rFonts w:ascii="Times New Roman" w:hAnsi="Times New Roman"/>
          <w:b/>
          <w:noProof/>
          <w:sz w:val="24"/>
        </w:rPr>
        <w:t>2.</w:t>
      </w:r>
      <w:r>
        <w:rPr>
          <w:noProof/>
        </w:rPr>
        <w:tab/>
      </w:r>
      <w:r>
        <w:rPr>
          <w:rFonts w:ascii="Times New Roman" w:hAnsi="Times New Roman"/>
          <w:b/>
          <w:smallCaps/>
          <w:noProof/>
          <w:sz w:val="24"/>
        </w:rPr>
        <w:t>Преглед на дейностите</w:t>
      </w:r>
    </w:p>
    <w:p>
      <w:pPr>
        <w:spacing w:line="240" w:lineRule="auto"/>
        <w:jc w:val="both"/>
        <w:rPr>
          <w:rFonts w:ascii="Times New Roman" w:hAnsi="Times New Roman"/>
          <w:b/>
          <w:noProof/>
          <w:sz w:val="24"/>
          <w:szCs w:val="24"/>
        </w:rPr>
      </w:pPr>
      <w:r>
        <w:rPr>
          <w:rFonts w:ascii="Times New Roman" w:hAnsi="Times New Roman"/>
          <w:b/>
          <w:noProof/>
          <w:sz w:val="24"/>
        </w:rPr>
        <w:t>2.1</w:t>
      </w:r>
      <w:r>
        <w:rPr>
          <w:noProof/>
        </w:rPr>
        <w:tab/>
      </w:r>
      <w:r>
        <w:rPr>
          <w:rFonts w:ascii="Times New Roman" w:hAnsi="Times New Roman"/>
          <w:b/>
          <w:noProof/>
          <w:sz w:val="24"/>
        </w:rPr>
        <w:t>Брой на комитетите и на заседанията</w:t>
      </w:r>
    </w:p>
    <w:p>
      <w:pPr>
        <w:spacing w:line="240" w:lineRule="auto"/>
        <w:jc w:val="both"/>
        <w:rPr>
          <w:rFonts w:ascii="Times New Roman" w:hAnsi="Times New Roman"/>
          <w:noProof/>
          <w:sz w:val="24"/>
          <w:szCs w:val="24"/>
        </w:rPr>
      </w:pPr>
      <w:r>
        <w:rPr>
          <w:rFonts w:ascii="Times New Roman" w:hAnsi="Times New Roman"/>
          <w:noProof/>
          <w:sz w:val="24"/>
        </w:rPr>
        <w:t>Важно е да се прави разграничение между комитетите по комитология, от една страна, и други структури, по-специално „експертните групи“, създадени от самата Комисия, от друга страна. Тези групи предоставят експертни познания на Комисията</w:t>
      </w:r>
      <w:r>
        <w:rPr>
          <w:rFonts w:ascii="Times New Roman" w:hAnsi="Times New Roman"/>
          <w:noProof/>
          <w:sz w:val="24"/>
          <w:vertAlign w:val="superscript"/>
        </w:rPr>
        <w:footnoteReference w:id="13"/>
      </w:r>
      <w:r>
        <w:rPr>
          <w:rFonts w:ascii="Times New Roman" w:hAnsi="Times New Roman"/>
          <w:noProof/>
          <w:sz w:val="24"/>
        </w:rPr>
        <w:t xml:space="preserve"> при изготвянето и изпълнението на политиките, както и на делегираните актове, докато комитетите по комитология подпомагат Комисията при упражняването на изпълнителните правомощия, които са ѝ предоставени с основни правни актове. Настоящият доклад е посветен изключително на комитетите по комитология. Броят на действащите комитети по комитология в периода 1 януари—31 декември 2016 г. бе изчислен по сектор на дейност (вж. таблица I). С цел да се даде възможност за сравнение са представени и данните за предходната година (към 31 декември 2015 г.). Подразделенията и конфигурациите не са отчетени отделно, тъй като принадлежат към даден основен комитет.</w:t>
      </w:r>
    </w:p>
    <w:p>
      <w:pPr>
        <w:spacing w:line="240" w:lineRule="auto"/>
        <w:rPr>
          <w:rFonts w:ascii="Times New Roman" w:hAnsi="Times New Roman"/>
          <w:b/>
          <w:noProof/>
          <w:sz w:val="24"/>
          <w:szCs w:val="24"/>
          <w:u w:val="single"/>
        </w:rPr>
      </w:pPr>
      <w:r>
        <w:rPr>
          <w:rFonts w:ascii="Times New Roman" w:hAnsi="Times New Roman"/>
          <w:b/>
          <w:noProof/>
          <w:sz w:val="24"/>
          <w:u w:val="single"/>
        </w:rPr>
        <w:t>ТАБЛИЦА I — Общ брой на комитетите</w:t>
      </w:r>
    </w:p>
    <w:tbl>
      <w:tblPr>
        <w:tblW w:w="5000" w:type="pct"/>
        <w:tblLook w:val="0000" w:firstRow="0" w:lastRow="0" w:firstColumn="0" w:lastColumn="0" w:noHBand="0" w:noVBand="0"/>
      </w:tblPr>
      <w:tblGrid>
        <w:gridCol w:w="7029"/>
        <w:gridCol w:w="1125"/>
        <w:gridCol w:w="1134"/>
      </w:tblGrid>
      <w:tr>
        <w:trPr>
          <w:trHeight w:val="510"/>
        </w:trPr>
        <w:tc>
          <w:tcPr>
            <w:tcW w:w="3242" w:type="pct"/>
            <w:tcBorders>
              <w:top w:val="single" w:sz="4" w:space="0" w:color="auto"/>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Сектор на политиката</w:t>
            </w:r>
          </w:p>
        </w:tc>
        <w:tc>
          <w:tcPr>
            <w:tcW w:w="877"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2016 г.</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2015 г.</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   (Земеделие и развитие на селските райони)</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   (Бюджет)</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   (Действия по климата)</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   (Съобщителни мрежи, съдържание и технологии)</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   (Международно сътрудничество и развитие)</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   (Информатика)</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   (Образование и култура)</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   (Икономически и финансови въпроси)</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   (Хуманитарна помощ и гражданска защита)</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   (Трудова заетост, социални въпроси и приобщаване)</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   (Енергетика)</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   (Околна среда)</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 (Евростат)</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 (Финансова стабилност, финансови услуги и съюз на капиталовите пазари)</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   (Служба за инструментите в областта на външната политика)</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   (Вътрешен пазар, промишленост, предприемачество и МСП)</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   (Миграция и вътрешни работи)</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   (Правосъдие и потребители)</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MARE   (Морско дело и рибарство)</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4</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   (Мобилност и транспорт)</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30</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   (Политика за съседство и преговори за разширяване)</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OLAF   (Европейска служба за борба с измамите)</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   (Регионална и селищна политика)</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   (Научни изследвания и иновации)</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   (Здравеопазване и безопасност на храните)</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 (Генерален секретариат)</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   (Данъчно облагане и митнически съюз)</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   (Търговия)</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ОБЩО:</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277</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280</w:t>
            </w:r>
          </w:p>
        </w:tc>
      </w:tr>
    </w:tbl>
    <w:p>
      <w:pPr>
        <w:spacing w:line="240" w:lineRule="auto"/>
        <w:jc w:val="both"/>
        <w:rPr>
          <w:rFonts w:ascii="Times New Roman" w:hAnsi="Times New Roman"/>
          <w:i/>
          <w:noProof/>
          <w:sz w:val="18"/>
          <w:szCs w:val="18"/>
        </w:rPr>
      </w:pPr>
      <w:r>
        <w:rPr>
          <w:rFonts w:ascii="Times New Roman" w:hAnsi="Times New Roman"/>
          <w:noProof/>
          <w:sz w:val="18"/>
        </w:rPr>
        <w:t xml:space="preserve">* </w:t>
      </w:r>
      <w:r>
        <w:rPr>
          <w:rFonts w:ascii="Times New Roman" w:hAnsi="Times New Roman"/>
          <w:i/>
          <w:noProof/>
          <w:sz w:val="18"/>
        </w:rPr>
        <w:t>Включително апелативния комитет (за нуждите на регистъра на комитологията апелативният комитет е регистриран като комитет, за който отговорната служба е Генералният секретариат; на практика той се управлява от всички засегнати служби).</w:t>
      </w:r>
    </w:p>
    <w:p>
      <w:pPr>
        <w:spacing w:line="240" w:lineRule="auto"/>
        <w:jc w:val="both"/>
        <w:rPr>
          <w:rFonts w:ascii="Times New Roman" w:hAnsi="Times New Roman"/>
          <w:noProof/>
          <w:sz w:val="24"/>
          <w:szCs w:val="24"/>
        </w:rPr>
      </w:pPr>
      <w:r>
        <w:rPr>
          <w:rFonts w:ascii="Times New Roman" w:hAnsi="Times New Roman"/>
          <w:noProof/>
          <w:sz w:val="24"/>
        </w:rPr>
        <w:t>През 2016 г. комитетите по комитология можеха като цяло да се класифицират според вида на процедурата, по реда на която осъществяват дейността си (процедура по консултиране, процедура по разглеждане, процедура по регулиране с контрол — вж. таблица II). Някои комитети, които прилагаха повече от една процедура, бяха отделени от комитетите, извършващи дейност съгласно една-единствена процедура.</w:t>
      </w:r>
    </w:p>
    <w:p>
      <w:pPr>
        <w:spacing w:line="240" w:lineRule="auto"/>
        <w:rPr>
          <w:rFonts w:ascii="Times New Roman" w:hAnsi="Times New Roman"/>
          <w:b/>
          <w:smallCaps/>
          <w:noProof/>
          <w:sz w:val="24"/>
          <w:szCs w:val="24"/>
          <w:u w:val="single"/>
        </w:rPr>
      </w:pPr>
      <w:bookmarkStart w:id="7" w:name="_Toc138589006"/>
      <w:r>
        <w:rPr>
          <w:rFonts w:ascii="Times New Roman" w:hAnsi="Times New Roman"/>
          <w:b/>
          <w:noProof/>
          <w:sz w:val="24"/>
          <w:u w:val="single"/>
        </w:rPr>
        <w:t>ТАБЛИЦА II — Брой на комитетите по процедури (2016 г.)</w:t>
      </w:r>
      <w:bookmarkEnd w:id="7"/>
    </w:p>
    <w:tbl>
      <w:tblPr>
        <w:tblW w:w="5000" w:type="pct"/>
        <w:tblLook w:val="0000" w:firstRow="0" w:lastRow="0" w:firstColumn="0" w:lastColumn="0" w:noHBand="0" w:noVBand="0"/>
      </w:tblPr>
      <w:tblGrid>
        <w:gridCol w:w="1101"/>
        <w:gridCol w:w="1634"/>
        <w:gridCol w:w="1637"/>
        <w:gridCol w:w="1637"/>
        <w:gridCol w:w="1642"/>
        <w:gridCol w:w="1637"/>
      </w:tblGrid>
      <w:tr>
        <w:trPr>
          <w:trHeight w:val="510"/>
        </w:trPr>
        <w:tc>
          <w:tcPr>
            <w:tcW w:w="593" w:type="pct"/>
            <w:vMerge w:val="restart"/>
            <w:tcBorders>
              <w:top w:val="single" w:sz="4" w:space="0" w:color="auto"/>
              <w:left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 </w:t>
            </w:r>
          </w:p>
        </w:tc>
        <w:tc>
          <w:tcPr>
            <w:tcW w:w="3526" w:type="pct"/>
            <w:gridSpan w:val="4"/>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Вид на процедурата</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p>
        </w:tc>
      </w:tr>
      <w:tr>
        <w:trPr>
          <w:trHeight w:val="510"/>
        </w:trPr>
        <w:tc>
          <w:tcPr>
            <w:tcW w:w="593" w:type="pct"/>
            <w:vMerge/>
            <w:tcBorders>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rPr>
            </w:pPr>
          </w:p>
        </w:tc>
        <w:tc>
          <w:tcPr>
            <w:tcW w:w="880"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Консултиране</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Разглеждане</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Регулиране с контрол</w:t>
            </w:r>
          </w:p>
        </w:tc>
        <w:tc>
          <w:tcPr>
            <w:tcW w:w="884"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Работи, следвайки няколко процедури</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ОБЩО:</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30</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41</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MOVE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8</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4</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OLAF</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ОБЩО:</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101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24</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127</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277</w:t>
            </w:r>
          </w:p>
        </w:tc>
      </w:tr>
    </w:tbl>
    <w:p>
      <w:pPr>
        <w:spacing w:line="240" w:lineRule="auto"/>
        <w:jc w:val="both"/>
        <w:rPr>
          <w:rFonts w:ascii="Times New Roman" w:hAnsi="Times New Roman"/>
          <w:noProof/>
          <w:sz w:val="18"/>
          <w:szCs w:val="18"/>
        </w:rPr>
      </w:pPr>
      <w:r>
        <w:rPr>
          <w:rFonts w:ascii="Times New Roman" w:hAnsi="Times New Roman"/>
          <w:noProof/>
          <w:sz w:val="18"/>
        </w:rPr>
        <w:t xml:space="preserve">* </w:t>
      </w:r>
      <w:r>
        <w:rPr>
          <w:rFonts w:ascii="Times New Roman" w:hAnsi="Times New Roman"/>
          <w:i/>
          <w:noProof/>
          <w:sz w:val="18"/>
        </w:rPr>
        <w:t>Включително апелативния комитет.</w:t>
      </w:r>
    </w:p>
    <w:p>
      <w:pPr>
        <w:spacing w:line="240" w:lineRule="auto"/>
        <w:jc w:val="both"/>
        <w:rPr>
          <w:rFonts w:ascii="Times New Roman" w:hAnsi="Times New Roman"/>
          <w:noProof/>
          <w:spacing w:val="-4"/>
          <w:sz w:val="24"/>
          <w:szCs w:val="24"/>
        </w:rPr>
      </w:pPr>
      <w:r>
        <w:rPr>
          <w:rFonts w:ascii="Times New Roman" w:hAnsi="Times New Roman"/>
          <w:noProof/>
          <w:spacing w:val="-4"/>
          <w:sz w:val="24"/>
        </w:rPr>
        <w:t xml:space="preserve">Броят на комитетите не е единственият показател за дейността на равнище комитология. </w:t>
      </w:r>
      <w:r>
        <w:rPr>
          <w:rFonts w:ascii="Times New Roman" w:hAnsi="Times New Roman"/>
          <w:i/>
          <w:noProof/>
          <w:spacing w:val="-4"/>
          <w:sz w:val="24"/>
        </w:rPr>
        <w:t>Броят на заседанията</w:t>
      </w:r>
      <w:r>
        <w:rPr>
          <w:rFonts w:ascii="Times New Roman" w:hAnsi="Times New Roman"/>
          <w:noProof/>
          <w:spacing w:val="-4"/>
          <w:sz w:val="24"/>
        </w:rPr>
        <w:t xml:space="preserve">, които са били проведени, както и </w:t>
      </w:r>
      <w:r>
        <w:rPr>
          <w:rFonts w:ascii="Times New Roman" w:hAnsi="Times New Roman"/>
          <w:i/>
          <w:noProof/>
          <w:spacing w:val="-4"/>
          <w:sz w:val="24"/>
        </w:rPr>
        <w:t>броят на писмените процедури</w:t>
      </w:r>
      <w:r>
        <w:rPr>
          <w:rFonts w:ascii="Times New Roman" w:hAnsi="Times New Roman"/>
          <w:i/>
          <w:noProof/>
          <w:spacing w:val="-4"/>
          <w:sz w:val="24"/>
          <w:vertAlign w:val="superscript"/>
        </w:rPr>
        <w:footnoteReference w:id="14"/>
      </w:r>
      <w:r>
        <w:rPr>
          <w:rFonts w:ascii="Times New Roman" w:hAnsi="Times New Roman"/>
          <w:noProof/>
          <w:spacing w:val="-4"/>
          <w:sz w:val="24"/>
        </w:rPr>
        <w:t>, използвани през 2016 г., също отразяват интензивността на работата като цяло, както на секторно равнище, така и в отделните комитети (таблица III).</w:t>
      </w:r>
    </w:p>
    <w:p>
      <w:pPr>
        <w:rPr>
          <w:rFonts w:ascii="Times New Roman" w:hAnsi="Times New Roman"/>
          <w:b/>
          <w:noProof/>
          <w:sz w:val="24"/>
          <w:szCs w:val="24"/>
          <w:u w:val="single"/>
        </w:rPr>
      </w:pPr>
      <w:r>
        <w:rPr>
          <w:rFonts w:ascii="Times New Roman" w:hAnsi="Times New Roman"/>
          <w:b/>
          <w:noProof/>
          <w:sz w:val="24"/>
          <w:u w:val="single"/>
        </w:rPr>
        <w:t>ТАБЛИЦА III — Брой на заседанията и на писмените процедури</w:t>
      </w:r>
    </w:p>
    <w:tbl>
      <w:tblPr>
        <w:tblW w:w="5000" w:type="pct"/>
        <w:tblLook w:val="0000" w:firstRow="0" w:lastRow="0" w:firstColumn="0" w:lastColumn="0" w:noHBand="0" w:noVBand="0"/>
      </w:tblPr>
      <w:tblGrid>
        <w:gridCol w:w="1598"/>
        <w:gridCol w:w="1536"/>
        <w:gridCol w:w="1538"/>
        <w:gridCol w:w="1540"/>
        <w:gridCol w:w="1538"/>
        <w:gridCol w:w="1538"/>
      </w:tblGrid>
      <w:tr>
        <w:trPr>
          <w:trHeight w:val="510"/>
        </w:trPr>
        <w:tc>
          <w:tcPr>
            <w:tcW w:w="860" w:type="pct"/>
            <w:vMerge w:val="restart"/>
            <w:tcBorders>
              <w:top w:val="single" w:sz="4" w:space="0" w:color="auto"/>
              <w:left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7" w:type="pct"/>
            <w:vMerge w:val="restart"/>
            <w:tcBorders>
              <w:top w:val="single" w:sz="4" w:space="0" w:color="auto"/>
              <w:left w:val="nil"/>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 xml:space="preserve">Брой на комитетите </w:t>
            </w:r>
          </w:p>
        </w:tc>
        <w:tc>
          <w:tcPr>
            <w:tcW w:w="1657"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Заседания</w:t>
            </w:r>
          </w:p>
        </w:tc>
        <w:tc>
          <w:tcPr>
            <w:tcW w:w="1656"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Писмени процедури</w:t>
            </w:r>
          </w:p>
        </w:tc>
      </w:tr>
      <w:tr>
        <w:trPr>
          <w:trHeight w:val="510"/>
        </w:trPr>
        <w:tc>
          <w:tcPr>
            <w:tcW w:w="860" w:type="pct"/>
            <w:vMerge/>
            <w:tcBorders>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7" w:type="pct"/>
            <w:vMerge/>
            <w:tcBorders>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2016 г.</w:t>
            </w:r>
          </w:p>
        </w:tc>
        <w:tc>
          <w:tcPr>
            <w:tcW w:w="82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2015 г.</w:t>
            </w: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2016 г.</w:t>
            </w: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2015 г.</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111</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30</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63</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28</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29</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OLAF</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1</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57</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263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205</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117</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437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437</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25</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ОБЩО</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277</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674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719</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982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868</w:t>
            </w:r>
          </w:p>
        </w:tc>
      </w:tr>
    </w:tbl>
    <w:p>
      <w:pPr>
        <w:spacing w:line="240" w:lineRule="auto"/>
        <w:jc w:val="both"/>
        <w:rPr>
          <w:rFonts w:ascii="Times New Roman" w:hAnsi="Times New Roman"/>
          <w:i/>
          <w:noProof/>
          <w:sz w:val="18"/>
          <w:szCs w:val="18"/>
        </w:rPr>
      </w:pPr>
      <w:r>
        <w:rPr>
          <w:rFonts w:ascii="Times New Roman" w:hAnsi="Times New Roman"/>
          <w:i/>
          <w:noProof/>
          <w:sz w:val="18"/>
        </w:rPr>
        <w:t>* 5 заседания на апелативния комитет.</w:t>
      </w:r>
    </w:p>
    <w:p>
      <w:pPr>
        <w:spacing w:line="240" w:lineRule="auto"/>
        <w:jc w:val="both"/>
        <w:rPr>
          <w:rFonts w:ascii="Times New Roman" w:hAnsi="Times New Roman"/>
          <w:b/>
          <w:noProof/>
          <w:sz w:val="24"/>
          <w:szCs w:val="24"/>
        </w:rPr>
      </w:pPr>
    </w:p>
    <w:p>
      <w:pPr>
        <w:spacing w:line="240" w:lineRule="auto"/>
        <w:jc w:val="both"/>
        <w:rPr>
          <w:rFonts w:ascii="Times New Roman" w:hAnsi="Times New Roman"/>
          <w:b/>
          <w:noProof/>
          <w:sz w:val="24"/>
          <w:szCs w:val="24"/>
        </w:rPr>
      </w:pPr>
      <w:r>
        <w:rPr>
          <w:rFonts w:ascii="Times New Roman" w:hAnsi="Times New Roman"/>
          <w:b/>
          <w:noProof/>
          <w:sz w:val="24"/>
        </w:rPr>
        <w:t>2.2</w:t>
      </w:r>
      <w:r>
        <w:rPr>
          <w:noProof/>
        </w:rPr>
        <w:tab/>
      </w:r>
      <w:r>
        <w:rPr>
          <w:rFonts w:ascii="Times New Roman" w:hAnsi="Times New Roman"/>
          <w:b/>
          <w:noProof/>
          <w:sz w:val="24"/>
        </w:rPr>
        <w:t>Брой на становищата и на актовете/мерките за изпълнение</w:t>
      </w:r>
    </w:p>
    <w:p>
      <w:pPr>
        <w:spacing w:line="240" w:lineRule="auto"/>
        <w:jc w:val="both"/>
        <w:rPr>
          <w:rFonts w:ascii="Times New Roman" w:hAnsi="Times New Roman"/>
          <w:noProof/>
          <w:spacing w:val="-4"/>
          <w:sz w:val="24"/>
          <w:szCs w:val="24"/>
        </w:rPr>
      </w:pPr>
      <w:r>
        <w:rPr>
          <w:rFonts w:ascii="Times New Roman" w:hAnsi="Times New Roman"/>
          <w:noProof/>
          <w:spacing w:val="-4"/>
          <w:sz w:val="24"/>
        </w:rPr>
        <w:t xml:space="preserve">Както винаги, в настоящия доклад се посочва общият брой на официалните </w:t>
      </w:r>
      <w:r>
        <w:rPr>
          <w:rFonts w:ascii="Times New Roman" w:hAnsi="Times New Roman"/>
          <w:i/>
          <w:noProof/>
          <w:spacing w:val="-4"/>
          <w:sz w:val="24"/>
        </w:rPr>
        <w:t>становища</w:t>
      </w:r>
      <w:r>
        <w:rPr>
          <w:rFonts w:ascii="Times New Roman" w:hAnsi="Times New Roman"/>
          <w:noProof/>
          <w:spacing w:val="-4"/>
          <w:sz w:val="24"/>
        </w:rPr>
        <w:t xml:space="preserve">, дадени от комитетите, и на последвалите </w:t>
      </w:r>
      <w:r>
        <w:rPr>
          <w:rFonts w:ascii="Times New Roman" w:hAnsi="Times New Roman"/>
          <w:i/>
          <w:noProof/>
          <w:spacing w:val="-4"/>
          <w:sz w:val="24"/>
        </w:rPr>
        <w:t>актове</w:t>
      </w:r>
      <w:r>
        <w:rPr>
          <w:rFonts w:ascii="Times New Roman" w:hAnsi="Times New Roman"/>
          <w:noProof/>
          <w:spacing w:val="-4"/>
          <w:sz w:val="24"/>
        </w:rPr>
        <w:t>/</w:t>
      </w:r>
      <w:r>
        <w:rPr>
          <w:rFonts w:ascii="Times New Roman" w:hAnsi="Times New Roman"/>
          <w:i/>
          <w:noProof/>
          <w:spacing w:val="-4"/>
          <w:sz w:val="24"/>
        </w:rPr>
        <w:t>мерки за изпълнение</w:t>
      </w:r>
      <w:r>
        <w:rPr>
          <w:rFonts w:ascii="Times New Roman" w:hAnsi="Times New Roman"/>
          <w:noProof/>
          <w:spacing w:val="-4"/>
          <w:sz w:val="24"/>
        </w:rPr>
        <w:t>, приети от Комисията</w:t>
      </w:r>
      <w:r>
        <w:rPr>
          <w:rFonts w:ascii="Times New Roman" w:hAnsi="Times New Roman"/>
          <w:noProof/>
          <w:spacing w:val="-4"/>
          <w:sz w:val="24"/>
          <w:vertAlign w:val="superscript"/>
        </w:rPr>
        <w:footnoteReference w:id="15"/>
      </w:r>
      <w:r>
        <w:rPr>
          <w:rFonts w:ascii="Times New Roman" w:hAnsi="Times New Roman"/>
          <w:noProof/>
          <w:spacing w:val="-4"/>
          <w:sz w:val="24"/>
        </w:rPr>
        <w:t>. Чрез тези данни се измерват количествено осезаемите „резултати“ от работата на комитетите (вж. таблица IV). От общия брой на проектите на актове за изпълнение, изпратени до комитетите през 2016 г., ЕП е приел 12 резолюции въз основа на член 11 от Регламента за комитологията, а Съветът не е приел нито една такава резолюция.</w:t>
      </w:r>
    </w:p>
    <w:p>
      <w:pPr>
        <w:spacing w:line="240" w:lineRule="auto"/>
        <w:rPr>
          <w:rFonts w:ascii="Times New Roman" w:hAnsi="Times New Roman"/>
          <w:b/>
          <w:smallCaps/>
          <w:noProof/>
          <w:sz w:val="24"/>
          <w:szCs w:val="24"/>
          <w:u w:val="single"/>
        </w:rPr>
      </w:pPr>
      <w:r>
        <w:rPr>
          <w:rFonts w:ascii="Times New Roman" w:hAnsi="Times New Roman"/>
          <w:b/>
          <w:noProof/>
          <w:sz w:val="24"/>
          <w:u w:val="single"/>
        </w:rPr>
        <w:t>ТАБЛИЦА IV — Брой на становищата и на приетите актове/мерки за изпълнение</w:t>
      </w:r>
    </w:p>
    <w:tbl>
      <w:tblPr>
        <w:tblW w:w="5000" w:type="pct"/>
        <w:tblLook w:val="0000" w:firstRow="0" w:lastRow="0" w:firstColumn="0" w:lastColumn="0" w:noHBand="0" w:noVBand="0"/>
      </w:tblPr>
      <w:tblGrid>
        <w:gridCol w:w="948"/>
        <w:gridCol w:w="1390"/>
        <w:gridCol w:w="1391"/>
        <w:gridCol w:w="1391"/>
        <w:gridCol w:w="1393"/>
        <w:gridCol w:w="1389"/>
        <w:gridCol w:w="1386"/>
      </w:tblGrid>
      <w:tr>
        <w:trPr>
          <w:trHeight w:val="510"/>
        </w:trPr>
        <w:tc>
          <w:tcPr>
            <w:tcW w:w="510" w:type="pct"/>
            <w:tcBorders>
              <w:top w:val="single" w:sz="4" w:space="0" w:color="auto"/>
              <w:left w:val="single" w:sz="4" w:space="0" w:color="auto"/>
              <w:bottom w:val="single" w:sz="4" w:space="0" w:color="auto"/>
              <w:right w:val="single" w:sz="4" w:space="0" w:color="auto"/>
            </w:tcBorders>
            <w:shd w:val="clear" w:color="auto" w:fill="FFFF99"/>
            <w:noWrap/>
            <w:vAlign w:val="bottom"/>
          </w:tcPr>
          <w:bookmarkEnd w:id="2"/>
          <w:bookmarkEnd w:id="3"/>
          <w:bookmarkEnd w:id="4"/>
          <w:bookmarkEnd w:id="5"/>
          <w:bookmarkEnd w:id="6"/>
          <w:p>
            <w:pPr>
              <w:spacing w:after="0" w:line="240" w:lineRule="auto"/>
              <w:rPr>
                <w:rFonts w:ascii="Times New Roman" w:hAnsi="Times New Roman"/>
                <w:noProof/>
                <w:color w:val="000000"/>
                <w:sz w:val="18"/>
                <w:szCs w:val="18"/>
              </w:rPr>
            </w:pPr>
            <w:r>
              <w:rPr>
                <w:rFonts w:ascii="Times New Roman" w:hAnsi="Times New Roman"/>
                <w:noProof/>
                <w:color w:val="000000"/>
                <w:sz w:val="18"/>
              </w:rPr>
              <w:t> </w:t>
            </w:r>
          </w:p>
        </w:tc>
        <w:tc>
          <w:tcPr>
            <w:tcW w:w="1497"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Становища</w:t>
            </w:r>
            <w:r>
              <w:rPr>
                <w:rStyle w:val="FootnoteReference"/>
                <w:rFonts w:ascii="Times New Roman" w:hAnsi="Times New Roman"/>
                <w:b/>
                <w:noProof/>
                <w:color w:val="000000"/>
                <w:sz w:val="18"/>
              </w:rPr>
              <w:footnoteReference w:id="16"/>
            </w:r>
          </w:p>
        </w:tc>
        <w:tc>
          <w:tcPr>
            <w:tcW w:w="1499"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Приети актове</w:t>
            </w:r>
            <w:r>
              <w:rPr>
                <w:rFonts w:ascii="Times New Roman" w:hAnsi="Times New Roman"/>
                <w:b/>
                <w:noProof/>
                <w:color w:val="000000"/>
                <w:sz w:val="18"/>
                <w:szCs w:val="18"/>
              </w:rPr>
              <w:br/>
            </w:r>
            <w:r>
              <w:rPr>
                <w:rFonts w:ascii="Times New Roman" w:hAnsi="Times New Roman"/>
                <w:b/>
                <w:noProof/>
                <w:color w:val="000000"/>
                <w:sz w:val="18"/>
              </w:rPr>
              <w:t>за изпълнение</w:t>
            </w:r>
          </w:p>
        </w:tc>
        <w:tc>
          <w:tcPr>
            <w:tcW w:w="1494"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Приети</w:t>
            </w:r>
            <w:r>
              <w:rPr>
                <w:rFonts w:ascii="Times New Roman" w:hAnsi="Times New Roman"/>
                <w:b/>
                <w:noProof/>
                <w:color w:val="000000"/>
                <w:sz w:val="18"/>
                <w:szCs w:val="18"/>
              </w:rPr>
              <w:br/>
            </w:r>
            <w:r>
              <w:rPr>
                <w:rFonts w:ascii="Times New Roman" w:hAnsi="Times New Roman"/>
                <w:b/>
                <w:noProof/>
                <w:color w:val="000000"/>
                <w:sz w:val="18"/>
              </w:rPr>
              <w:t>мерки съгласно ПРК</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p>
        </w:tc>
        <w:tc>
          <w:tcPr>
            <w:tcW w:w="74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2016 г.</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2015 г.</w:t>
            </w:r>
          </w:p>
        </w:tc>
        <w:tc>
          <w:tcPr>
            <w:tcW w:w="749"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2016 г.</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2015 г.</w:t>
            </w:r>
          </w:p>
        </w:tc>
        <w:tc>
          <w:tcPr>
            <w:tcW w:w="74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2016 г.</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2015 г.</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110</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105</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57</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57</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55</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58</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38</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37</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28</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28</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84</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74</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45</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37</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76</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63</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61</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42</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65</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55</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64</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65</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65</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65</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OLAF</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2</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2</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270</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266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191</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223</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717</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736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632</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671</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55</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62</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82</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82</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67</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65</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75</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75</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58</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ОБЩО</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1 768</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1 743</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1 448</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1 506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116</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129</w:t>
            </w:r>
          </w:p>
        </w:tc>
      </w:tr>
    </w:tbl>
    <w:p>
      <w:pPr>
        <w:spacing w:line="240" w:lineRule="auto"/>
        <w:ind w:left="240" w:hanging="240"/>
        <w:jc w:val="both"/>
        <w:rPr>
          <w:rFonts w:ascii="Times New Roman" w:hAnsi="Times New Roman"/>
          <w:i/>
          <w:noProof/>
          <w:sz w:val="18"/>
          <w:szCs w:val="18"/>
        </w:rPr>
      </w:pPr>
      <w:r>
        <w:rPr>
          <w:rFonts w:ascii="Times New Roman" w:hAnsi="Times New Roman"/>
          <w:i/>
          <w:noProof/>
          <w:sz w:val="18"/>
        </w:rPr>
        <w:t>* Включително 11 становища, дадени от апелативния комитет, и 9 приети акта.</w:t>
      </w:r>
      <w:r>
        <w:rPr>
          <w:noProof/>
        </w:rPr>
        <w:tab/>
      </w:r>
      <w:r>
        <w:rPr>
          <w:rFonts w:ascii="Times New Roman" w:hAnsi="Times New Roman"/>
          <w:i/>
          <w:noProof/>
          <w:sz w:val="18"/>
          <w:szCs w:val="18"/>
        </w:rPr>
        <w:br/>
      </w:r>
    </w:p>
    <w:p>
      <w:pPr>
        <w:spacing w:line="240" w:lineRule="auto"/>
        <w:jc w:val="both"/>
        <w:rPr>
          <w:rFonts w:ascii="Times New Roman" w:hAnsi="Times New Roman"/>
          <w:b/>
          <w:noProof/>
          <w:sz w:val="24"/>
          <w:szCs w:val="24"/>
        </w:rPr>
      </w:pPr>
      <w:r>
        <w:rPr>
          <w:rFonts w:ascii="Times New Roman" w:hAnsi="Times New Roman"/>
          <w:b/>
          <w:noProof/>
          <w:sz w:val="24"/>
        </w:rPr>
        <w:t>2.3</w:t>
      </w:r>
      <w:r>
        <w:rPr>
          <w:noProof/>
        </w:rPr>
        <w:tab/>
      </w:r>
      <w:r>
        <w:rPr>
          <w:rFonts w:ascii="Times New Roman" w:hAnsi="Times New Roman"/>
          <w:b/>
          <w:noProof/>
          <w:sz w:val="24"/>
        </w:rPr>
        <w:t>Заседания на апелативния комитет</w:t>
      </w:r>
    </w:p>
    <w:p>
      <w:pPr>
        <w:spacing w:line="240" w:lineRule="auto"/>
        <w:jc w:val="both"/>
        <w:rPr>
          <w:rFonts w:ascii="Times New Roman" w:hAnsi="Times New Roman"/>
          <w:noProof/>
          <w:sz w:val="24"/>
          <w:szCs w:val="24"/>
        </w:rPr>
      </w:pPr>
      <w:r>
        <w:rPr>
          <w:rFonts w:ascii="Times New Roman" w:hAnsi="Times New Roman"/>
          <w:noProof/>
          <w:sz w:val="24"/>
        </w:rPr>
        <w:t>През 2016 г. апелативният комитет е заседавал 5 пъти и е разгледал 11 проекта на актове за изпълнение (в областите на здравеопазването и политиката за потребителите, мобилността и транспорта), за които е бил сезиран от Комисията. Апелативният комитет не е дал становище по 11 случая. Комисията реши да приеме 9 акта за изпълнение.</w:t>
      </w:r>
    </w:p>
    <w:p>
      <w:pPr>
        <w:spacing w:line="240" w:lineRule="auto"/>
        <w:jc w:val="both"/>
        <w:rPr>
          <w:rFonts w:ascii="Times New Roman" w:hAnsi="Times New Roman"/>
          <w:b/>
          <w:noProof/>
          <w:sz w:val="24"/>
          <w:szCs w:val="24"/>
        </w:rPr>
      </w:pPr>
      <w:r>
        <w:rPr>
          <w:rFonts w:ascii="Times New Roman" w:hAnsi="Times New Roman"/>
          <w:b/>
          <w:noProof/>
          <w:sz w:val="24"/>
        </w:rPr>
        <w:t>2.4</w:t>
      </w:r>
      <w:r>
        <w:rPr>
          <w:noProof/>
        </w:rPr>
        <w:tab/>
      </w:r>
      <w:r>
        <w:rPr>
          <w:rFonts w:ascii="Times New Roman" w:hAnsi="Times New Roman"/>
          <w:b/>
          <w:noProof/>
          <w:sz w:val="24"/>
        </w:rPr>
        <w:t>Използване на процедурата по регулиране с контрол (ПРК)</w:t>
      </w:r>
    </w:p>
    <w:p>
      <w:pPr>
        <w:spacing w:line="240" w:lineRule="auto"/>
        <w:jc w:val="both"/>
        <w:rPr>
          <w:rFonts w:ascii="Times New Roman" w:hAnsi="Times New Roman"/>
          <w:noProof/>
          <w:sz w:val="24"/>
          <w:szCs w:val="24"/>
        </w:rPr>
      </w:pPr>
      <w:r>
        <w:rPr>
          <w:rFonts w:ascii="Times New Roman" w:hAnsi="Times New Roman"/>
          <w:noProof/>
          <w:sz w:val="24"/>
        </w:rPr>
        <w:t>Както бе посочено в раздел 1, ПРК не беше засегната от реформата в областта на комитологията от 2011 г. Тази процедура не може повече да се използва в ново законодателство, но все още се среща в множество съществуващи основни актове и ще продължи да се прилага по силата на тези актове до привеждането им в съответствие. През 2016 г. съгласно ПРК бяха приети 108 мерки (вж. таблица V). Правото на възражение е било упражнено веднъж от страна на Европейския парламент. За сравнение, през 2015 г. това право не е било упражнено.</w:t>
      </w:r>
    </w:p>
    <w:p>
      <w:pPr>
        <w:spacing w:line="240" w:lineRule="auto"/>
        <w:rPr>
          <w:rFonts w:ascii="Times New Roman" w:hAnsi="Times New Roman"/>
          <w:b/>
          <w:smallCaps/>
          <w:noProof/>
          <w:sz w:val="24"/>
          <w:szCs w:val="24"/>
          <w:u w:val="single"/>
        </w:rPr>
      </w:pPr>
      <w:r>
        <w:rPr>
          <w:rFonts w:ascii="Times New Roman" w:hAnsi="Times New Roman"/>
          <w:b/>
          <w:noProof/>
          <w:sz w:val="24"/>
          <w:u w:val="single"/>
        </w:rPr>
        <w:t>ТАБЛИЦА V — Брой на мерките, приети съгласно процедурата по регулиране с контрол (ПРК)</w:t>
      </w:r>
    </w:p>
    <w:tbl>
      <w:tblPr>
        <w:tblW w:w="5000" w:type="pct"/>
        <w:tblLook w:val="0000" w:firstRow="0" w:lastRow="0" w:firstColumn="0" w:lastColumn="0" w:noHBand="0" w:noVBand="0"/>
      </w:tblPr>
      <w:tblGrid>
        <w:gridCol w:w="1715"/>
        <w:gridCol w:w="2524"/>
        <w:gridCol w:w="2526"/>
        <w:gridCol w:w="2523"/>
      </w:tblGrid>
      <w:tr>
        <w:trPr>
          <w:trHeight w:val="597"/>
        </w:trPr>
        <w:tc>
          <w:tcPr>
            <w:tcW w:w="923"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 </w:t>
            </w:r>
          </w:p>
        </w:tc>
        <w:tc>
          <w:tcPr>
            <w:tcW w:w="1359"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Приети</w:t>
            </w:r>
            <w:r>
              <w:rPr>
                <w:rFonts w:ascii="Times New Roman" w:hAnsi="Times New Roman"/>
                <w:b/>
                <w:noProof/>
                <w:color w:val="000000"/>
                <w:sz w:val="18"/>
                <w:szCs w:val="18"/>
              </w:rPr>
              <w:br/>
            </w:r>
            <w:r>
              <w:rPr>
                <w:rFonts w:ascii="Times New Roman" w:hAnsi="Times New Roman"/>
                <w:b/>
                <w:noProof/>
                <w:color w:val="000000"/>
                <w:sz w:val="18"/>
              </w:rPr>
              <w:t>мерки съгласно ПРК</w:t>
            </w:r>
          </w:p>
        </w:tc>
        <w:tc>
          <w:tcPr>
            <w:tcW w:w="1360"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Възражение от страна на ЕП на приемането на проекти на мерки по реда на ПРК</w:t>
            </w:r>
          </w:p>
        </w:tc>
        <w:tc>
          <w:tcPr>
            <w:tcW w:w="1359"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Възражение от страна на Съвета на приемането на проекти на мерки по реда на ПРК</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OLAF</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47</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TOTAL</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108</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0</w:t>
            </w:r>
          </w:p>
        </w:tc>
      </w:tr>
    </w:tbl>
    <w:p>
      <w:pPr>
        <w:spacing w:line="240" w:lineRule="auto"/>
        <w:jc w:val="both"/>
        <w:rPr>
          <w:rFonts w:ascii="Times New Roman" w:hAnsi="Times New Roman"/>
          <w:b/>
          <w:noProof/>
          <w:sz w:val="24"/>
          <w:szCs w:val="24"/>
        </w:rPr>
      </w:pPr>
      <w:r>
        <w:rPr>
          <w:rFonts w:ascii="Times New Roman" w:hAnsi="Times New Roman"/>
          <w:b/>
          <w:noProof/>
          <w:sz w:val="24"/>
          <w:szCs w:val="24"/>
        </w:rPr>
        <w:br/>
      </w:r>
    </w:p>
    <w:p>
      <w:pPr>
        <w:spacing w:line="240" w:lineRule="auto"/>
        <w:jc w:val="both"/>
        <w:rPr>
          <w:rFonts w:ascii="Times New Roman" w:hAnsi="Times New Roman"/>
          <w:b/>
          <w:noProof/>
          <w:sz w:val="24"/>
          <w:szCs w:val="24"/>
        </w:rPr>
      </w:pPr>
      <w:r>
        <w:rPr>
          <w:rFonts w:ascii="Times New Roman" w:hAnsi="Times New Roman"/>
          <w:b/>
          <w:noProof/>
          <w:sz w:val="24"/>
        </w:rPr>
        <w:t>3.</w:t>
      </w:r>
      <w:r>
        <w:rPr>
          <w:noProof/>
        </w:rPr>
        <w:tab/>
      </w:r>
      <w:r>
        <w:rPr>
          <w:rFonts w:ascii="Times New Roman" w:hAnsi="Times New Roman"/>
          <w:b/>
          <w:noProof/>
          <w:sz w:val="24"/>
        </w:rPr>
        <w:t>Подробна информация за дейностите на комитетите</w:t>
      </w:r>
    </w:p>
    <w:p>
      <w:pPr>
        <w:spacing w:line="240" w:lineRule="auto"/>
        <w:jc w:val="both"/>
        <w:rPr>
          <w:rFonts w:ascii="Times New Roman" w:hAnsi="Times New Roman"/>
          <w:noProof/>
          <w:sz w:val="24"/>
          <w:szCs w:val="24"/>
        </w:rPr>
      </w:pPr>
      <w:r>
        <w:rPr>
          <w:rFonts w:ascii="Times New Roman" w:hAnsi="Times New Roman"/>
          <w:noProof/>
          <w:sz w:val="24"/>
        </w:rPr>
        <w:t>В работния документ, придружаващ настоящия доклад, е представена подробна информация за работата на отделните комитети през 2016 г., която включва разбивка въз основа на съответните заинтересовани дирекции на Комисията.</w:t>
      </w:r>
      <w:bookmarkStart w:id="8" w:name="_CopyToNewDocument_"/>
      <w:bookmarkEnd w:id="8"/>
    </w:p>
    <w:p>
      <w:pPr>
        <w:spacing w:line="240" w:lineRule="auto"/>
        <w:jc w:val="both"/>
        <w:rPr>
          <w:rFonts w:ascii="Times New Roman" w:hAnsi="Times New Roman"/>
          <w:noProof/>
          <w:sz w:val="24"/>
          <w:szCs w:val="24"/>
        </w:rPr>
      </w:pPr>
    </w:p>
    <w:p>
      <w:pPr>
        <w:pStyle w:val="Text1"/>
        <w:ind w:left="0"/>
        <w:rPr>
          <w:b/>
          <w:smallCaps/>
          <w:noProof/>
        </w:rPr>
      </w:pPr>
      <w:r>
        <w:rPr>
          <w:b/>
          <w:noProof/>
        </w:rPr>
        <w:t>3.</w:t>
      </w:r>
      <w:r>
        <w:rPr>
          <w:noProof/>
        </w:rPr>
        <w:tab/>
      </w:r>
      <w:r>
        <w:rPr>
          <w:b/>
          <w:smallCaps/>
          <w:noProof/>
        </w:rPr>
        <w:t>Заключение</w:t>
      </w:r>
    </w:p>
    <w:p>
      <w:pPr>
        <w:rPr>
          <w:rFonts w:ascii="Times New Roman" w:hAnsi="Times New Roman"/>
          <w:noProof/>
          <w:sz w:val="24"/>
          <w:szCs w:val="24"/>
        </w:rPr>
      </w:pPr>
      <w:r>
        <w:rPr>
          <w:rFonts w:ascii="Times New Roman" w:hAnsi="Times New Roman"/>
          <w:noProof/>
          <w:sz w:val="24"/>
        </w:rPr>
        <w:t xml:space="preserve">Европейският парламент и Съветът се приканват да вземат под внимание настоящия доклад. </w:t>
      </w:r>
    </w:p>
    <w:p>
      <w:pPr>
        <w:spacing w:line="240" w:lineRule="auto"/>
        <w:jc w:val="both"/>
        <w:rPr>
          <w:rFonts w:ascii="Times New Roman" w:hAnsi="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r>
      <w:r>
        <w:rPr>
          <w:rStyle w:val="Strong"/>
          <w:b w:val="0"/>
        </w:rPr>
        <w:t>Регламент (ЕС)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стр.13).</w:t>
      </w:r>
    </w:p>
  </w:footnote>
  <w:footnote w:id="2">
    <w:p>
      <w:pPr>
        <w:pStyle w:val="FootnoteText"/>
      </w:pPr>
      <w:r>
        <w:rPr>
          <w:rStyle w:val="FootnoteReference"/>
        </w:rPr>
        <w:footnoteRef/>
      </w:r>
      <w:r>
        <w:tab/>
        <w:t>Доклад на Комисията за работата на комитетите през 2013 година, COM(2014) 572 final.</w:t>
      </w:r>
    </w:p>
  </w:footnote>
  <w:footnote w:id="3">
    <w:p>
      <w:pPr>
        <w:pStyle w:val="FootnoteText"/>
      </w:pPr>
      <w:r>
        <w:rPr>
          <w:rStyle w:val="FootnoteReference"/>
        </w:rPr>
        <w:footnoteRef/>
      </w:r>
      <w:r>
        <w:tab/>
        <w:t>Решение 1999/468/ЕО на Съвета от 28 юни 1999 г. (ОВ L 184, 17.7.1999 г., стр. 23), изменено с Решение 2006/512/ЕО на Съвета (ОВ C 255, 21.10.2006 г., стр. 4).</w:t>
      </w:r>
    </w:p>
  </w:footnote>
  <w:footnote w:id="4">
    <w:p>
      <w:pPr>
        <w:pStyle w:val="FootnoteText"/>
      </w:pPr>
      <w:r>
        <w:rPr>
          <w:rStyle w:val="FootnoteReference"/>
        </w:rPr>
        <w:footnoteRef/>
      </w:r>
      <w:r>
        <w:t xml:space="preserve">  </w:t>
      </w:r>
      <w:r>
        <w:tab/>
        <w:t>http://eur-lex.europa.eu/legal-content/BG/TXT/PDF/?uri=CELEX:32016Q0512(01)&amp;qid=1507541229481&amp;from=BG</w:t>
      </w:r>
    </w:p>
  </w:footnote>
  <w:footnote w:id="5">
    <w:p>
      <w:pPr>
        <w:pStyle w:val="FootnoteText"/>
        <w:ind w:left="709" w:hanging="709"/>
      </w:pPr>
      <w:r>
        <w:rPr>
          <w:rStyle w:val="FootnoteReference"/>
        </w:rPr>
        <w:footnoteRef/>
      </w:r>
      <w:r>
        <w:tab/>
        <w:t>Предложение за Регламент на Европейския парламент и на Съвета за адаптиране на редица правни актове, предвиждащи използване на процедурата по регулиране с контрол, към членове 290 и 291 от Договора за функционирането на Европейския съюз (COM(2016) 799).</w:t>
      </w:r>
    </w:p>
  </w:footnote>
  <w:footnote w:id="6">
    <w:p>
      <w:pPr>
        <w:pStyle w:val="FootnoteText"/>
        <w:rPr>
          <w:spacing w:val="-6"/>
        </w:rPr>
      </w:pPr>
      <w:r>
        <w:rPr>
          <w:rStyle w:val="FootnoteReference"/>
          <w:spacing w:val="-6"/>
        </w:rPr>
        <w:footnoteRef/>
      </w:r>
      <w:r>
        <w:rPr>
          <w:spacing w:val="-6"/>
        </w:rPr>
        <w:tab/>
        <w:t>Предложение за Регламент на Европейския парламент и на Съвета за адаптиране на редица правни актове в областта на правосъдието, предвиждащи използване на процедурата по регулиране с контрол, към член 290 от Договора за функционирането на Европейския съюз (COM(2016) 798).</w:t>
      </w:r>
    </w:p>
  </w:footnote>
  <w:footnote w:id="7">
    <w:p>
      <w:pPr>
        <w:pStyle w:val="FootnoteText"/>
      </w:pPr>
      <w:r>
        <w:rPr>
          <w:rStyle w:val="FootnoteReference"/>
        </w:rPr>
        <w:footnoteRef/>
      </w:r>
      <w:r>
        <w:tab/>
        <w:t>Доклад на Комисията до Европейския парламент и Съвета относно прилагането на Регламент (ЕС) № 182/2011 (COM(2016) 92).</w:t>
      </w:r>
    </w:p>
  </w:footnote>
  <w:footnote w:id="8">
    <w:p>
      <w:pPr>
        <w:pStyle w:val="FootnoteText"/>
      </w:pPr>
      <w:r>
        <w:rPr>
          <w:rStyle w:val="FootnoteReference"/>
        </w:rPr>
        <w:footnoteRef/>
      </w:r>
      <w:r>
        <w:tab/>
        <w:t xml:space="preserve">Реч за състоянието на Съюза, 2016 г.: </w:t>
      </w:r>
      <w:hyperlink r:id="rId1">
        <w:r>
          <w:rPr>
            <w:rStyle w:val="Hyperlink"/>
          </w:rPr>
          <w:t>https://ec.europa.eu/priorities/state-union-2016_bg</w:t>
        </w:r>
      </w:hyperlink>
      <w:r>
        <w:rPr>
          <w:rStyle w:val="Hyperlink"/>
          <w:u w:val="none"/>
        </w:rPr>
        <w:t>.</w:t>
      </w:r>
    </w:p>
  </w:footnote>
  <w:footnote w:id="9">
    <w:p>
      <w:pPr>
        <w:pStyle w:val="FootnoteText"/>
      </w:pPr>
      <w:r>
        <w:rPr>
          <w:rStyle w:val="FootnoteReference"/>
        </w:rPr>
        <w:footnoteRef/>
      </w:r>
      <w:r>
        <w:t xml:space="preserve"> </w:t>
      </w:r>
      <w:r>
        <w:tab/>
      </w:r>
      <w:hyperlink r:id="rId2">
        <w:r>
          <w:rPr>
            <w:rStyle w:val="Hyperlink"/>
          </w:rPr>
          <w:t>https://ec.europa.eu/info/law/better-regulation/have-your-say_bg</w:t>
        </w:r>
      </w:hyperlink>
    </w:p>
  </w:footnote>
  <w:footnote w:id="10">
    <w:p>
      <w:pPr>
        <w:pStyle w:val="FootnoteText"/>
      </w:pPr>
      <w:r>
        <w:rPr>
          <w:rStyle w:val="FootnoteReference"/>
        </w:rPr>
        <w:footnoteRef/>
      </w:r>
      <w:r>
        <w:t xml:space="preserve"> </w:t>
      </w:r>
      <w:r>
        <w:tab/>
        <w:t>Съобщение „По-добро регулиране за постигането на по-добри резултати — Програма на ЕС“, COM(2015) 215 final.</w:t>
      </w:r>
    </w:p>
  </w:footnote>
  <w:footnote w:id="11">
    <w:p>
      <w:pPr>
        <w:pStyle w:val="FootnoteText"/>
      </w:pPr>
      <w:r>
        <w:rPr>
          <w:rStyle w:val="FootnoteReference"/>
        </w:rPr>
        <w:footnoteRef/>
      </w:r>
      <w:r>
        <w:t xml:space="preserve"> </w:t>
      </w:r>
      <w:r>
        <w:tab/>
      </w:r>
      <w:hyperlink r:id="rId3">
        <w:r>
          <w:rPr>
            <w:rStyle w:val="Hyperlink"/>
          </w:rPr>
          <w:t>http://ec.europa.eu/transparency/regcomitology/index.cfm?CLX=bg</w:t>
        </w:r>
      </w:hyperlink>
    </w:p>
  </w:footnote>
  <w:footnote w:id="12">
    <w:p>
      <w:pPr>
        <w:pStyle w:val="FootnoteText"/>
        <w:rPr>
          <w:lang w:val="en-GB"/>
        </w:rPr>
      </w:pPr>
      <w:r>
        <w:rPr>
          <w:rStyle w:val="FootnoteReference"/>
        </w:rPr>
        <w:footnoteRef/>
      </w:r>
      <w:r>
        <w:t xml:space="preserve"> </w:t>
      </w:r>
      <w:r>
        <w:tab/>
      </w:r>
      <w:hyperlink r:id="rId4">
        <w:r>
          <w:rPr>
            <w:rStyle w:val="Hyperlink"/>
          </w:rPr>
          <w:t>C-440/14 P</w:t>
        </w:r>
      </w:hyperlink>
      <w:r>
        <w:t xml:space="preserve"> — National Iranian Oil Company/Съвет</w:t>
      </w:r>
      <w:r>
        <w:rPr>
          <w:lang w:val="en-GB"/>
        </w:rPr>
        <w:t>.</w:t>
      </w:r>
    </w:p>
  </w:footnote>
  <w:footnote w:id="13">
    <w:p>
      <w:pPr>
        <w:pStyle w:val="FootnoteText"/>
      </w:pPr>
      <w:r>
        <w:rPr>
          <w:rStyle w:val="FootnoteReference"/>
        </w:rPr>
        <w:footnoteRef/>
      </w:r>
      <w:r>
        <w:tab/>
        <w:t xml:space="preserve">За повече подробности: </w:t>
      </w:r>
      <w:hyperlink r:id="rId5">
        <w:r>
          <w:rPr>
            <w:rStyle w:val="Hyperlink"/>
          </w:rPr>
          <w:t>http://ec.europa.eu/transparency/regexpert/index.cfm?Lang=BG</w:t>
        </w:r>
      </w:hyperlink>
      <w:r>
        <w:t xml:space="preserve">. </w:t>
      </w:r>
    </w:p>
  </w:footnote>
  <w:footnote w:id="14">
    <w:p>
      <w:pPr>
        <w:pStyle w:val="FootnoteText"/>
      </w:pPr>
      <w:r>
        <w:rPr>
          <w:rStyle w:val="FootnoteReference"/>
        </w:rPr>
        <w:footnoteRef/>
      </w:r>
      <w:r>
        <w:tab/>
        <w:t>Гласуването в рамките на комитета може да стане на негово редовно заседание или, в надлежно обосновани случаи, по реда на писмена процедура, в съответствие с член 3, параграф 5 от Регламента относно комитологията.</w:t>
      </w:r>
    </w:p>
  </w:footnote>
  <w:footnote w:id="15">
    <w:p>
      <w:pPr>
        <w:pStyle w:val="FootnoteText"/>
      </w:pPr>
      <w:r>
        <w:rPr>
          <w:rStyle w:val="FootnoteReference"/>
        </w:rPr>
        <w:footnoteRef/>
      </w:r>
      <w:r>
        <w:tab/>
        <w:t>Следва да се отбележи, че е възможно да има несъответствия между броя на становищата и този на актовете/мерките за изпълнение през дадена година. Причините за това са обяснени във въведението на придружаващия доклада работен документ на службите на Комисията.</w:t>
      </w:r>
    </w:p>
  </w:footnote>
  <w:footnote w:id="16">
    <w:p>
      <w:pPr>
        <w:pStyle w:val="FootnoteText"/>
      </w:pPr>
      <w:r>
        <w:rPr>
          <w:rStyle w:val="FootnoteReference"/>
        </w:rPr>
        <w:footnoteRef/>
      </w:r>
      <w:r>
        <w:t xml:space="preserve"> </w:t>
      </w:r>
      <w:r>
        <w:tab/>
      </w:r>
      <w:r>
        <w:rPr>
          <w:color w:val="000000"/>
        </w:rPr>
        <w:t>В общия брой на становищата са включените и гласовете „без мнение“.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E43525"/>
    <w:multiLevelType w:val="multilevel"/>
    <w:tmpl w:val="76202BFE"/>
    <w:lvl w:ilvl="0">
      <w:start w:val="1"/>
      <w:numFmt w:val="decimal"/>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DD5905"/>
    <w:multiLevelType w:val="singleLevel"/>
    <w:tmpl w:val="6CB4B73E"/>
    <w:lvl w:ilvl="0">
      <w:start w:val="1"/>
      <w:numFmt w:val="bullet"/>
      <w:pStyle w:val="ListBullet2"/>
      <w:lvlText w:val=""/>
      <w:lvlJc w:val="left"/>
      <w:pPr>
        <w:tabs>
          <w:tab w:val="num" w:pos="1134"/>
        </w:tabs>
        <w:ind w:left="1134" w:hanging="283"/>
      </w:pPr>
      <w:rPr>
        <w:rFonts w:ascii="Symbol" w:hAnsi="Symbol" w:hint="default"/>
      </w:rPr>
    </w:lvl>
  </w:abstractNum>
  <w:abstractNum w:abstractNumId="3">
    <w:nsid w:val="24E930D7"/>
    <w:multiLevelType w:val="multilevel"/>
    <w:tmpl w:val="EFD2E05E"/>
    <w:lvl w:ilvl="0">
      <w:start w:val="1"/>
      <w:numFmt w:val="decimal"/>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5">
    <w:nsid w:val="3A5459E8"/>
    <w:multiLevelType w:val="singleLevel"/>
    <w:tmpl w:val="2188C922"/>
    <w:lvl w:ilvl="0">
      <w:start w:val="1"/>
      <w:numFmt w:val="bullet"/>
      <w:pStyle w:val="Tiret1"/>
      <w:lvlText w:val="–"/>
      <w:lvlJc w:val="left"/>
      <w:pPr>
        <w:tabs>
          <w:tab w:val="num" w:pos="1417"/>
        </w:tabs>
        <w:ind w:left="1417" w:hanging="567"/>
      </w:pPr>
    </w:lvl>
  </w:abstractNum>
  <w:abstractNum w:abstractNumId="6">
    <w:nsid w:val="3BA736C9"/>
    <w:multiLevelType w:val="singleLevel"/>
    <w:tmpl w:val="F00A6C0C"/>
    <w:lvl w:ilvl="0">
      <w:start w:val="1"/>
      <w:numFmt w:val="bullet"/>
      <w:pStyle w:val="Tiret0"/>
      <w:lvlText w:val="–"/>
      <w:lvlJc w:val="left"/>
      <w:pPr>
        <w:tabs>
          <w:tab w:val="num" w:pos="850"/>
        </w:tabs>
        <w:ind w:left="850" w:hanging="850"/>
      </w:pPr>
    </w:lvl>
  </w:abstractNum>
  <w:abstractNum w:abstractNumId="7">
    <w:nsid w:val="3C90278F"/>
    <w:multiLevelType w:val="singleLevel"/>
    <w:tmpl w:val="0FE08974"/>
    <w:name w:val="Tiret 1"/>
    <w:lvl w:ilvl="0">
      <w:start w:val="1"/>
      <w:numFmt w:val="bullet"/>
      <w:pStyle w:val="Tiret3"/>
      <w:lvlText w:val="–"/>
      <w:lvlJc w:val="left"/>
      <w:pPr>
        <w:tabs>
          <w:tab w:val="num" w:pos="2551"/>
        </w:tabs>
        <w:ind w:left="2551" w:hanging="567"/>
      </w:pPr>
    </w:lvl>
  </w:abstractNum>
  <w:abstractNum w:abstractNumId="8">
    <w:nsid w:val="3E191884"/>
    <w:multiLevelType w:val="singleLevel"/>
    <w:tmpl w:val="3020C764"/>
    <w:lvl w:ilvl="0">
      <w:start w:val="1"/>
      <w:numFmt w:val="bullet"/>
      <w:pStyle w:val="ListBullet3"/>
      <w:lvlText w:val=""/>
      <w:lvlJc w:val="left"/>
      <w:pPr>
        <w:tabs>
          <w:tab w:val="num" w:pos="1134"/>
        </w:tabs>
        <w:ind w:left="1134" w:hanging="283"/>
      </w:pPr>
      <w:rPr>
        <w:rFonts w:ascii="Symbol" w:hAnsi="Symbol" w:hint="default"/>
      </w:rPr>
    </w:lvl>
  </w:abstractNum>
  <w:abstractNum w:abstractNumId="9">
    <w:nsid w:val="40315490"/>
    <w:multiLevelType w:val="singleLevel"/>
    <w:tmpl w:val="1F86C700"/>
    <w:name w:val="7,134676E-02"/>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0">
    <w:nsid w:val="48842C30"/>
    <w:multiLevelType w:val="singleLevel"/>
    <w:tmpl w:val="4FA60B90"/>
    <w:name w:val="List Dash"/>
    <w:lvl w:ilvl="0">
      <w:start w:val="1"/>
      <w:numFmt w:val="bullet"/>
      <w:pStyle w:val="Bullet4"/>
      <w:lvlText w:val=""/>
      <w:lvlJc w:val="left"/>
      <w:pPr>
        <w:tabs>
          <w:tab w:val="num" w:pos="3118"/>
        </w:tabs>
        <w:ind w:left="3118" w:hanging="567"/>
      </w:pPr>
      <w:rPr>
        <w:rFonts w:ascii="Symbol" w:hAnsi="Symbol" w:hint="default"/>
      </w:rPr>
    </w:lvl>
  </w:abstractNum>
  <w:abstractNum w:abstractNumId="11">
    <w:nsid w:val="54593082"/>
    <w:multiLevelType w:val="singleLevel"/>
    <w:tmpl w:val="EDE069AC"/>
    <w:name w:val="Tiret 0"/>
    <w:lvl w:ilvl="0">
      <w:start w:val="1"/>
      <w:numFmt w:val="bullet"/>
      <w:pStyle w:val="Bullet0"/>
      <w:lvlText w:val=""/>
      <w:lvlJc w:val="left"/>
      <w:pPr>
        <w:tabs>
          <w:tab w:val="num" w:pos="850"/>
        </w:tabs>
        <w:ind w:left="850" w:hanging="850"/>
      </w:pPr>
      <w:rPr>
        <w:rFonts w:ascii="Symbol" w:hAnsi="Symbol" w:hint="default"/>
      </w:rPr>
    </w:lvl>
  </w:abstractNum>
  <w:abstractNum w:abstractNumId="12">
    <w:nsid w:val="568864DC"/>
    <w:multiLevelType w:val="singleLevel"/>
    <w:tmpl w:val="485EBDAC"/>
    <w:name w:val="Tiret 3"/>
    <w:lvl w:ilvl="0">
      <w:start w:val="1"/>
      <w:numFmt w:val="bullet"/>
      <w:pStyle w:val="Tiret4"/>
      <w:lvlText w:val="–"/>
      <w:lvlJc w:val="left"/>
      <w:pPr>
        <w:tabs>
          <w:tab w:val="num" w:pos="3118"/>
        </w:tabs>
        <w:ind w:left="3118" w:hanging="567"/>
      </w:pPr>
    </w:lvl>
  </w:abstractNum>
  <w:abstractNum w:abstractNumId="13">
    <w:nsid w:val="596D67A1"/>
    <w:multiLevelType w:val="singleLevel"/>
    <w:tmpl w:val="9AC8831A"/>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14">
    <w:nsid w:val="5F342530"/>
    <w:multiLevelType w:val="singleLevel"/>
    <w:tmpl w:val="D5444702"/>
    <w:name w:val="List Dash 2"/>
    <w:lvl w:ilvl="0">
      <w:start w:val="1"/>
      <w:numFmt w:val="bullet"/>
      <w:pStyle w:val="Bullet3"/>
      <w:lvlText w:val=""/>
      <w:lvlJc w:val="left"/>
      <w:pPr>
        <w:tabs>
          <w:tab w:val="num" w:pos="2551"/>
        </w:tabs>
        <w:ind w:left="2551" w:hanging="567"/>
      </w:pPr>
      <w:rPr>
        <w:rFonts w:ascii="Symbol" w:hAnsi="Symbol" w:hint="default"/>
      </w:rPr>
    </w:lvl>
  </w:abstractNum>
  <w:abstractNum w:abstractNumId="15">
    <w:nsid w:val="5F8C3B69"/>
    <w:multiLevelType w:val="multilevel"/>
    <w:tmpl w:val="9B14DAA8"/>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F9C40AA"/>
    <w:multiLevelType w:val="singleLevel"/>
    <w:tmpl w:val="B89CB5A2"/>
    <w:lvl w:ilvl="0">
      <w:start w:val="1"/>
      <w:numFmt w:val="bullet"/>
      <w:pStyle w:val="Bullet2"/>
      <w:lvlText w:val=""/>
      <w:lvlJc w:val="left"/>
      <w:pPr>
        <w:tabs>
          <w:tab w:val="num" w:pos="1984"/>
        </w:tabs>
        <w:ind w:left="1984" w:hanging="567"/>
      </w:pPr>
      <w:rPr>
        <w:rFonts w:ascii="Symbol" w:hAnsi="Symbol" w:hint="default"/>
      </w:rPr>
    </w:lvl>
  </w:abstractNum>
  <w:abstractNum w:abstractNumId="17">
    <w:nsid w:val="62970F71"/>
    <w:multiLevelType w:val="singleLevel"/>
    <w:tmpl w:val="5AFA8C72"/>
    <w:name w:val="Bullet 4"/>
    <w:lvl w:ilvl="0">
      <w:start w:val="1"/>
      <w:numFmt w:val="bullet"/>
      <w:pStyle w:val="Tiret2"/>
      <w:lvlText w:val="–"/>
      <w:lvlJc w:val="left"/>
      <w:pPr>
        <w:tabs>
          <w:tab w:val="num" w:pos="1984"/>
        </w:tabs>
        <w:ind w:left="1984" w:hanging="567"/>
      </w:pPr>
    </w:lvl>
  </w:abstractNum>
  <w:abstractNum w:abstractNumId="18">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19">
    <w:nsid w:val="69995580"/>
    <w:multiLevelType w:val="singleLevel"/>
    <w:tmpl w:val="75CC7CBA"/>
    <w:lvl w:ilvl="0">
      <w:start w:val="1"/>
      <w:numFmt w:val="decimal"/>
      <w:pStyle w:val="Considrant"/>
      <w:lvlText w:val="(%1)"/>
      <w:lvlJc w:val="left"/>
      <w:pPr>
        <w:tabs>
          <w:tab w:val="num" w:pos="709"/>
        </w:tabs>
        <w:ind w:left="709" w:hanging="709"/>
      </w:pPr>
    </w:lvl>
  </w:abstractNum>
  <w:abstractNum w:abstractNumId="20">
    <w:nsid w:val="6A6901C1"/>
    <w:multiLevelType w:val="singleLevel"/>
    <w:tmpl w:val="208841AE"/>
    <w:lvl w:ilvl="0">
      <w:start w:val="1"/>
      <w:numFmt w:val="bullet"/>
      <w:pStyle w:val="ListBullet1"/>
      <w:lvlText w:val=""/>
      <w:lvlJc w:val="left"/>
      <w:pPr>
        <w:tabs>
          <w:tab w:val="num" w:pos="1134"/>
        </w:tabs>
        <w:ind w:left="1134" w:hanging="283"/>
      </w:pPr>
      <w:rPr>
        <w:rFonts w:ascii="Symbol" w:hAnsi="Symbol" w:hint="default"/>
      </w:rPr>
    </w:lvl>
  </w:abstractNum>
  <w:abstractNum w:abstractNumId="21">
    <w:nsid w:val="6D2B5511"/>
    <w:multiLevelType w:val="singleLevel"/>
    <w:tmpl w:val="74A09970"/>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711167E2"/>
    <w:multiLevelType w:val="multilevel"/>
    <w:tmpl w:val="C3843A7A"/>
    <w:name w:val="List Dash 1"/>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5C26F71"/>
    <w:multiLevelType w:val="multilevel"/>
    <w:tmpl w:val="E01E7708"/>
    <w:name w:val="Bullet 0"/>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8A241BD"/>
    <w:multiLevelType w:val="singleLevel"/>
    <w:tmpl w:val="53C4DF32"/>
    <w:lvl w:ilvl="0">
      <w:start w:val="1"/>
      <w:numFmt w:val="bullet"/>
      <w:pStyle w:val="ListDash3"/>
      <w:lvlText w:val="–"/>
      <w:lvlJc w:val="left"/>
      <w:pPr>
        <w:tabs>
          <w:tab w:val="num" w:pos="1134"/>
        </w:tabs>
        <w:ind w:left="1134" w:hanging="283"/>
      </w:pPr>
      <w:rPr>
        <w:rFonts w:ascii="Times New Roman" w:hAnsi="Times New Roman" w:cs="Times New Roman"/>
      </w:rPr>
    </w:lvl>
  </w:abstractNum>
  <w:abstractNum w:abstractNumId="25">
    <w:nsid w:val="79C96D36"/>
    <w:multiLevelType w:val="multilevel"/>
    <w:tmpl w:val="BE983CE4"/>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BE95D7F"/>
    <w:multiLevelType w:val="multilevel"/>
    <w:tmpl w:val="F126F780"/>
    <w:name w:val="List Bulle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7">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28">
    <w:nsid w:val="7F7154E1"/>
    <w:multiLevelType w:val="singleLevel"/>
    <w:tmpl w:val="E3F6D2C6"/>
    <w:lvl w:ilvl="0">
      <w:start w:val="1"/>
      <w:numFmt w:val="bullet"/>
      <w:pStyle w:val="ListBullet4"/>
      <w:lvlText w:val=""/>
      <w:lvlJc w:val="left"/>
      <w:pPr>
        <w:tabs>
          <w:tab w:val="num" w:pos="1134"/>
        </w:tabs>
        <w:ind w:left="1134" w:hanging="283"/>
      </w:pPr>
      <w:rPr>
        <w:rFonts w:ascii="Symbol" w:hAnsi="Symbol"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28"/>
  </w:num>
  <w:num w:numId="7">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17"/>
  </w:num>
  <w:num w:numId="13">
    <w:abstractNumId w:val="7"/>
  </w:num>
  <w:num w:numId="14">
    <w:abstractNumId w:val="1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16"/>
  </w:num>
  <w:num w:numId="20">
    <w:abstractNumId w:val="14"/>
  </w:num>
  <w:num w:numId="21">
    <w:abstractNumId w:val="10"/>
  </w:num>
  <w:num w:numId="22">
    <w:abstractNumId w:val="19"/>
    <w:lvlOverride w:ilvl="0">
      <w:startOverride w:val="1"/>
    </w:lvlOverride>
  </w:num>
  <w:num w:numId="23">
    <w:abstractNumId w:val="20"/>
  </w:num>
  <w:num w:numId="24">
    <w:abstractNumId w:val="9"/>
  </w:num>
  <w:num w:numId="25">
    <w:abstractNumId w:val="18"/>
  </w:num>
  <w:num w:numId="26">
    <w:abstractNumId w:val="13"/>
  </w:num>
  <w:num w:numId="27">
    <w:abstractNumId w:val="24"/>
  </w:num>
  <w:num w:numId="28">
    <w:abstractNumId w:val="27"/>
  </w:num>
  <w:num w:numId="29">
    <w:abstractNumId w:val="2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5549D9A730E240129F1939DECCF7C1F1"/>
    <w:docVar w:name="LW_CROSSREFERENCE" w:val="{SWD(2017) 337 final}"/>
    <w:docVar w:name="LW_DocType" w:val="NORMAL"/>
    <w:docVar w:name="LW_EMISSION" w:val="16.10.2017"/>
    <w:docVar w:name="LW_EMISSION_ISODATE" w:val="2017-10-16"/>
    <w:docVar w:name="LW_EMISSION_LOCATION" w:val="BRX"/>
    <w:docVar w:name="LW_EMISSION_PREFIX" w:val="Брюксел, "/>
    <w:docVar w:name="LW_EMISSION_SUFFIX" w:val=" \u1075?."/>
    <w:docVar w:name="LW_ID_DOCTYPE_NONLW" w:val="CP-003"/>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594"/>
    <w:docVar w:name="LW_REF.INTERNE" w:val="&lt;UNUSED&gt;"/>
    <w:docVar w:name="LW_SOUS.TITRE.OBJ.CP" w:val="&lt;UNUSED&gt;"/>
    <w:docVar w:name="LW_SUPERTITRE" w:val="&lt;UNUSED&gt;"/>
    <w:docVar w:name="LW_TITRE.OBJ.CP" w:val="\u1079?\u1072? \u1088?\u1072?\u1073?\u1086?\u1090?\u1072?\u1090?\u1072? \u1085?\u1072? \u1082?\u1086?\u1084?\u1080?\u1090?\u1077?\u1090?\u1080?\u1090?\u1077? \u1087?\u1088?\u1077?\u1079? 2016 \u1075?\u1086?\u1076?\u1080?\u1085?\u1072?"/>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semiHidden="0" w:uiPriority="0" w:unhideWhenUsed="0" w:qFormat="1"/>
    <w:lsdException w:name="table of figures"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bg-BG"/>
    </w:rPr>
  </w:style>
  <w:style w:type="character" w:customStyle="1" w:styleId="Heading2Char">
    <w:name w:val="Heading 2 Char"/>
    <w:link w:val="Heading2"/>
    <w:semiHidden/>
    <w:rPr>
      <w:rFonts w:ascii="Times New Roman" w:eastAsia="Times New Roman" w:hAnsi="Times New Roman"/>
      <w:b/>
      <w:bCs/>
      <w:iCs/>
      <w:sz w:val="24"/>
      <w:szCs w:val="28"/>
      <w:lang w:eastAsia="bg-BG"/>
    </w:rPr>
  </w:style>
  <w:style w:type="character" w:customStyle="1" w:styleId="Heading3Char">
    <w:name w:val="Heading 3 Char"/>
    <w:link w:val="Heading3"/>
    <w:semiHidden/>
    <w:rPr>
      <w:rFonts w:ascii="Times New Roman" w:eastAsia="Times New Roman" w:hAnsi="Times New Roman"/>
      <w:bCs/>
      <w:i/>
      <w:sz w:val="24"/>
      <w:szCs w:val="26"/>
      <w:lang w:eastAsia="bg-BG"/>
    </w:rPr>
  </w:style>
  <w:style w:type="character" w:customStyle="1" w:styleId="Heading4Char">
    <w:name w:val="Heading 4 Char"/>
    <w:link w:val="Heading4"/>
    <w:semiHidden/>
    <w:rPr>
      <w:rFonts w:ascii="Times New Roman" w:eastAsia="Times New Roman" w:hAnsi="Times New Roman"/>
      <w:bCs/>
      <w:sz w:val="24"/>
      <w:szCs w:val="28"/>
      <w:lang w:eastAsia="bg-BG"/>
    </w:rPr>
  </w:style>
  <w:style w:type="character" w:styleId="Hyperlink">
    <w:name w:val="Hyperlink"/>
    <w:unhideWhenUsed/>
    <w:rPr>
      <w:rFonts w:ascii="Times New Roman" w:hAnsi="Times New Roman" w:cs="Times New Roman" w:hint="default"/>
      <w:color w:val="0000FF"/>
      <w:u w:val="single"/>
    </w:rPr>
  </w:style>
  <w:style w:type="character" w:styleId="FollowedHyperlink">
    <w:name w:val="FollowedHyperlink"/>
    <w:semiHidden/>
    <w:unhideWhenUsed/>
    <w:rPr>
      <w:color w:val="800080"/>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autoRedefine/>
    <w:semiHidden/>
    <w:unhideWhenUsed/>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autoRedefine/>
    <w:semiHidden/>
    <w:unhideWhenUsed/>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autoRedefine/>
    <w:semiHidden/>
    <w:unhideWhenUsed/>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autoRedefine/>
    <w:semiHidden/>
    <w:unhideWhenUsed/>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autoRedefine/>
    <w:semiHidden/>
    <w:unhideWhenUsed/>
    <w:pPr>
      <w:tabs>
        <w:tab w:val="right" w:leader="dot" w:pos="9071"/>
      </w:tabs>
      <w:spacing w:before="120" w:after="12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lang w:eastAsia="bg-BG"/>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Pr>
      <w:rFonts w:ascii="Times New Roman" w:eastAsia="Times New Roman" w:hAnsi="Times New Roman"/>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har">
    <w:name w:val="Footer Char"/>
    <w:link w:val="Footer"/>
    <w:uiPriority w:val="99"/>
    <w:rPr>
      <w:rFonts w:ascii="Times New Roman" w:eastAsia="Times New Roman" w:hAnsi="Times New Roman"/>
      <w:sz w:val="24"/>
      <w:szCs w:val="24"/>
      <w:lang w:eastAsia="bg-BG"/>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unhideWhenUsed/>
    <w:pPr>
      <w:spacing w:before="120" w:after="120" w:line="240" w:lineRule="auto"/>
      <w:jc w:val="both"/>
    </w:pPr>
    <w:rPr>
      <w:rFonts w:ascii="Times New Roman" w:eastAsia="Times New Roman" w:hAnsi="Times New Roman"/>
      <w:sz w:val="24"/>
      <w:szCs w:val="24"/>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Pr>
      <w:rFonts w:ascii="Times New Roman" w:eastAsia="Times New Roman" w:hAnsi="Times New Roman"/>
      <w:lang w:eastAsia="bg-BG"/>
    </w:rPr>
  </w:style>
  <w:style w:type="paragraph" w:styleId="ListBullet">
    <w:name w:val="List Bullet"/>
    <w:basedOn w:val="Normal"/>
    <w:semiHidden/>
    <w:unhideWhenUsed/>
    <w:pPr>
      <w:numPr>
        <w:numId w:val="2"/>
      </w:numPr>
      <w:spacing w:before="120" w:after="120" w:line="240" w:lineRule="auto"/>
      <w:jc w:val="both"/>
    </w:pPr>
    <w:rPr>
      <w:rFonts w:ascii="Times New Roman" w:eastAsia="Times New Roman" w:hAnsi="Times New Roman"/>
      <w:sz w:val="24"/>
      <w:szCs w:val="24"/>
    </w:rPr>
  </w:style>
  <w:style w:type="paragraph" w:styleId="ListNumber">
    <w:name w:val="List Number"/>
    <w:basedOn w:val="Normal"/>
    <w:semiHidden/>
    <w:unhideWhenUsed/>
    <w:pPr>
      <w:numPr>
        <w:numId w:val="3"/>
      </w:numPr>
      <w:spacing w:before="120" w:after="120" w:line="240" w:lineRule="auto"/>
      <w:jc w:val="both"/>
    </w:pPr>
    <w:rPr>
      <w:rFonts w:ascii="Times New Roman" w:eastAsia="Times New Roman" w:hAnsi="Times New Roman"/>
      <w:sz w:val="24"/>
      <w:szCs w:val="24"/>
    </w:rPr>
  </w:style>
  <w:style w:type="paragraph" w:styleId="ListBullet2">
    <w:name w:val="List Bullet 2"/>
    <w:basedOn w:val="Normal"/>
    <w:semiHidden/>
    <w:unhideWhenUsed/>
    <w:pPr>
      <w:numPr>
        <w:numId w:val="4"/>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semiHidden/>
    <w:unhideWhenUsed/>
    <w:pPr>
      <w:numPr>
        <w:numId w:val="5"/>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semiHidden/>
    <w:unhideWhenUsed/>
    <w:pPr>
      <w:numPr>
        <w:numId w:val="6"/>
      </w:numPr>
      <w:spacing w:before="120" w:after="120" w:line="240" w:lineRule="auto"/>
      <w:jc w:val="both"/>
    </w:pPr>
    <w:rPr>
      <w:rFonts w:ascii="Times New Roman" w:eastAsia="Times New Roman" w:hAnsi="Times New Roman"/>
      <w:sz w:val="24"/>
      <w:szCs w:val="24"/>
    </w:rPr>
  </w:style>
  <w:style w:type="paragraph" w:styleId="ListNumber2">
    <w:name w:val="List Number 2"/>
    <w:basedOn w:val="Normal"/>
    <w:semiHidden/>
    <w:unhideWhenUsed/>
    <w:pPr>
      <w:numPr>
        <w:numId w:val="7"/>
      </w:numPr>
      <w:spacing w:before="120" w:after="120" w:line="240" w:lineRule="auto"/>
      <w:jc w:val="both"/>
    </w:pPr>
    <w:rPr>
      <w:rFonts w:ascii="Times New Roman" w:eastAsia="Times New Roman" w:hAnsi="Times New Roman"/>
      <w:sz w:val="24"/>
      <w:szCs w:val="24"/>
    </w:rPr>
  </w:style>
  <w:style w:type="paragraph" w:styleId="ListNumber3">
    <w:name w:val="List Number 3"/>
    <w:basedOn w:val="Normal"/>
    <w:semiHidden/>
    <w:unhideWhenUsed/>
    <w:pPr>
      <w:numPr>
        <w:numId w:val="8"/>
      </w:numPr>
      <w:spacing w:before="120" w:after="120" w:line="240" w:lineRule="auto"/>
      <w:jc w:val="both"/>
    </w:pPr>
    <w:rPr>
      <w:rFonts w:ascii="Times New Roman" w:eastAsia="Times New Roman" w:hAnsi="Times New Roman"/>
      <w:sz w:val="24"/>
      <w:szCs w:val="24"/>
    </w:rPr>
  </w:style>
  <w:style w:type="paragraph" w:styleId="ListNumber4">
    <w:name w:val="List Number 4"/>
    <w:basedOn w:val="Normal"/>
    <w:semiHidden/>
    <w:unhideWhenUsed/>
    <w:pPr>
      <w:numPr>
        <w:numId w:val="9"/>
      </w:numPr>
      <w:spacing w:before="120" w:after="120" w:line="240" w:lineRule="auto"/>
      <w:jc w:val="both"/>
    </w:pPr>
    <w:rPr>
      <w:rFonts w:ascii="Times New Roman" w:eastAsia="Times New Roman" w:hAnsi="Times New Roman"/>
      <w:sz w:val="24"/>
      <w:szCs w:val="24"/>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eastAsia="Times New Roman" w:hAnsi="Times New Roman"/>
      <w:b/>
      <w:bCs/>
      <w:lang w:eastAsia="bg-BG"/>
    </w:rPr>
  </w:style>
  <w:style w:type="paragraph" w:styleId="BalloonText">
    <w:name w:val="Balloon Text"/>
    <w:basedOn w:val="Normal"/>
    <w:link w:val="BalloonTextChar"/>
    <w:semiHidden/>
    <w:unhideWhenUsed/>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lang w:eastAsia="bg-BG"/>
    </w:rPr>
  </w:style>
  <w:style w:type="paragraph" w:styleId="Revision">
    <w:name w:val="Revision"/>
    <w:uiPriority w:val="99"/>
    <w:semiHidden/>
    <w:rPr>
      <w:rFonts w:ascii="Times New Roman" w:eastAsia="Times New Roman" w:hAnsi="Times New Roman"/>
      <w:sz w:val="24"/>
      <w:szCs w:val="24"/>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b/>
      <w:sz w:val="28"/>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paragraph" w:customStyle="1" w:styleId="Point0number">
    <w:name w:val="Point 0 (number)"/>
    <w:basedOn w:val="Normal"/>
    <w:pPr>
      <w:numPr>
        <w:numId w:val="16"/>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16"/>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16"/>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16"/>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16"/>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16"/>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16"/>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TypedudocumentPagedecouverture">
    <w:name w:val="Type du document (Page de couverture)"/>
    <w:basedOn w:val="Normal"/>
    <w:pPr>
      <w:spacing w:before="120" w:after="120" w:line="240" w:lineRule="auto"/>
      <w:jc w:val="both"/>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AccompagnantPagedecouverture">
    <w:name w:val="Accompagnant (Page de couverture)"/>
    <w:basedOn w:val="Accompagnant"/>
    <w:next w:val="Type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customStyle="1" w:styleId="ListBullet1">
    <w:name w:val="List Bullet 1"/>
    <w:basedOn w:val="Normal"/>
    <w:pPr>
      <w:numPr>
        <w:numId w:val="23"/>
      </w:numPr>
      <w:spacing w:before="120" w:after="120" w:line="240" w:lineRule="auto"/>
      <w:jc w:val="both"/>
    </w:pPr>
    <w:rPr>
      <w:rFonts w:ascii="Times New Roman" w:eastAsia="Times New Roman" w:hAnsi="Times New Roman"/>
      <w:sz w:val="24"/>
      <w:szCs w:val="24"/>
    </w:rPr>
  </w:style>
  <w:style w:type="paragraph" w:customStyle="1" w:styleId="ListDash">
    <w:name w:val="List Dash"/>
    <w:basedOn w:val="Normal"/>
    <w:pPr>
      <w:numPr>
        <w:numId w:val="24"/>
      </w:numPr>
      <w:spacing w:before="120" w:after="120" w:line="240" w:lineRule="auto"/>
      <w:jc w:val="both"/>
    </w:pPr>
    <w:rPr>
      <w:rFonts w:ascii="Times New Roman" w:eastAsia="Times New Roman" w:hAnsi="Times New Roman"/>
      <w:sz w:val="24"/>
      <w:szCs w:val="24"/>
    </w:rPr>
  </w:style>
  <w:style w:type="paragraph" w:customStyle="1" w:styleId="ListDash1">
    <w:name w:val="List Dash 1"/>
    <w:basedOn w:val="Normal"/>
    <w:pPr>
      <w:numPr>
        <w:numId w:val="25"/>
      </w:numPr>
      <w:spacing w:before="120" w:after="120" w:line="240" w:lineRule="auto"/>
      <w:jc w:val="both"/>
    </w:pPr>
    <w:rPr>
      <w:rFonts w:ascii="Times New Roman" w:eastAsia="Times New Roman" w:hAnsi="Times New Roman"/>
      <w:sz w:val="24"/>
      <w:szCs w:val="24"/>
    </w:rPr>
  </w:style>
  <w:style w:type="paragraph" w:customStyle="1" w:styleId="ListDash2">
    <w:name w:val="List Dash 2"/>
    <w:basedOn w:val="Normal"/>
    <w:pPr>
      <w:numPr>
        <w:numId w:val="26"/>
      </w:numPr>
      <w:spacing w:before="120" w:after="120" w:line="240" w:lineRule="auto"/>
      <w:jc w:val="both"/>
    </w:pPr>
    <w:rPr>
      <w:rFonts w:ascii="Times New Roman" w:eastAsia="Times New Roman" w:hAnsi="Times New Roman"/>
      <w:sz w:val="24"/>
      <w:szCs w:val="24"/>
    </w:rPr>
  </w:style>
  <w:style w:type="paragraph" w:customStyle="1" w:styleId="ListDash3">
    <w:name w:val="List Dash 3"/>
    <w:basedOn w:val="Normal"/>
    <w:pPr>
      <w:numPr>
        <w:numId w:val="27"/>
      </w:numPr>
      <w:spacing w:before="120" w:after="120" w:line="240" w:lineRule="auto"/>
      <w:jc w:val="both"/>
    </w:pPr>
    <w:rPr>
      <w:rFonts w:ascii="Times New Roman" w:eastAsia="Times New Roman" w:hAnsi="Times New Roman"/>
      <w:sz w:val="24"/>
      <w:szCs w:val="24"/>
    </w:rPr>
  </w:style>
  <w:style w:type="paragraph" w:customStyle="1" w:styleId="ListDash4">
    <w:name w:val="List Dash 4"/>
    <w:basedOn w:val="Normal"/>
    <w:pPr>
      <w:numPr>
        <w:numId w:val="28"/>
      </w:numPr>
      <w:spacing w:before="120" w:after="120" w:line="240" w:lineRule="auto"/>
      <w:jc w:val="both"/>
    </w:pPr>
    <w:rPr>
      <w:rFonts w:ascii="Times New Roman" w:eastAsia="Times New Roman" w:hAnsi="Times New Roman"/>
      <w:sz w:val="24"/>
      <w:szCs w:val="24"/>
    </w:rPr>
  </w:style>
  <w:style w:type="paragraph" w:customStyle="1" w:styleId="ListNumber1">
    <w:name w:val="List Number 1"/>
    <w:basedOn w:val="Text1"/>
    <w:pPr>
      <w:numPr>
        <w:numId w:val="29"/>
      </w:numPr>
    </w:pPr>
  </w:style>
  <w:style w:type="paragraph" w:customStyle="1" w:styleId="ListNumberLevel2">
    <w:name w:val="List Number (Level 2)"/>
    <w:basedOn w:val="Normal"/>
    <w:pPr>
      <w:numPr>
        <w:ilvl w:val="1"/>
        <w:numId w:val="3"/>
      </w:numPr>
      <w:spacing w:before="120" w:after="120" w:line="240" w:lineRule="auto"/>
      <w:jc w:val="both"/>
    </w:pPr>
    <w:rPr>
      <w:rFonts w:ascii="Times New Roman" w:eastAsia="Times New Roman" w:hAnsi="Times New Roman"/>
      <w:sz w:val="24"/>
      <w:szCs w:val="24"/>
    </w:rPr>
  </w:style>
  <w:style w:type="paragraph" w:customStyle="1" w:styleId="ListNumber1Level2">
    <w:name w:val="List Number 1 (Level 2)"/>
    <w:basedOn w:val="Text1"/>
    <w:pPr>
      <w:numPr>
        <w:ilvl w:val="1"/>
        <w:numId w:val="29"/>
      </w:numPr>
    </w:pPr>
  </w:style>
  <w:style w:type="paragraph" w:customStyle="1" w:styleId="ListNumber2Level2">
    <w:name w:val="List Number 2 (Level 2)"/>
    <w:basedOn w:val="Text2"/>
    <w:pPr>
      <w:numPr>
        <w:ilvl w:val="1"/>
        <w:numId w:val="7"/>
      </w:numPr>
    </w:pPr>
  </w:style>
  <w:style w:type="paragraph" w:customStyle="1" w:styleId="ListNumber3Level2">
    <w:name w:val="List Number 3 (Level 2)"/>
    <w:basedOn w:val="Text3"/>
    <w:pPr>
      <w:numPr>
        <w:ilvl w:val="1"/>
        <w:numId w:val="8"/>
      </w:numPr>
    </w:pPr>
  </w:style>
  <w:style w:type="paragraph" w:customStyle="1" w:styleId="ListNumber4Level2">
    <w:name w:val="List Number 4 (Level 2)"/>
    <w:basedOn w:val="Text4"/>
    <w:pPr>
      <w:numPr>
        <w:ilvl w:val="1"/>
        <w:numId w:val="9"/>
      </w:numPr>
    </w:pPr>
  </w:style>
  <w:style w:type="paragraph" w:customStyle="1" w:styleId="ListNumberLevel3">
    <w:name w:val="List Number (Level 3)"/>
    <w:basedOn w:val="Normal"/>
    <w:pPr>
      <w:numPr>
        <w:ilvl w:val="2"/>
        <w:numId w:val="3"/>
      </w:numPr>
      <w:spacing w:before="120" w:after="120" w:line="240" w:lineRule="auto"/>
      <w:jc w:val="both"/>
    </w:pPr>
    <w:rPr>
      <w:rFonts w:ascii="Times New Roman" w:eastAsia="Times New Roman" w:hAnsi="Times New Roman"/>
      <w:sz w:val="24"/>
      <w:szCs w:val="24"/>
    </w:rPr>
  </w:style>
  <w:style w:type="paragraph" w:customStyle="1" w:styleId="ListNumber1Level3">
    <w:name w:val="List Number 1 (Level 3)"/>
    <w:basedOn w:val="Text1"/>
    <w:pPr>
      <w:numPr>
        <w:ilvl w:val="2"/>
        <w:numId w:val="29"/>
      </w:numPr>
    </w:pPr>
  </w:style>
  <w:style w:type="paragraph" w:customStyle="1" w:styleId="ListNumber2Level3">
    <w:name w:val="List Number 2 (Level 3)"/>
    <w:basedOn w:val="Text2"/>
    <w:pPr>
      <w:numPr>
        <w:ilvl w:val="2"/>
        <w:numId w:val="7"/>
      </w:numPr>
    </w:pPr>
  </w:style>
  <w:style w:type="paragraph" w:customStyle="1" w:styleId="ListNumber3Level3">
    <w:name w:val="List Number 3 (Level 3)"/>
    <w:basedOn w:val="Text3"/>
    <w:pPr>
      <w:numPr>
        <w:ilvl w:val="2"/>
        <w:numId w:val="8"/>
      </w:numPr>
    </w:pPr>
  </w:style>
  <w:style w:type="paragraph" w:customStyle="1" w:styleId="ListNumber4Level3">
    <w:name w:val="List Number 4 (Level 3)"/>
    <w:basedOn w:val="Text4"/>
    <w:pPr>
      <w:numPr>
        <w:ilvl w:val="2"/>
        <w:numId w:val="9"/>
      </w:numPr>
    </w:pPr>
  </w:style>
  <w:style w:type="paragraph" w:customStyle="1" w:styleId="ListNumberLevel4">
    <w:name w:val="List Number (Level 4)"/>
    <w:basedOn w:val="Normal"/>
    <w:pPr>
      <w:numPr>
        <w:ilvl w:val="3"/>
        <w:numId w:val="3"/>
      </w:numPr>
      <w:spacing w:before="120" w:after="120" w:line="240" w:lineRule="auto"/>
      <w:jc w:val="both"/>
    </w:pPr>
    <w:rPr>
      <w:rFonts w:ascii="Times New Roman" w:eastAsia="Times New Roman" w:hAnsi="Times New Roman"/>
      <w:sz w:val="24"/>
      <w:szCs w:val="24"/>
    </w:rPr>
  </w:style>
  <w:style w:type="paragraph" w:customStyle="1" w:styleId="ListNumber1Level4">
    <w:name w:val="List Number 1 (Level 4)"/>
    <w:basedOn w:val="Text1"/>
    <w:pPr>
      <w:numPr>
        <w:ilvl w:val="3"/>
        <w:numId w:val="29"/>
      </w:numPr>
    </w:pPr>
  </w:style>
  <w:style w:type="paragraph" w:customStyle="1" w:styleId="ListNumber2Level4">
    <w:name w:val="List Number 2 (Level 4)"/>
    <w:basedOn w:val="Text2"/>
    <w:pPr>
      <w:numPr>
        <w:ilvl w:val="3"/>
        <w:numId w:val="7"/>
      </w:numPr>
    </w:pPr>
  </w:style>
  <w:style w:type="paragraph" w:customStyle="1" w:styleId="ListNumber3Level4">
    <w:name w:val="List Number 3 (Level 4)"/>
    <w:basedOn w:val="Text3"/>
    <w:pPr>
      <w:numPr>
        <w:ilvl w:val="3"/>
        <w:numId w:val="8"/>
      </w:numPr>
    </w:pPr>
  </w:style>
  <w:style w:type="paragraph" w:customStyle="1" w:styleId="ListNumber4Level4">
    <w:name w:val="List Number 4 (Level 4)"/>
    <w:basedOn w:val="Text4"/>
    <w:pPr>
      <w:numPr>
        <w:ilvl w:val="3"/>
        <w:numId w:val="9"/>
      </w:numPr>
    </w:p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rPr>
  </w:style>
  <w:style w:type="paragraph" w:customStyle="1" w:styleId="c19marge1">
    <w:name w:val="c19marge1"/>
    <w:basedOn w:val="Normal"/>
    <w:pPr>
      <w:spacing w:after="240" w:line="240" w:lineRule="auto"/>
      <w:ind w:left="1247"/>
      <w:jc w:val="both"/>
    </w:pPr>
    <w:rPr>
      <w:rFonts w:ascii="Times New Roman" w:eastAsia="Times New Roman" w:hAnsi="Times New Roman"/>
      <w:sz w:val="24"/>
      <w:szCs w:val="24"/>
    </w:rPr>
  </w:style>
  <w:style w:type="paragraph" w:customStyle="1" w:styleId="c08dispositif">
    <w:name w:val="c08dispositif"/>
    <w:basedOn w:val="Normal"/>
    <w:pPr>
      <w:spacing w:before="100" w:beforeAutospacing="1" w:after="240" w:line="240" w:lineRule="auto"/>
      <w:ind w:left="1134" w:hanging="567"/>
      <w:jc w:val="both"/>
    </w:pPr>
    <w:rPr>
      <w:rFonts w:ascii="Times New Roman" w:eastAsia="Times New Roman" w:hAnsi="Times New Roman"/>
      <w:b/>
      <w:bCs/>
      <w:sz w:val="24"/>
      <w:szCs w:val="24"/>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character" w:styleId="FootnoteReference">
    <w:name w:val="footnote reference"/>
    <w:uiPriority w:val="99"/>
    <w:semiHidden/>
    <w:unhideWhenUsed/>
    <w:rPr>
      <w:vertAlign w:val="superscript"/>
    </w:rPr>
  </w:style>
  <w:style w:type="character" w:styleId="CommentReference">
    <w:name w:val="annotation reference"/>
    <w:semiHidden/>
    <w:unhideWhenUsed/>
    <w:rPr>
      <w:rFonts w:ascii="Times New Roman" w:hAnsi="Times New Roman" w:cs="Times New Roman" w:hint="default"/>
      <w:sz w:val="16"/>
    </w:rPr>
  </w:style>
  <w:style w:type="character" w:styleId="EndnoteReference">
    <w:name w:val="endnote reference"/>
    <w:semiHidden/>
    <w:unhideWhenUsed/>
    <w:rPr>
      <w:vertAlign w:val="superscript"/>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table" w:styleId="TableGrid">
    <w:name w:val="Table Grid"/>
    <w:basedOn w:val="TableNormal"/>
    <w:pPr>
      <w:spacing w:before="120" w:after="1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 w:type="character" w:styleId="Strong">
    <w:name w:val="Strong"/>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571101">
      <w:bodyDiv w:val="1"/>
      <w:marLeft w:val="0"/>
      <w:marRight w:val="0"/>
      <w:marTop w:val="0"/>
      <w:marBottom w:val="0"/>
      <w:divBdr>
        <w:top w:val="none" w:sz="0" w:space="0" w:color="auto"/>
        <w:left w:val="none" w:sz="0" w:space="0" w:color="auto"/>
        <w:bottom w:val="none" w:sz="0" w:space="0" w:color="auto"/>
        <w:right w:val="none" w:sz="0" w:space="0" w:color="auto"/>
      </w:divBdr>
    </w:div>
    <w:div w:id="1650162362">
      <w:bodyDiv w:val="1"/>
      <w:marLeft w:val="0"/>
      <w:marRight w:val="0"/>
      <w:marTop w:val="0"/>
      <w:marBottom w:val="0"/>
      <w:divBdr>
        <w:top w:val="none" w:sz="0" w:space="0" w:color="auto"/>
        <w:left w:val="none" w:sz="0" w:space="0" w:color="auto"/>
        <w:bottom w:val="none" w:sz="0" w:space="0" w:color="auto"/>
        <w:right w:val="none" w:sz="0" w:space="0" w:color="auto"/>
      </w:divBdr>
    </w:div>
    <w:div w:id="202363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ransparency/regcomitology/index.cfm?CLX=bg" TargetMode="External"/><Relationship Id="rId2" Type="http://schemas.openxmlformats.org/officeDocument/2006/relationships/hyperlink" Target="https://ec.europa.eu/info/law/better-regulation/have-your-say_bg" TargetMode="External"/><Relationship Id="rId1" Type="http://schemas.openxmlformats.org/officeDocument/2006/relationships/hyperlink" Target="https://ec.europa.eu/priorities/state-union-2016_bg" TargetMode="External"/><Relationship Id="rId5" Type="http://schemas.openxmlformats.org/officeDocument/2006/relationships/hyperlink" Target="http://ec.europa.eu/transparency/regexpert/index.cfm?Lang=BG" TargetMode="External"/><Relationship Id="rId4" Type="http://schemas.openxmlformats.org/officeDocument/2006/relationships/hyperlink" Target="http://curia.europa.eu/juris/liste.jsf?language=en&amp;num=C-440/14%20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75DA5-C2B3-432D-A6E1-C4DEB15FC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2356</Words>
  <Characters>10581</Characters>
  <Application>Microsoft Office Word</Application>
  <DocSecurity>0</DocSecurity>
  <Lines>1058</Lines>
  <Paragraphs>995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11942</CharactersWithSpaces>
  <SharedDoc>false</SharedDoc>
  <HLinks>
    <vt:vector size="30" baseType="variant">
      <vt:variant>
        <vt:i4>6225942</vt:i4>
      </vt:variant>
      <vt:variant>
        <vt:i4>12</vt:i4>
      </vt:variant>
      <vt:variant>
        <vt:i4>0</vt:i4>
      </vt:variant>
      <vt:variant>
        <vt:i4>5</vt:i4>
      </vt:variant>
      <vt:variant>
        <vt:lpwstr>http://ec.europa.eu/transparency/regexpert/index.cfm</vt:lpwstr>
      </vt:variant>
      <vt:variant>
        <vt:lpwstr/>
      </vt:variant>
      <vt:variant>
        <vt:i4>7929983</vt:i4>
      </vt:variant>
      <vt:variant>
        <vt:i4>9</vt:i4>
      </vt:variant>
      <vt:variant>
        <vt:i4>0</vt:i4>
      </vt:variant>
      <vt:variant>
        <vt:i4>5</vt:i4>
      </vt:variant>
      <vt:variant>
        <vt:lpwstr>http://curia.europa.eu/juris/liste.jsf?language=en&amp;num=C-440/14%20P</vt:lpwstr>
      </vt:variant>
      <vt:variant>
        <vt:lpwstr/>
      </vt:variant>
      <vt:variant>
        <vt:i4>4784128</vt:i4>
      </vt:variant>
      <vt:variant>
        <vt:i4>6</vt:i4>
      </vt:variant>
      <vt:variant>
        <vt:i4>0</vt:i4>
      </vt:variant>
      <vt:variant>
        <vt:i4>5</vt:i4>
      </vt:variant>
      <vt:variant>
        <vt:lpwstr>http://ec.europa.eu/transparency/regcomitology/index.cfm</vt:lpwstr>
      </vt:variant>
      <vt:variant>
        <vt:lpwstr/>
      </vt:variant>
      <vt:variant>
        <vt:i4>8061001</vt:i4>
      </vt:variant>
      <vt:variant>
        <vt:i4>3</vt:i4>
      </vt:variant>
      <vt:variant>
        <vt:i4>0</vt:i4>
      </vt:variant>
      <vt:variant>
        <vt:i4>5</vt:i4>
      </vt:variant>
      <vt:variant>
        <vt:lpwstr>https://ec.europa.eu/info/law/better-regulation/have-your-say_en</vt:lpwstr>
      </vt:variant>
      <vt:variant>
        <vt:lpwstr/>
      </vt:variant>
      <vt:variant>
        <vt:i4>7929869</vt:i4>
      </vt:variant>
      <vt:variant>
        <vt:i4>0</vt:i4>
      </vt:variant>
      <vt:variant>
        <vt:i4>0</vt:i4>
      </vt:variant>
      <vt:variant>
        <vt:i4>5</vt:i4>
      </vt:variant>
      <vt:variant>
        <vt:lpwstr>https://ec.europa.eu/priorities/state-union-2016_en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22</cp:revision>
  <cp:lastPrinted>2017-07-10T07:49:00Z</cp:lastPrinted>
  <dcterms:created xsi:type="dcterms:W3CDTF">2017-09-11T09:14:00Z</dcterms:created>
  <dcterms:modified xsi:type="dcterms:W3CDTF">2017-10-16T07:57:00Z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