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6A4ECCA4CD74766873068F9234B1475" style="width:450.35pt;height:321.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autoSpaceDE w:val="0"/>
        <w:autoSpaceDN w:val="0"/>
        <w:adjustRightInd w:val="0"/>
        <w:spacing w:before="480" w:after="240" w:line="240" w:lineRule="auto"/>
        <w:ind w:left="567" w:hanging="567"/>
        <w:jc w:val="both"/>
        <w:outlineLvl w:val="0"/>
        <w:rPr>
          <w:rFonts w:ascii="Times New Roman" w:hAnsi="Times New Roman" w:cs="Times New Roman"/>
          <w:noProof/>
          <w:color w:val="000000"/>
          <w:sz w:val="24"/>
          <w:szCs w:val="24"/>
        </w:rPr>
      </w:pPr>
      <w:bookmarkStart w:id="1" w:name="_GoBack"/>
      <w:bookmarkEnd w:id="1"/>
      <w:r>
        <w:rPr>
          <w:rFonts w:ascii="Times New Roman" w:hAnsi="Times New Roman"/>
          <w:b/>
          <w:noProof/>
          <w:color w:val="000000"/>
          <w:sz w:val="24"/>
        </w:rPr>
        <w:lastRenderedPageBreak/>
        <w:t>1.</w:t>
      </w:r>
      <w:r>
        <w:rPr>
          <w:noProof/>
        </w:rPr>
        <w:tab/>
      </w:r>
      <w:r>
        <w:rPr>
          <w:rFonts w:ascii="Times New Roman" w:hAnsi="Times New Roman"/>
          <w:b/>
          <w:noProof/>
          <w:color w:val="000000"/>
          <w:sz w:val="24"/>
        </w:rPr>
        <w:t>Въведение</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Реч за състоянието на Съюза 2017 г.: „миграцията трябва да продължи да бъде област, на която отделяме особено внимание“</w:t>
      </w:r>
    </w:p>
    <w:p>
      <w:pPr>
        <w:autoSpaceDE w:val="0"/>
        <w:autoSpaceDN w:val="0"/>
        <w:adjustRightInd w:val="0"/>
        <w:spacing w:after="240" w:line="240" w:lineRule="auto"/>
        <w:jc w:val="both"/>
        <w:rPr>
          <w:rFonts w:ascii="Times New Roman" w:hAnsi="Times New Roman" w:cs="Times New Roman"/>
          <w:noProof/>
          <w:color w:val="000000"/>
          <w:spacing w:val="-2"/>
          <w:sz w:val="24"/>
          <w:szCs w:val="24"/>
        </w:rPr>
      </w:pPr>
      <w:r>
        <w:rPr>
          <w:rFonts w:ascii="Times New Roman" w:hAnsi="Times New Roman"/>
          <w:noProof/>
          <w:color w:val="000000"/>
          <w:spacing w:val="-2"/>
          <w:sz w:val="24"/>
        </w:rPr>
        <w:t>През последните две години в Европа беше отбелязан най-големият брой пристигащи бежанци и мигранти от края на Втората световна война досега. Сирийската криза, както и конфликтите, нестабилността и бедността в много части на света се отразиха съществено, за да се стигне до този рекорден брой. Системите в областта на миграцията, убежището и управлението на границите бяха подложени на огромен натиск. Съюзът и неговите държави членки не бяха достатъчно добре подготвени, за да реагират ефективно. Мащабът на кризата оказа силно въздействие в целия ЕС. Целостта както на общата европейска система за убежище, така и на Шенгенското пространство за свободно движение на европейските граждани беше поставена под въпрос.</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С развитието на кризата ЕС работеше неуморно за бърза, координирана и ефективна европейска реакция. Комисията представи своя План за действие от 10 точки в областта на миграцията на 20 април 2015 г. Планът получи подкрепата на министрите на външните и вътрешните работи и беше незабавно одобрен от Европейския съвет</w:t>
      </w:r>
      <w:r>
        <w:rPr>
          <w:rFonts w:ascii="Times New Roman" w:hAnsi="Times New Roman"/>
          <w:noProof/>
          <w:color w:val="000000"/>
          <w:sz w:val="24"/>
          <w:vertAlign w:val="superscript"/>
        </w:rPr>
        <w:footnoteReference w:id="2"/>
      </w:r>
      <w:r>
        <w:rPr>
          <w:rFonts w:ascii="Times New Roman" w:hAnsi="Times New Roman"/>
          <w:noProof/>
          <w:color w:val="000000"/>
          <w:sz w:val="24"/>
        </w:rPr>
        <w:t>. През май 2015 г. Комисията изложи всеобхватна Европейска програма за миграцията</w:t>
      </w:r>
      <w:r>
        <w:rPr>
          <w:rFonts w:ascii="Times New Roman" w:hAnsi="Times New Roman"/>
          <w:noProof/>
          <w:color w:val="000000"/>
          <w:sz w:val="24"/>
          <w:vertAlign w:val="superscript"/>
        </w:rPr>
        <w:footnoteReference w:id="3"/>
      </w:r>
      <w:r>
        <w:rPr>
          <w:rFonts w:ascii="Times New Roman" w:hAnsi="Times New Roman"/>
          <w:noProof/>
          <w:color w:val="000000"/>
          <w:sz w:val="24"/>
        </w:rPr>
        <w:t>, с която да се преодолеят както непосредствените предизвикателства, така и структурните слабости на действащата политика на ЕС в областта на миграцията и убежището.</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От този момент насетне нашите непрекъснати усилия за възстановяване на реда в системата за миграция доведоха до осезаеми резултати. Изпълнението без прекъсване на изявлението на ЕС и Турция, Рамката за партньорство и съвместните действия, предприети във връзка с маршрута през Централното Средиземноморие</w:t>
      </w:r>
      <w:r>
        <w:rPr>
          <w:rFonts w:ascii="Times New Roman" w:hAnsi="Times New Roman"/>
          <w:noProof/>
          <w:color w:val="000000"/>
          <w:sz w:val="24"/>
          <w:vertAlign w:val="superscript"/>
        </w:rPr>
        <w:footnoteReference w:id="4"/>
      </w:r>
      <w:r>
        <w:rPr>
          <w:rFonts w:ascii="Times New Roman" w:hAnsi="Times New Roman"/>
          <w:noProof/>
          <w:color w:val="000000"/>
          <w:sz w:val="24"/>
        </w:rPr>
        <w:t>, доведоха до значително намаляване на броя на незаконно пристигащите. В управлението на външните граници на ЕС беше направена важна стъпка напред, бяха създадени „горещите точки“, които позволяват регистрирането и снемането на пръстови отпечатъци на всички мигранти при пристигането им, а едностранните действия на държавите членки отстъпиха място на координирана европейска реакция. Възстановяването на организираното управление на притока на мигранти продължи в дух на солидарност, в това число чрез схеми за преместване. Миграцията е нов приоритет в отношенията на ЕС с ключови партньори. В същото време ЕС пое своята отговорност в световен план за предоставянето на убежище за значителна част от бежанците по света: само през 2016 г. ЕС презасели или предостави убежище на над 720 000 бежанци, което е три пъти повече от Австралия, Канада и САЩ, взети заедно.</w:t>
      </w:r>
    </w:p>
    <w:p>
      <w:pPr>
        <w:autoSpaceDE w:val="0"/>
        <w:autoSpaceDN w:val="0"/>
        <w:adjustRightInd w:val="0"/>
        <w:spacing w:after="240" w:line="240" w:lineRule="auto"/>
        <w:jc w:val="both"/>
        <w:rPr>
          <w:rFonts w:ascii="Times New Roman" w:hAnsi="Times New Roman" w:cs="Times New Roman"/>
          <w:noProof/>
          <w:color w:val="000000"/>
          <w:spacing w:val="-2"/>
          <w:sz w:val="24"/>
          <w:szCs w:val="24"/>
        </w:rPr>
      </w:pPr>
      <w:r>
        <w:rPr>
          <w:rFonts w:ascii="Times New Roman" w:hAnsi="Times New Roman"/>
          <w:noProof/>
          <w:color w:val="000000"/>
          <w:spacing w:val="-2"/>
          <w:sz w:val="24"/>
        </w:rPr>
        <w:t>Успоредно с незабавната реакция, бяха предложени структурни промени с цел да се постигне по-добро управление на миграцията и убежището. От особено значение бяха предложенията за създаване на европейска гранична и брегова охрана и за реформиране на общата европейска система за убежище. Европейската гранична и брегова охрана вече съществува и действа, но Европейският парламент и Съветът все още не са постигнали съгласие по предложенията за реформа на общата европейска система за убежище.</w:t>
      </w:r>
    </w:p>
    <w:p>
      <w:pPr>
        <w:autoSpaceDE w:val="0"/>
        <w:autoSpaceDN w:val="0"/>
        <w:adjustRightInd w:val="0"/>
        <w:spacing w:after="240" w:line="240" w:lineRule="auto"/>
        <w:jc w:val="both"/>
        <w:rPr>
          <w:rFonts w:ascii="Times New Roman" w:hAnsi="Times New Roman" w:cs="Times New Roman"/>
          <w:noProof/>
          <w:color w:val="000000"/>
          <w:spacing w:val="-4"/>
          <w:sz w:val="24"/>
          <w:szCs w:val="24"/>
        </w:rPr>
      </w:pPr>
      <w:r>
        <w:rPr>
          <w:rFonts w:ascii="Times New Roman" w:hAnsi="Times New Roman"/>
          <w:noProof/>
          <w:color w:val="000000"/>
          <w:spacing w:val="-4"/>
          <w:sz w:val="24"/>
        </w:rPr>
        <w:t>Работата за по-нататъшното разработване и прилагане на всеобхватния ни подход трябва да продължи. Трябва да направим необходимите компромиси, които да позволят да се оформи решителна, реалистична и справедлива политика на ЕС в областта на миграцията. В нея трябва да бъдат признати потребностите на приемните общества и гражданите на ЕС, както и да се работи в тясно сътрудничество с партньори по целия свят. Трябва да направим така, че да продължим да изпълняваме задълженията си към нуждаещите се от международна закрила. Трябва да намерим решения, чрез които да заменим неконтролирания приток на незаконни мигранти с безопасни и добре управлявани възможности за миграция. Необходимо е да обърнем внимание на дълбоко вкоренените предизвикателства, които стоят в основата на незаконната миграция, като например слабото развитие, демографията, липсата на възможности, изменението на климата и неравенството. Успоредно с това, с цел да се гарантира сигурността на Шенгенското пространство, трябва да продължим да укрепваме управлението на външните граници и да подобряваме изпълнението в областта на връщането и обратното приемане. Само всеобхватното управление на миграцията, основано на принципите на солидарност и на справедливо разпределение на отговорностите, ще доведе до устойчиви резултати.</w:t>
      </w: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Устойчивото намаляване на незаконно пристигащите в Източното Средиземноморие и неотдавнашният спад в броя на пристигащите в Централното Средиземноморие откриват възможност да се работи за намирането на по-трайни решения. Трябва да поддържаме настоящите усилия и да запазим готовност за справяне с всеки нов натиск. Но също така сега е моментът да съсредоточим усилията си върху полагането на останалите градивни елементи на едно по-добро управление на миграцията.</w:t>
      </w:r>
    </w:p>
    <w:p>
      <w:pPr>
        <w:spacing w:after="0" w:line="240" w:lineRule="auto"/>
        <w:jc w:val="both"/>
        <w:rPr>
          <w:rFonts w:ascii="Times New Roman" w:hAnsi="Times New Roman" w:cs="Times New Roman"/>
          <w:noProof/>
          <w:color w:val="000000"/>
          <w:sz w:val="24"/>
          <w:szCs w:val="24"/>
        </w:rPr>
      </w:pPr>
    </w:p>
    <w:p>
      <w:pPr>
        <w:autoSpaceDE w:val="0"/>
        <w:autoSpaceDN w:val="0"/>
        <w:adjustRightInd w:val="0"/>
        <w:spacing w:after="240" w:line="240" w:lineRule="auto"/>
        <w:jc w:val="both"/>
        <w:rPr>
          <w:rFonts w:ascii="Times New Roman" w:hAnsi="Times New Roman" w:cs="Times New Roman"/>
          <w:noProof/>
          <w:color w:val="000000"/>
          <w:spacing w:val="-2"/>
          <w:sz w:val="24"/>
          <w:szCs w:val="24"/>
        </w:rPr>
      </w:pPr>
      <w:r>
        <w:rPr>
          <w:rFonts w:ascii="Times New Roman" w:hAnsi="Times New Roman"/>
          <w:noProof/>
          <w:color w:val="000000"/>
          <w:spacing w:val="-2"/>
          <w:sz w:val="24"/>
        </w:rPr>
        <w:t>Настоящото съобщение представлява междинен преглед на постигнатото по изпълнението на Европейската програма за миграцията. В него се описват също така нови инициативи на Комисията за предприемане на мерки в основни области и се набелязват областите, в които са необходими допълнителни усилия през идните месеци.</w:t>
      </w:r>
    </w:p>
    <w:p>
      <w:pPr>
        <w:keepNext/>
        <w:autoSpaceDE w:val="0"/>
        <w:autoSpaceDN w:val="0"/>
        <w:adjustRightInd w:val="0"/>
        <w:spacing w:before="480" w:after="240" w:line="240" w:lineRule="auto"/>
        <w:ind w:left="567" w:hanging="567"/>
        <w:jc w:val="both"/>
        <w:outlineLvl w:val="0"/>
        <w:rPr>
          <w:rFonts w:ascii="Times New Roman" w:hAnsi="Times New Roman" w:cs="Times New Roman"/>
          <w:b/>
          <w:noProof/>
          <w:color w:val="000000"/>
          <w:sz w:val="24"/>
          <w:szCs w:val="24"/>
        </w:rPr>
      </w:pPr>
      <w:r>
        <w:rPr>
          <w:rFonts w:ascii="Times New Roman" w:hAnsi="Times New Roman"/>
          <w:b/>
          <w:noProof/>
          <w:color w:val="000000"/>
          <w:sz w:val="24"/>
        </w:rPr>
        <w:t>2.</w:t>
      </w:r>
      <w:r>
        <w:rPr>
          <w:noProof/>
        </w:rPr>
        <w:tab/>
      </w:r>
      <w:r>
        <w:rPr>
          <w:rFonts w:ascii="Times New Roman" w:hAnsi="Times New Roman"/>
          <w:b/>
          <w:noProof/>
          <w:color w:val="000000"/>
          <w:sz w:val="24"/>
        </w:rPr>
        <w:t>Европейска програма за миграцията — две години по-късно: постижения и поуки</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В Европейската програма за миграцията бяха предложени незабавни мерки за справяне с кризата от 2015 г., включително действия, с които да се осигури правилното и пълно прилагане на съществуващите правила на ЕС. В нея също така беше изложен всеобхватен подход, насочен към всички аспекти на миграцията и разработен в четири направления: 1) незаконна миграция, 2) управление на границите, 3) политика в областта на убежището и 4) законна миграция, като имаща определящо значение за провеждането на ефективна и устойчива политика на ЕС в областта на миграцията. За всяко от тези направления бяха определени редица ключови действия.</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В следващия раздел се прави преглед на основните действия, осъществени през последните две години. В оценката се вземат предвид становищата, получени от редица заинтересовани страни и институции на ЕС в отговор на организираната от Комисията консултация относно прегледа на постигнатия до момента напредък в прилагането на Европейската програма за миграцията.</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2.1.</w:t>
      </w:r>
      <w:r>
        <w:rPr>
          <w:noProof/>
        </w:rPr>
        <w:tab/>
      </w:r>
      <w:r>
        <w:rPr>
          <w:rFonts w:ascii="Times New Roman" w:hAnsi="Times New Roman"/>
          <w:b/>
          <w:i/>
          <w:noProof/>
          <w:color w:val="000000"/>
          <w:sz w:val="24"/>
        </w:rPr>
        <w:t>Реагиране на кризата и подпомагане на държавите членки, подложени на извънреден миграционен натиск</w:t>
      </w:r>
    </w:p>
    <w:p>
      <w:pPr>
        <w:spacing w:after="240" w:line="240" w:lineRule="auto"/>
        <w:jc w:val="both"/>
        <w:rPr>
          <w:rFonts w:ascii="Times New Roman" w:hAnsi="Times New Roman" w:cs="Times New Roman"/>
          <w:i/>
          <w:noProof/>
          <w:sz w:val="24"/>
          <w:szCs w:val="24"/>
        </w:rPr>
      </w:pPr>
      <w:r>
        <w:rPr>
          <w:rFonts w:ascii="Times New Roman" w:hAnsi="Times New Roman"/>
          <w:noProof/>
          <w:sz w:val="24"/>
        </w:rPr>
        <w:t>Реакцията на кризисната ситуация оказа положително въздействие</w:t>
      </w:r>
      <w:r>
        <w:rPr>
          <w:rFonts w:ascii="Times New Roman" w:hAnsi="Times New Roman"/>
          <w:noProof/>
          <w:color w:val="000000"/>
          <w:sz w:val="24"/>
          <w:vertAlign w:val="superscript"/>
        </w:rPr>
        <w:footnoteReference w:id="5"/>
      </w:r>
      <w:r>
        <w:rPr>
          <w:rFonts w:ascii="Times New Roman" w:hAnsi="Times New Roman"/>
          <w:noProof/>
          <w:sz w:val="24"/>
        </w:rPr>
        <w:t>, като предприетите мерки варираха от подобряване на управлението на външните граници до конкретни прояви на солидарност както в рамките на Съюза, така и в съседните държави</w:t>
      </w:r>
      <w:r>
        <w:rPr>
          <w:rFonts w:ascii="Times New Roman" w:hAnsi="Times New Roman"/>
          <w:i/>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Съвместните операции „Тритон“ и „Посейдон“ бяха значително укрепени с цел да може незабавно да се реагира на предизвикателствата както в </w:t>
      </w:r>
      <w:r>
        <w:rPr>
          <w:rFonts w:ascii="Times New Roman" w:hAnsi="Times New Roman"/>
          <w:b/>
          <w:noProof/>
          <w:sz w:val="24"/>
        </w:rPr>
        <w:t>Централното</w:t>
      </w:r>
      <w:r>
        <w:rPr>
          <w:rFonts w:ascii="Times New Roman" w:hAnsi="Times New Roman"/>
          <w:noProof/>
          <w:sz w:val="24"/>
        </w:rPr>
        <w:t xml:space="preserve">, </w:t>
      </w:r>
      <w:r>
        <w:rPr>
          <w:rFonts w:ascii="Times New Roman" w:hAnsi="Times New Roman"/>
          <w:b/>
          <w:noProof/>
          <w:sz w:val="24"/>
        </w:rPr>
        <w:t>така и в</w:t>
      </w:r>
      <w:r>
        <w:rPr>
          <w:rFonts w:ascii="Times New Roman" w:hAnsi="Times New Roman"/>
          <w:noProof/>
          <w:sz w:val="24"/>
        </w:rPr>
        <w:t xml:space="preserve"> </w:t>
      </w:r>
      <w:r>
        <w:rPr>
          <w:rFonts w:ascii="Times New Roman" w:hAnsi="Times New Roman"/>
          <w:b/>
          <w:noProof/>
          <w:sz w:val="24"/>
        </w:rPr>
        <w:t>Източното Средиземноморие</w:t>
      </w:r>
      <w:r>
        <w:rPr>
          <w:rFonts w:ascii="Times New Roman" w:hAnsi="Times New Roman"/>
          <w:noProof/>
          <w:sz w:val="24"/>
        </w:rPr>
        <w:t>.</w:t>
      </w:r>
    </w:p>
    <w:p>
      <w:pPr>
        <w:spacing w:after="240" w:line="240" w:lineRule="auto"/>
        <w:jc w:val="both"/>
        <w:rPr>
          <w:rFonts w:ascii="Times New Roman" w:hAnsi="Times New Roman" w:cs="Times New Roman"/>
          <w:bCs/>
          <w:noProof/>
          <w:color w:val="000000"/>
          <w:spacing w:val="-6"/>
          <w:sz w:val="24"/>
          <w:szCs w:val="24"/>
        </w:rPr>
      </w:pPr>
      <w:r>
        <w:rPr>
          <w:rFonts w:ascii="Times New Roman" w:hAnsi="Times New Roman"/>
          <w:noProof/>
          <w:color w:val="000000"/>
          <w:spacing w:val="-6"/>
          <w:sz w:val="24"/>
        </w:rPr>
        <w:t xml:space="preserve">Чрез съгласувани действия на всички участници — държавите членки, третите държави, агенциите и институциите на ЕС — след срещата на лидерите, свикана от Комисията през октомври 2015 г., хаотичното придвижване на мигранти беше заменено с координирани мерки по </w:t>
      </w:r>
      <w:r>
        <w:rPr>
          <w:rFonts w:ascii="Times New Roman" w:hAnsi="Times New Roman"/>
          <w:b/>
          <w:noProof/>
          <w:color w:val="000000"/>
          <w:spacing w:val="-6"/>
          <w:sz w:val="24"/>
        </w:rPr>
        <w:t>маршрута през Западните Балкани</w:t>
      </w:r>
      <w:r>
        <w:rPr>
          <w:rFonts w:ascii="Times New Roman" w:hAnsi="Times New Roman"/>
          <w:noProof/>
          <w:color w:val="000000"/>
          <w:spacing w:val="-6"/>
          <w:sz w:val="24"/>
        </w:rPr>
        <w:t>. Беше оказана подкрепа на Унгария, Словения, Хърватия и Гърция, както и на Сърбия по линия на Механизма за гражданска защита на ЕС. Освен това бяха отпуснати почти 23 милиона евро за хуманитарна помощ на ЕС, за да се помогне на бежанците и мигрантите в Западните Балкани. След рязкото нарастване на броя на пристигащите през лятото на 2015 г. в рамките на предприсъединителната помощ (ИПП) за Западните Балкани бяха отпуснати 78 милиона евро за подпомагане на тези държави при управлението на притока на мигранти на границата и за подобряване на техния капацитет за прием на мигранти и бежанци.</w:t>
      </w:r>
    </w:p>
    <w:p>
      <w:pPr>
        <w:autoSpaceDE w:val="0"/>
        <w:autoSpaceDN w:val="0"/>
        <w:adjustRightInd w:val="0"/>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Създаването на </w:t>
      </w:r>
      <w:r>
        <w:rPr>
          <w:rFonts w:ascii="Times New Roman" w:hAnsi="Times New Roman"/>
          <w:b/>
          <w:noProof/>
          <w:color w:val="000000"/>
          <w:sz w:val="24"/>
        </w:rPr>
        <w:t>горещи точки в Гърция и Италия</w:t>
      </w:r>
      <w:r>
        <w:rPr>
          <w:rFonts w:ascii="Times New Roman" w:hAnsi="Times New Roman"/>
          <w:noProof/>
          <w:color w:val="000000"/>
          <w:sz w:val="24"/>
        </w:rPr>
        <w:t xml:space="preserve"> се оказа ефикасно за подобряване на управлението на притока на мигранти. Наред със създаването на </w:t>
      </w:r>
      <w:r>
        <w:rPr>
          <w:rFonts w:ascii="Times New Roman" w:hAnsi="Times New Roman"/>
          <w:b/>
          <w:noProof/>
          <w:color w:val="000000"/>
          <w:sz w:val="24"/>
        </w:rPr>
        <w:t>Европейската агенция за гранична и брегова охрана</w:t>
      </w:r>
      <w:r>
        <w:rPr>
          <w:rFonts w:ascii="Times New Roman" w:hAnsi="Times New Roman"/>
          <w:noProof/>
          <w:color w:val="000000"/>
          <w:sz w:val="24"/>
        </w:rPr>
        <w:t xml:space="preserve">, то спомогна за подобряване на управлението на </w:t>
      </w:r>
      <w:r>
        <w:rPr>
          <w:rFonts w:ascii="Times New Roman" w:hAnsi="Times New Roman"/>
          <w:b/>
          <w:noProof/>
          <w:color w:val="000000"/>
          <w:sz w:val="24"/>
        </w:rPr>
        <w:t>външните граници на ЕС и допринесе за повишаване на ефективността на процедурите за убежище и за връщане</w:t>
      </w:r>
      <w:r>
        <w:rPr>
          <w:rFonts w:ascii="Times New Roman" w:hAnsi="Times New Roman"/>
          <w:noProof/>
          <w:color w:val="000000"/>
          <w:sz w:val="24"/>
        </w:rPr>
        <w:t>.</w:t>
      </w:r>
    </w:p>
    <w:p>
      <w:pPr>
        <w:autoSpaceDE w:val="0"/>
        <w:autoSpaceDN w:val="0"/>
        <w:adjustRightInd w:val="0"/>
        <w:spacing w:after="240" w:line="240" w:lineRule="auto"/>
        <w:jc w:val="both"/>
        <w:rPr>
          <w:rFonts w:ascii="Times New Roman" w:hAnsi="Times New Roman" w:cs="Times New Roman"/>
          <w:bCs/>
          <w:noProof/>
          <w:color w:val="000000"/>
          <w:sz w:val="24"/>
          <w:szCs w:val="24"/>
        </w:rPr>
      </w:pPr>
      <w:r>
        <w:rPr>
          <w:rFonts w:ascii="Times New Roman" w:hAnsi="Times New Roman"/>
          <w:noProof/>
          <w:color w:val="000000"/>
          <w:sz w:val="24"/>
        </w:rPr>
        <w:t xml:space="preserve">По линия на </w:t>
      </w:r>
      <w:r>
        <w:rPr>
          <w:rFonts w:ascii="Times New Roman" w:hAnsi="Times New Roman"/>
          <w:b/>
          <w:noProof/>
          <w:color w:val="000000"/>
          <w:sz w:val="24"/>
        </w:rPr>
        <w:t>инструмента за помощ с цел спешна подкрепа в рамките на ЕС</w:t>
      </w:r>
      <w:r>
        <w:rPr>
          <w:rFonts w:ascii="Times New Roman" w:hAnsi="Times New Roman"/>
          <w:noProof/>
          <w:color w:val="000000"/>
          <w:sz w:val="24"/>
        </w:rPr>
        <w:t xml:space="preserve"> бяха договорени над 430 милиона евро за подпомагане на действията спрямо бежанците в Гърция</w:t>
      </w:r>
      <w:r>
        <w:rPr>
          <w:rFonts w:ascii="Times New Roman" w:hAnsi="Times New Roman"/>
          <w:b/>
          <w:noProof/>
          <w:color w:val="000000"/>
          <w:sz w:val="24"/>
        </w:rPr>
        <w:t>.</w:t>
      </w:r>
      <w:r>
        <w:rPr>
          <w:rFonts w:ascii="Times New Roman" w:hAnsi="Times New Roman"/>
          <w:noProof/>
          <w:color w:val="000000"/>
          <w:sz w:val="24"/>
        </w:rPr>
        <w:t xml:space="preserve"> Инструментът беше създаден през 2016 г. с цел реагиране на извънредни кризи или бедствия в държавите — членки на ЕС, които водят до възникването на сериозни последици в хуманитарен аспект,</w:t>
      </w:r>
      <w:r>
        <w:rPr>
          <w:noProof/>
        </w:rPr>
        <w:t xml:space="preserve"> </w:t>
      </w:r>
      <w:r>
        <w:rPr>
          <w:rFonts w:ascii="Times New Roman" w:hAnsi="Times New Roman"/>
          <w:noProof/>
          <w:color w:val="000000"/>
          <w:sz w:val="24"/>
        </w:rPr>
        <w:t>и беше задействан за срок от три години, за да се отговори конкретно на потребностите от хуманитарна помощ на бежанците в ЕС.</w:t>
      </w:r>
    </w:p>
    <w:p>
      <w:pPr>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Въз основа на съвместния план за действие на ЕС и Турция в областта на миграцията, договорен на 29 ноември 2015 г., </w:t>
      </w:r>
      <w:r>
        <w:rPr>
          <w:rFonts w:ascii="Times New Roman" w:hAnsi="Times New Roman"/>
          <w:b/>
          <w:noProof/>
          <w:color w:val="000000"/>
          <w:sz w:val="24"/>
        </w:rPr>
        <w:t>изявлението на ЕС и Турция</w:t>
      </w:r>
      <w:r>
        <w:rPr>
          <w:rFonts w:ascii="Times New Roman" w:hAnsi="Times New Roman"/>
          <w:noProof/>
          <w:color w:val="000000"/>
          <w:sz w:val="24"/>
        </w:rPr>
        <w:t xml:space="preserve"> от 18 март 2016 г. изигра решаваща роля за спиране на неконтролирания приток на мигранти, който доведе до нетърпима хуманитарна криза. От първите седмици на прилагането си изявлението доведе до рязко намаляване на броя на незаконно пристигащите и на смъртните случаи, като същевременно отвори законен канал за презаселване, давайки по този начин реален шанс на лицата, нуждаещи се от закрила. Тези съвместни усилия на ЕС и Турция създадоха алтернатива на опасните маршрути за миграция</w:t>
      </w:r>
      <w:r>
        <w:rPr>
          <w:rFonts w:ascii="Times New Roman" w:hAnsi="Times New Roman"/>
          <w:noProof/>
          <w:color w:val="000000"/>
          <w:sz w:val="24"/>
          <w:vertAlign w:val="superscript"/>
        </w:rPr>
        <w:footnoteReference w:id="6"/>
      </w:r>
      <w:r>
        <w:rPr>
          <w:rFonts w:ascii="Times New Roman" w:hAnsi="Times New Roman"/>
          <w:noProof/>
          <w:color w:val="000000"/>
          <w:sz w:val="24"/>
        </w:rPr>
        <w:t>, заменяйки ги с организирани, безопасни и законни пътища към Европа</w:t>
      </w:r>
      <w:r>
        <w:rPr>
          <w:rFonts w:ascii="Times New Roman" w:hAnsi="Times New Roman"/>
          <w:noProof/>
          <w:color w:val="000000"/>
          <w:sz w:val="24"/>
          <w:vertAlign w:val="superscript"/>
        </w:rPr>
        <w:footnoteReference w:id="7"/>
      </w:r>
      <w:r>
        <w:rPr>
          <w:rFonts w:ascii="Times New Roman" w:hAnsi="Times New Roman"/>
          <w:noProof/>
          <w:color w:val="000000"/>
          <w:sz w:val="24"/>
        </w:rPr>
        <w:t xml:space="preserve"> за лицата, които имат право на международна закрила, като същевременно улесниха връщането, в съответствие с правото на ЕС и международното право, въпреки че все още са необходими допълнителни усилия.</w:t>
      </w:r>
    </w:p>
    <w:p>
      <w:pPr>
        <w:spacing w:after="240" w:line="240" w:lineRule="auto"/>
        <w:jc w:val="both"/>
        <w:rPr>
          <w:rFonts w:ascii="Times New Roman" w:hAnsi="Times New Roman" w:cs="Times New Roman"/>
          <w:noProof/>
          <w:sz w:val="24"/>
          <w:szCs w:val="24"/>
        </w:rPr>
      </w:pPr>
      <w:r>
        <w:rPr>
          <w:rFonts w:ascii="Times New Roman" w:hAnsi="Times New Roman"/>
          <w:noProof/>
          <w:color w:val="000000"/>
          <w:sz w:val="24"/>
        </w:rPr>
        <w:t xml:space="preserve">Като част от тези усилия </w:t>
      </w:r>
      <w:r>
        <w:rPr>
          <w:rFonts w:ascii="Times New Roman" w:hAnsi="Times New Roman"/>
          <w:b/>
          <w:noProof/>
          <w:color w:val="000000"/>
          <w:sz w:val="24"/>
        </w:rPr>
        <w:t>Механизмът на ЕС за бежанците в Турция</w:t>
      </w:r>
      <w:r>
        <w:rPr>
          <w:rFonts w:ascii="Times New Roman" w:hAnsi="Times New Roman"/>
          <w:noProof/>
          <w:color w:val="000000"/>
          <w:sz w:val="24"/>
        </w:rPr>
        <w:t>, възлизащ на общо 3 милиарда евро за 2016 г. и 2017 г., се доказа като подходящия инструмент за</w:t>
      </w:r>
      <w:r>
        <w:rPr>
          <w:rFonts w:ascii="Times New Roman" w:hAnsi="Times New Roman"/>
          <w:noProof/>
          <w:sz w:val="24"/>
        </w:rPr>
        <w:t xml:space="preserve"> осигуряване на практическа подкрепа, варираща </w:t>
      </w:r>
      <w:r>
        <w:rPr>
          <w:rFonts w:ascii="Times New Roman" w:hAnsi="Times New Roman"/>
          <w:noProof/>
          <w:color w:val="000000"/>
          <w:sz w:val="24"/>
        </w:rPr>
        <w:t>от хуманитарна помощ до образование, управление на миграцията, здравеопазване, общинска инфраструктура и социално-икономическа подкрепа</w:t>
      </w:r>
      <w:r>
        <w:rPr>
          <w:rFonts w:ascii="Times New Roman" w:hAnsi="Times New Roman"/>
          <w:noProof/>
          <w:sz w:val="24"/>
        </w:rPr>
        <w:t xml:space="preserve"> за бежанците и приемните общности в Турция. До момента са договорени малко над половината от тези общо 3 милиарда евро за периода 2016—2017 г. (1,66 милиарда евро). Продължават усилията до края на 2017 г. да бъде договорена и останалата сума. За пълното и устойчиво прилагане на изявлението на ЕС и Турция се изискват постоянни усилия и политическа решимост от всички страни. В това изявление се посочва, че „при почти пълното изчерпване на отпуснатите 3 милиарда евро и при условие че всички ангажименти са спазени, ЕС ще мобилизира допълнително финансиране за механизма от още 3 милиарда евро до края на 2018 г.“. </w:t>
      </w:r>
      <w:r>
        <w:rPr>
          <w:rFonts w:ascii="Times New Roman" w:hAnsi="Times New Roman"/>
          <w:noProof/>
          <w:color w:val="000000"/>
          <w:sz w:val="24"/>
        </w:rPr>
        <w:t xml:space="preserve">Положението на гръцките острови също налага спешно мобилизиране на допълнителни значителни усилия от страна на гръцките органи и на агенциите и държавите — членки на ЕС, включително ускоряване на темпа на връщане в Турция, при пълно спазване на разпоредбите на ЕС и на международните правила. </w:t>
      </w:r>
      <w:r>
        <w:rPr>
          <w:rFonts w:ascii="Times New Roman" w:hAnsi="Times New Roman"/>
          <w:noProof/>
          <w:sz w:val="24"/>
        </w:rPr>
        <w:t>Сегашното темпо и ангажиментът на държавите членки за презаселване на сирийски бежанци от Турция в Европа следва да се запазят и да продължат да се прилагат. Сега е и моментът за задействане на доброволната схема за хуманитарно приемане (вж. повече подробности в раздел 3.2.).</w:t>
      </w:r>
    </w:p>
    <w:p>
      <w:pPr>
        <w:autoSpaceDE w:val="0"/>
        <w:autoSpaceDN w:val="0"/>
        <w:adjustRightInd w:val="0"/>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Заемащи централно място в решителната хуманитарна реакция на ЕС на кризата със сирийските бежанци, </w:t>
      </w:r>
      <w:r>
        <w:rPr>
          <w:rFonts w:ascii="Times New Roman" w:hAnsi="Times New Roman"/>
          <w:b/>
          <w:noProof/>
          <w:color w:val="000000"/>
          <w:sz w:val="24"/>
        </w:rPr>
        <w:t>програмите на ЕС за хуманитарна помощ</w:t>
      </w:r>
      <w:r>
        <w:rPr>
          <w:rFonts w:ascii="Times New Roman" w:hAnsi="Times New Roman"/>
          <w:noProof/>
          <w:color w:val="000000"/>
          <w:sz w:val="24"/>
        </w:rPr>
        <w:t xml:space="preserve"> и </w:t>
      </w:r>
      <w:r>
        <w:rPr>
          <w:rFonts w:ascii="Times New Roman" w:hAnsi="Times New Roman"/>
          <w:b/>
          <w:noProof/>
          <w:color w:val="000000"/>
          <w:sz w:val="24"/>
        </w:rPr>
        <w:t>Регионалният доверителен фонд на ЕС в отговор на кризата в Сирия</w:t>
      </w:r>
      <w:r>
        <w:rPr>
          <w:rFonts w:ascii="Times New Roman" w:hAnsi="Times New Roman"/>
          <w:noProof/>
          <w:color w:val="000000"/>
          <w:sz w:val="24"/>
        </w:rPr>
        <w:t xml:space="preserve"> подпомагат от началото на кризата</w:t>
      </w:r>
      <w:r>
        <w:rPr>
          <w:rFonts w:ascii="Times New Roman" w:hAnsi="Times New Roman"/>
          <w:noProof/>
          <w:sz w:val="24"/>
        </w:rPr>
        <w:t xml:space="preserve"> </w:t>
      </w:r>
      <w:r>
        <w:rPr>
          <w:rFonts w:ascii="Times New Roman" w:hAnsi="Times New Roman"/>
          <w:noProof/>
          <w:color w:val="000000"/>
          <w:sz w:val="24"/>
        </w:rPr>
        <w:t>нуждаещите се в Сирия и над 2,5 милиона сирийски бежанци и техните приемни общности в Египет, Ирак, Йордания, Ливан, Турция и Западаните Балкани.</w:t>
      </w:r>
    </w:p>
    <w:p>
      <w:pPr>
        <w:spacing w:after="240" w:line="240" w:lineRule="auto"/>
        <w:jc w:val="both"/>
        <w:rPr>
          <w:rFonts w:ascii="Times New Roman" w:hAnsi="Times New Roman"/>
          <w:noProof/>
          <w:sz w:val="24"/>
          <w:szCs w:val="24"/>
        </w:rPr>
      </w:pPr>
      <w:r>
        <w:rPr>
          <w:rFonts w:ascii="Times New Roman" w:hAnsi="Times New Roman"/>
          <w:noProof/>
          <w:color w:val="000000"/>
          <w:sz w:val="24"/>
        </w:rPr>
        <w:t>Освен това ЕС увеличи със 70 %</w:t>
      </w:r>
      <w:r>
        <w:rPr>
          <w:rStyle w:val="FootnoteReference"/>
          <w:rFonts w:ascii="Times New Roman" w:hAnsi="Times New Roman"/>
          <w:noProof/>
          <w:color w:val="000000"/>
          <w:sz w:val="24"/>
        </w:rPr>
        <w:footnoteReference w:id="8"/>
      </w:r>
      <w:r>
        <w:rPr>
          <w:rFonts w:ascii="Times New Roman" w:hAnsi="Times New Roman"/>
          <w:noProof/>
          <w:color w:val="000000"/>
          <w:sz w:val="24"/>
        </w:rPr>
        <w:t xml:space="preserve"> наличното </w:t>
      </w:r>
      <w:r>
        <w:rPr>
          <w:rFonts w:ascii="Times New Roman" w:hAnsi="Times New Roman"/>
          <w:b/>
          <w:noProof/>
          <w:color w:val="000000"/>
          <w:sz w:val="24"/>
        </w:rPr>
        <w:t>финансиране</w:t>
      </w:r>
      <w:r>
        <w:rPr>
          <w:rFonts w:ascii="Times New Roman" w:hAnsi="Times New Roman"/>
          <w:noProof/>
          <w:color w:val="000000"/>
          <w:sz w:val="24"/>
        </w:rPr>
        <w:t xml:space="preserve"> по фонд „Убежище, миграция и интеграция“ (ФУМИ), по фонд „Вътрешна сигурност“ (ФВС) и за съответните агенции на ЕС с цел подпомагане на държавите членки в усилията им в областта на миграцията и управлението на границите. Това спомогна за предоставяне на помощ на</w:t>
      </w:r>
      <w:r>
        <w:rPr>
          <w:rFonts w:ascii="Times New Roman" w:hAnsi="Times New Roman"/>
          <w:noProof/>
          <w:sz w:val="24"/>
        </w:rPr>
        <w:t xml:space="preserve"> 814 000 лица, търсещи убежище в ЕС, като допринесе за интегрирането на 1 915 000 граждани на трети държави и улесни връщането на 83 500 лица</w:t>
      </w:r>
      <w:r>
        <w:rPr>
          <w:rStyle w:val="FootnoteReference"/>
          <w:rFonts w:ascii="Times New Roman" w:hAnsi="Times New Roman"/>
          <w:noProof/>
          <w:sz w:val="24"/>
        </w:rPr>
        <w:footnoteReference w:id="9"/>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color w:val="000000"/>
          <w:sz w:val="24"/>
        </w:rPr>
        <w:t>Към днешна дата от ФУМИ и ФВС вече са платени общо 2,2 милиарда евро за подпомагане на интервенциите в държавите членки в различни области, свързани с миграцията, защитата на границите и сигурността, както при извънредни ситуации, така и в дългосрочна перспектива. Други програми на ЕС също допринесоха. Така например през периода 2015—2017 г. Здравната програма</w:t>
      </w:r>
      <w:r>
        <w:rPr>
          <w:rFonts w:ascii="Times New Roman" w:hAnsi="Times New Roman"/>
          <w:noProof/>
          <w:sz w:val="24"/>
        </w:rPr>
        <w:t xml:space="preserve"> подпомогна държавите членки с 19,2 милиона </w:t>
      </w:r>
      <w:r>
        <w:rPr>
          <w:rFonts w:ascii="Times New Roman" w:hAnsi="Times New Roman"/>
          <w:noProof/>
          <w:color w:val="000000"/>
          <w:sz w:val="24"/>
        </w:rPr>
        <w:t>евро</w:t>
      </w:r>
      <w:r>
        <w:rPr>
          <w:rFonts w:ascii="Times New Roman" w:hAnsi="Times New Roman"/>
          <w:noProof/>
          <w:sz w:val="24"/>
        </w:rPr>
        <w:t xml:space="preserve">, наред с другото, за </w:t>
      </w:r>
      <w:r>
        <w:rPr>
          <w:rFonts w:ascii="Times New Roman" w:hAnsi="Times New Roman"/>
          <w:noProof/>
          <w:color w:val="000000"/>
          <w:sz w:val="24"/>
        </w:rPr>
        <w:t>обучение на медицински специалисти</w:t>
      </w:r>
      <w:r>
        <w:rPr>
          <w:rFonts w:ascii="Times New Roman" w:hAnsi="Times New Roman"/>
          <w:noProof/>
          <w:sz w:val="24"/>
        </w:rPr>
        <w:t>.</w:t>
      </w:r>
    </w:p>
    <w:p>
      <w:pPr>
        <w:spacing w:after="240" w:line="240" w:lineRule="auto"/>
        <w:jc w:val="both"/>
        <w:rPr>
          <w:rFonts w:ascii="Times New Roman" w:eastAsia="Calibri" w:hAnsi="Times New Roman" w:cs="Times New Roman"/>
          <w:noProof/>
          <w:color w:val="000000"/>
          <w:spacing w:val="-2"/>
          <w:sz w:val="24"/>
          <w:szCs w:val="24"/>
        </w:rPr>
      </w:pPr>
      <w:r>
        <w:rPr>
          <w:rFonts w:ascii="Times New Roman" w:hAnsi="Times New Roman"/>
          <w:noProof/>
          <w:color w:val="000000"/>
          <w:spacing w:val="-2"/>
          <w:sz w:val="24"/>
        </w:rPr>
        <w:t xml:space="preserve">Натискът върху системите за убежище на Гърция и Италия беше облекчен чрез първите широкомащабни </w:t>
      </w:r>
      <w:r>
        <w:rPr>
          <w:rFonts w:ascii="Times New Roman" w:hAnsi="Times New Roman"/>
          <w:b/>
          <w:noProof/>
          <w:color w:val="000000"/>
          <w:spacing w:val="-2"/>
          <w:sz w:val="24"/>
        </w:rPr>
        <w:t>координирани усилия на ЕС за преместване</w:t>
      </w:r>
      <w:r>
        <w:rPr>
          <w:rFonts w:ascii="Times New Roman" w:hAnsi="Times New Roman"/>
          <w:noProof/>
          <w:color w:val="000000"/>
          <w:spacing w:val="-2"/>
          <w:sz w:val="24"/>
        </w:rPr>
        <w:t xml:space="preserve"> на кандидати за убежище в други държави членки. Стартът беше бавен, но броят на преместените чрез схемите лица непрекъснато расте, което показва, че солидарността може да има реални измерения. Към 20 септември 2017 г. са преместени над 28 500 души, което представлява около 90 % от лицата, за които са били изпратени искания за преместване. Добри резултати даде и </w:t>
      </w:r>
      <w:r>
        <w:rPr>
          <w:rFonts w:ascii="Times New Roman" w:hAnsi="Times New Roman"/>
          <w:b/>
          <w:noProof/>
          <w:color w:val="000000"/>
          <w:spacing w:val="-2"/>
          <w:sz w:val="24"/>
        </w:rPr>
        <w:t>първата общоевропейска схема за презаселване</w:t>
      </w:r>
      <w:r>
        <w:rPr>
          <w:rFonts w:ascii="Times New Roman" w:hAnsi="Times New Roman"/>
          <w:noProof/>
          <w:color w:val="000000"/>
          <w:spacing w:val="-2"/>
          <w:sz w:val="24"/>
        </w:rPr>
        <w:t>, чието начало беше поставено през юли 2015 г.</w:t>
      </w:r>
      <w:r>
        <w:rPr>
          <w:rFonts w:ascii="Times New Roman" w:hAnsi="Times New Roman"/>
          <w:noProof/>
          <w:color w:val="000000"/>
          <w:spacing w:val="-2"/>
          <w:sz w:val="24"/>
          <w:vertAlign w:val="superscript"/>
        </w:rPr>
        <w:footnoteReference w:id="10"/>
      </w:r>
      <w:r>
        <w:rPr>
          <w:rFonts w:ascii="Times New Roman" w:hAnsi="Times New Roman"/>
          <w:noProof/>
          <w:color w:val="000000"/>
          <w:spacing w:val="-2"/>
          <w:sz w:val="24"/>
        </w:rPr>
        <w:t xml:space="preserve"> Над 23 000 души бяха презаселени съгласно тази схема и съгласно схемата, създадена с изявлението на ЕС и Турция, от началото им досега.</w:t>
      </w:r>
    </w:p>
    <w:p>
      <w:pPr>
        <w:spacing w:after="240" w:line="240" w:lineRule="auto"/>
        <w:jc w:val="both"/>
        <w:rPr>
          <w:rFonts w:ascii="Times New Roman" w:eastAsia="Calibri" w:hAnsi="Times New Roman" w:cs="Times New Roman"/>
          <w:noProof/>
          <w:color w:val="000000"/>
          <w:spacing w:val="-2"/>
          <w:sz w:val="24"/>
          <w:szCs w:val="24"/>
        </w:rPr>
      </w:pPr>
      <w:r>
        <w:rPr>
          <w:rFonts w:ascii="Times New Roman" w:hAnsi="Times New Roman"/>
          <w:noProof/>
          <w:color w:val="000000"/>
          <w:spacing w:val="-2"/>
          <w:sz w:val="24"/>
        </w:rPr>
        <w:t xml:space="preserve">Същевременно, в сътрудничество с някои международни организации и държави членки, бяха предприети решителни стъпки за повишаване на капацитета на либийската брегова охрана с цел справяне с непрекъснатия приток на незаконно пристигащи в Италия по </w:t>
      </w:r>
      <w:r>
        <w:rPr>
          <w:rFonts w:ascii="Times New Roman" w:hAnsi="Times New Roman"/>
          <w:b/>
          <w:noProof/>
          <w:color w:val="000000"/>
          <w:spacing w:val="-2"/>
          <w:sz w:val="24"/>
        </w:rPr>
        <w:t>маршрута през Централното Средиземноморие</w:t>
      </w:r>
      <w:r>
        <w:rPr>
          <w:rFonts w:ascii="Times New Roman" w:hAnsi="Times New Roman"/>
          <w:noProof/>
          <w:color w:val="000000"/>
          <w:spacing w:val="-2"/>
          <w:sz w:val="24"/>
        </w:rPr>
        <w:t>, като през последните месеци имаше първи признаци на спад. Това усилие беше придружено със засилено партньорство с международните организации за подобряване на хуманитарната ситуация в Либия и предлагане алтернативни пътища за блокираните мигранти.</w:t>
      </w:r>
    </w:p>
    <w:p>
      <w:pPr>
        <w:spacing w:after="240" w:line="240" w:lineRule="auto"/>
        <w:jc w:val="both"/>
        <w:rPr>
          <w:rFonts w:ascii="Times New Roman" w:eastAsia="Calibri" w:hAnsi="Times New Roman" w:cs="Times New Roman"/>
          <w:noProof/>
          <w:sz w:val="24"/>
          <w:szCs w:val="24"/>
        </w:rPr>
      </w:pPr>
      <w:r>
        <w:rPr>
          <w:rFonts w:ascii="Times New Roman" w:hAnsi="Times New Roman"/>
          <w:noProof/>
          <w:color w:val="000000"/>
          <w:sz w:val="24"/>
        </w:rPr>
        <w:t xml:space="preserve">Незабавната реакция допълни </w:t>
      </w:r>
      <w:r>
        <w:rPr>
          <w:rFonts w:ascii="Times New Roman" w:hAnsi="Times New Roman"/>
          <w:b/>
          <w:noProof/>
          <w:color w:val="000000"/>
          <w:sz w:val="24"/>
        </w:rPr>
        <w:t>общите и непрекъснати усилия на равнището на Съюза</w:t>
      </w:r>
      <w:r>
        <w:rPr>
          <w:rFonts w:ascii="Times New Roman" w:hAnsi="Times New Roman"/>
          <w:noProof/>
          <w:color w:val="000000"/>
          <w:sz w:val="24"/>
        </w:rPr>
        <w:t>, за които отделните, но координирани действия на всички участници — държавите членки, институциите и агенциите на ЕС, международните организации и гражданското общество — изиграха решаваща роля.</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2.2.</w:t>
      </w:r>
      <w:r>
        <w:rPr>
          <w:noProof/>
        </w:rPr>
        <w:tab/>
      </w:r>
      <w:r>
        <w:rPr>
          <w:rFonts w:ascii="Times New Roman" w:hAnsi="Times New Roman"/>
          <w:b/>
          <w:i/>
          <w:noProof/>
          <w:color w:val="000000"/>
          <w:sz w:val="24"/>
        </w:rPr>
        <w:t>Намаляване на стимулите за незаконна миграция</w:t>
      </w:r>
    </w:p>
    <w:p>
      <w:pPr>
        <w:autoSpaceDE w:val="0"/>
        <w:autoSpaceDN w:val="0"/>
        <w:adjustRightInd w:val="0"/>
        <w:spacing w:after="24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Съюзът и държавите членки продължиха да работят за ефикасното предотвратяване на притока на незаконни мигранти, извън и на територията на Съюза, както и в посока на изграждане на надеждна система за връщане, чрез която ефективно да се прилагат взетите решения.</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Първопричини — подкрепа за трети държави</w:t>
      </w: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Що се отнася до борбата с първопричините, ЕС и неговите държави членки продължават да бъдат най-големият източник на помощ за развитие, като през 2016 г. са предоставили 75,5 милиарда евро, или близо 60 % от помощта на световно равнище от страна на членовете на ОИСР. Това финансиране помага да се стимулира икономиката на държавите партньори, за да се даде шанс на младите хора да градят бъдеще, за да се гарантират продоволствената и хранителната сигурност и достъпът до енергия и за да се установят добро управление и зачитане на човешките права, включително в Африка.</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Успоредно с действията, започнати през 2015 г., като например процеса от Валета, през юни 2016 г. Комисията предложи нов подход за взаимодействие с държавите на произход и на транзитно преминаване.</w:t>
      </w:r>
      <w:r>
        <w:rPr>
          <w:rFonts w:ascii="Times New Roman" w:hAnsi="Times New Roman"/>
          <w:b/>
          <w:noProof/>
          <w:color w:val="000000"/>
          <w:sz w:val="24"/>
        </w:rPr>
        <w:t xml:space="preserve"> Този подход, основан на Рамката за партньорство</w:t>
      </w:r>
      <w:r>
        <w:rPr>
          <w:rFonts w:ascii="Times New Roman" w:hAnsi="Times New Roman"/>
          <w:noProof/>
          <w:color w:val="000000"/>
          <w:sz w:val="24"/>
          <w:vertAlign w:val="superscript"/>
        </w:rPr>
        <w:footnoteReference w:id="11"/>
      </w:r>
      <w:r>
        <w:rPr>
          <w:rFonts w:ascii="Times New Roman" w:hAnsi="Times New Roman"/>
          <w:noProof/>
          <w:color w:val="000000"/>
          <w:sz w:val="24"/>
        </w:rPr>
        <w:t>,</w:t>
      </w:r>
      <w:r>
        <w:rPr>
          <w:rFonts w:ascii="Times New Roman" w:hAnsi="Times New Roman"/>
          <w:b/>
          <w:noProof/>
          <w:color w:val="000000"/>
          <w:sz w:val="24"/>
        </w:rPr>
        <w:t xml:space="preserve"> </w:t>
      </w:r>
      <w:r>
        <w:rPr>
          <w:rFonts w:ascii="Times New Roman" w:hAnsi="Times New Roman"/>
          <w:noProof/>
          <w:color w:val="000000"/>
          <w:sz w:val="24"/>
        </w:rPr>
        <w:t>за сътрудничество в областта на миграцията има двойната цел да отстрани първопричините за незаконната миграция чрез сътрудничество за развитие, като същевременно насърчава по-тясното сътрудничество с трети държави по всички аспекти на миграцията, в това число в борбата с контрабандата на хора и в обратното приемане на собствени граждани. Подходът започна да се прилага през юни 2016 г. с пет приоритетни държави и оттогава той беше разширен, за да обхване по-голяма група от държави, като бяха постигнати някои важни резултати, особено по отношение на отстраняването на първопричините и разбиването на мрежите за контрабанда и трафик на хора</w:t>
      </w:r>
      <w:r>
        <w:rPr>
          <w:rStyle w:val="FootnoteReference"/>
          <w:rFonts w:ascii="Times New Roman" w:hAnsi="Times New Roman"/>
          <w:noProof/>
          <w:color w:val="000000"/>
          <w:sz w:val="24"/>
        </w:rPr>
        <w:footnoteReference w:id="12"/>
      </w:r>
      <w:r>
        <w:rPr>
          <w:rFonts w:ascii="Times New Roman" w:hAnsi="Times New Roman"/>
          <w:noProof/>
          <w:color w:val="000000"/>
          <w:sz w:val="24"/>
        </w:rPr>
        <w:t>.</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В подкрепа на тези инициативи от </w:t>
      </w:r>
      <w:r>
        <w:rPr>
          <w:rFonts w:ascii="Times New Roman" w:hAnsi="Times New Roman"/>
          <w:b/>
          <w:noProof/>
          <w:color w:val="000000"/>
          <w:sz w:val="24"/>
        </w:rPr>
        <w:t>Доверителния фонд на ЕС за Африка</w:t>
      </w:r>
      <w:r>
        <w:rPr>
          <w:rFonts w:ascii="Times New Roman" w:hAnsi="Times New Roman"/>
          <w:noProof/>
          <w:color w:val="000000"/>
          <w:sz w:val="24"/>
        </w:rPr>
        <w:t xml:space="preserve"> бяха предоставени 3,1 милиарда евро на 26 държави в региона на Сахел и езерото Чад, Африканския рог и Северна Африка, като само 227,7 милиона евро идват от бюджетите на държавите — членки на ЕС, и други партньори. Бяха одобрени над 117 проекта на стойност близо 2 милиарда евро. Комисията настоятелно призовава държавите членки да внесат още средства във Фонда.</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Фондът също изигра важна роля в </w:t>
      </w:r>
      <w:r>
        <w:rPr>
          <w:rFonts w:ascii="Times New Roman" w:hAnsi="Times New Roman"/>
          <w:b/>
          <w:noProof/>
          <w:color w:val="000000"/>
          <w:sz w:val="24"/>
        </w:rPr>
        <w:t>Централното Средиземноморие</w:t>
      </w:r>
      <w:r>
        <w:rPr>
          <w:rFonts w:ascii="Times New Roman" w:hAnsi="Times New Roman"/>
          <w:noProof/>
          <w:color w:val="000000"/>
          <w:sz w:val="24"/>
        </w:rPr>
        <w:t>, например чрез подпомагане на дейността на Международната организация по миграция и на върховния комисар на ООН за бежанците с цел засилване на защитата на мигрантите и бежанците, както и с цел подобряване на условията на живот и създаване на възможности за заетост в приемните общности. През април 2017 г. по тези въпроси беше приета програма с бюджет от 90 милиона евро. Действията по линия на регионалните програми за развитие и закрила в Северна Африка и Африканския рог също допринесоха за постигането на тази цел. Освен това от 2016 г. досега съвместните усилия с Международната организация по миграция доведоха до почти утрояване на броя на подпомогнатите доброволни връщания на мигранти от Либия в техните държави на произход: само през 2017 г. в страните си бяха върнати близо 7 500 души от Либия, както и 4 000 души от Нигер.</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noProof/>
          <w:color w:val="000000"/>
          <w:sz w:val="24"/>
        </w:rPr>
      </w:pPr>
      <w:r>
        <w:rPr>
          <w:rFonts w:ascii="Times New Roman" w:hAnsi="Times New Roman"/>
          <w:noProof/>
          <w:color w:val="000000"/>
          <w:sz w:val="24"/>
        </w:rPr>
        <w:t>Накрая, но не на последно място, през 2015 г. международната общност се споразумя за новаторска програма относно финансирането за развитие</w:t>
      </w:r>
      <w:r>
        <w:rPr>
          <w:rFonts w:ascii="Times New Roman" w:hAnsi="Times New Roman"/>
          <w:noProof/>
          <w:color w:val="000000"/>
          <w:sz w:val="24"/>
          <w:vertAlign w:val="superscript"/>
        </w:rPr>
        <w:footnoteReference w:id="13"/>
      </w:r>
      <w:r>
        <w:rPr>
          <w:rFonts w:ascii="Times New Roman" w:hAnsi="Times New Roman"/>
          <w:noProof/>
          <w:color w:val="000000"/>
          <w:sz w:val="24"/>
        </w:rPr>
        <w:t xml:space="preserve">, в която се призовава за нови, по-новаторски начини за финансиране на развитието, по-специално чрез мобилизиране на частни ресурси, за да се запълни недостигът на финансиране, необходимо за постигане на целите за устойчиво развитие до 2030 г. </w:t>
      </w:r>
      <w:r>
        <w:rPr>
          <w:rFonts w:ascii="Times New Roman" w:hAnsi="Times New Roman"/>
          <w:b/>
          <w:noProof/>
          <w:color w:val="000000"/>
          <w:sz w:val="24"/>
        </w:rPr>
        <w:t>Новият План за външни инвестиции</w:t>
      </w:r>
      <w:r>
        <w:rPr>
          <w:rFonts w:ascii="Times New Roman" w:hAnsi="Times New Roman"/>
          <w:noProof/>
          <w:color w:val="000000"/>
          <w:sz w:val="24"/>
        </w:rPr>
        <w:t xml:space="preserve"> е част от приноса на ЕС за изпълнението на тези ангажименти. Очаква се той да доведе до мобилизирането на над 44 милиарда евро инвестиции в партньорските държави в Африка и в съседния на ЕС регион до 2020 г.</w:t>
      </w:r>
    </w:p>
    <w:p>
      <w:pPr>
        <w:spacing w:after="0" w:line="240" w:lineRule="auto"/>
        <w:jc w:val="both"/>
        <w:rPr>
          <w:rFonts w:ascii="Times New Roman" w:hAnsi="Times New Roman" w:cs="Times New Roman"/>
          <w:noProof/>
          <w:color w:val="000000"/>
          <w:sz w:val="24"/>
          <w:szCs w:val="24"/>
        </w:rPr>
      </w:pPr>
    </w:p>
    <w:p>
      <w:pPr>
        <w:keepNext/>
        <w:autoSpaceDE w:val="0"/>
        <w:autoSpaceDN w:val="0"/>
        <w:adjustRightInd w:val="0"/>
        <w:spacing w:after="0" w:line="240" w:lineRule="auto"/>
        <w:jc w:val="both"/>
        <w:rPr>
          <w:rFonts w:ascii="Times New Roman" w:hAnsi="Times New Roman"/>
          <w:i/>
          <w:noProof/>
          <w:color w:val="000000"/>
          <w:sz w:val="24"/>
        </w:rPr>
      </w:pPr>
      <w:r>
        <w:rPr>
          <w:rFonts w:ascii="Times New Roman" w:hAnsi="Times New Roman"/>
          <w:i/>
          <w:noProof/>
          <w:color w:val="000000"/>
          <w:sz w:val="24"/>
        </w:rPr>
        <w:t>Контрабанда на мигранти</w:t>
      </w:r>
    </w:p>
    <w:p>
      <w:pPr>
        <w:autoSpaceDE w:val="0"/>
        <w:autoSpaceDN w:val="0"/>
        <w:adjustRightInd w:val="0"/>
        <w:spacing w:after="0" w:line="240" w:lineRule="auto"/>
        <w:jc w:val="both"/>
        <w:rPr>
          <w:rFonts w:ascii="Times New Roman" w:hAnsi="Times New Roman"/>
          <w:noProof/>
          <w:color w:val="000000"/>
          <w:sz w:val="24"/>
        </w:rPr>
      </w:pPr>
    </w:p>
    <w:p>
      <w:pPr>
        <w:autoSpaceDE w:val="0"/>
        <w:autoSpaceDN w:val="0"/>
        <w:adjustRightInd w:val="0"/>
        <w:spacing w:after="0" w:line="240" w:lineRule="auto"/>
        <w:jc w:val="both"/>
        <w:rPr>
          <w:rFonts w:ascii="Times New Roman" w:hAnsi="Times New Roman"/>
          <w:noProof/>
          <w:color w:val="000000"/>
          <w:spacing w:val="-4"/>
          <w:sz w:val="24"/>
        </w:rPr>
      </w:pPr>
      <w:r>
        <w:rPr>
          <w:rFonts w:ascii="Times New Roman" w:hAnsi="Times New Roman"/>
          <w:noProof/>
          <w:color w:val="000000"/>
          <w:spacing w:val="-4"/>
          <w:sz w:val="24"/>
        </w:rPr>
        <w:t>Съюзът и държавите членки продължиха да предприеме ефективни действия за превенция и борба с престъпната дейност на контрабандистите и трафикантите на хора по протежение на целия маршрут, като се започне от самото начало в държавите на произход и на транзитно преминаване и се приключи на територията на ЕС. Контрабандата на мигранти продължава да бъде източник на много големи приходи за престъпниците</w:t>
      </w:r>
      <w:r>
        <w:rPr>
          <w:rFonts w:ascii="Times New Roman" w:hAnsi="Times New Roman"/>
          <w:noProof/>
          <w:color w:val="000000"/>
          <w:spacing w:val="-4"/>
          <w:sz w:val="24"/>
          <w:vertAlign w:val="superscript"/>
        </w:rPr>
        <w:footnoteReference w:id="14"/>
      </w:r>
      <w:r>
        <w:rPr>
          <w:rFonts w:ascii="Times New Roman" w:hAnsi="Times New Roman"/>
          <w:noProof/>
          <w:color w:val="000000"/>
          <w:spacing w:val="-4"/>
          <w:sz w:val="24"/>
        </w:rPr>
        <w:t>.</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noProof/>
          <w:color w:val="000000" w:themeColor="text1"/>
          <w:spacing w:val="-6"/>
          <w:sz w:val="24"/>
        </w:rPr>
      </w:pPr>
      <w:r>
        <w:rPr>
          <w:rFonts w:ascii="Times New Roman" w:hAnsi="Times New Roman"/>
          <w:b/>
          <w:noProof/>
          <w:color w:val="000000"/>
          <w:spacing w:val="-6"/>
          <w:sz w:val="24"/>
        </w:rPr>
        <w:t>Планът за действие срещу контрабандата на мигранти</w:t>
      </w:r>
      <w:r>
        <w:rPr>
          <w:rFonts w:ascii="Times New Roman" w:hAnsi="Times New Roman"/>
          <w:noProof/>
          <w:color w:val="000000" w:themeColor="text1"/>
          <w:spacing w:val="-6"/>
          <w:sz w:val="24"/>
        </w:rPr>
        <w:t xml:space="preserve"> от май 2015 г.</w:t>
      </w:r>
      <w:r>
        <w:rPr>
          <w:rFonts w:ascii="Times New Roman" w:hAnsi="Times New Roman"/>
          <w:noProof/>
          <w:color w:val="000000" w:themeColor="text1"/>
          <w:spacing w:val="-6"/>
          <w:sz w:val="24"/>
          <w:vertAlign w:val="superscript"/>
        </w:rPr>
        <w:footnoteReference w:id="15"/>
      </w:r>
      <w:r>
        <w:rPr>
          <w:rFonts w:ascii="Times New Roman" w:hAnsi="Times New Roman"/>
          <w:noProof/>
          <w:color w:val="000000" w:themeColor="text1"/>
          <w:spacing w:val="-6"/>
          <w:sz w:val="24"/>
        </w:rPr>
        <w:t xml:space="preserve"> беше повод за държавите членки, агенциите на ЕС и други заинтересовани организации да работят в тясно сътрудничество по основни приоритети, което позволи да се установят недостатъците и да се намерят решения за тяхното отстраняване. Изпълнението на Плана е в ход.</w:t>
      </w:r>
    </w:p>
    <w:p>
      <w:pPr>
        <w:autoSpaceDE w:val="0"/>
        <w:autoSpaceDN w:val="0"/>
        <w:adjustRightInd w:val="0"/>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noProof/>
          <w:color w:val="000000"/>
          <w:spacing w:val="-2"/>
          <w:sz w:val="24"/>
        </w:rPr>
      </w:pPr>
      <w:r>
        <w:rPr>
          <w:rFonts w:ascii="Times New Roman" w:hAnsi="Times New Roman"/>
          <w:noProof/>
          <w:color w:val="000000"/>
          <w:spacing w:val="-2"/>
          <w:sz w:val="24"/>
        </w:rPr>
        <w:t xml:space="preserve">По-специално </w:t>
      </w:r>
      <w:r>
        <w:rPr>
          <w:rFonts w:ascii="Times New Roman" w:hAnsi="Times New Roman"/>
          <w:b/>
          <w:noProof/>
          <w:color w:val="000000"/>
          <w:spacing w:val="-2"/>
          <w:sz w:val="24"/>
        </w:rPr>
        <w:t>Европейският център за борба с контрабандата на мигранти</w:t>
      </w:r>
      <w:r>
        <w:rPr>
          <w:rFonts w:ascii="Times New Roman" w:hAnsi="Times New Roman"/>
          <w:noProof/>
          <w:color w:val="000000"/>
          <w:spacing w:val="-2"/>
          <w:sz w:val="24"/>
        </w:rPr>
        <w:t xml:space="preserve"> към Европол, който започна да действа през 2016 г., доказа, че има значителна добавена стойност при предоставянето на оперативна подкрепа на държавите членки в борбата с контрабандата на хора. Той е оказал подкрепа при провеждането на дейни разследвания по редица знакови случаи срещу престъпни мрежи — 68 случая от началото на 2017 г. досега и 93 случая през първата година от работата му, довели до задържането на 147 лица през 2016 г. и на над 167 лица от началото на тази година досега. Освен това Центърът оказва подкрепа и на съвместните екипи за разследване (три през 2017 г. и два през 2016 г.) и до момента е открил и провел наблюдение на 830 плавателни съда, представляващи интерес, които е възможно да се използват за контрабанда на мигранти.</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noProof/>
          <w:sz w:val="24"/>
        </w:rPr>
      </w:pPr>
      <w:r>
        <w:rPr>
          <w:rFonts w:ascii="Times New Roman" w:hAnsi="Times New Roman"/>
          <w:noProof/>
          <w:color w:val="000000"/>
          <w:sz w:val="24"/>
        </w:rPr>
        <w:t>Държавите членки и агенциите на ЕС предприеха конкретни действия във връзка с финансовото разследване на контрабандата на мигранти</w:t>
      </w:r>
      <w:r>
        <w:rPr>
          <w:rFonts w:ascii="Times New Roman" w:hAnsi="Times New Roman"/>
          <w:noProof/>
          <w:sz w:val="24"/>
        </w:rPr>
        <w:t xml:space="preserve">, включително чрез съсредоточаване върху ролята на звената за финансово разузнаване и тяхното сътрудничество с правоприлагащите органи в </w:t>
      </w:r>
      <w:r>
        <w:rPr>
          <w:rFonts w:ascii="Times New Roman" w:hAnsi="Times New Roman"/>
          <w:b/>
          <w:noProof/>
          <w:sz w:val="24"/>
        </w:rPr>
        <w:t>проследяването на незаконните финансови потоци</w:t>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Успоредно с това, през октомври 2015 г. беше създадена тематичната група на Евроюст по въпросите на контрабандата на незаконни имигранти с цел да установи и да анализира предизвикателствата в областта на разследването и на повдигането и поддържането на обвинения по дела за контрабанда на мигранти, както и най-добрите практики в тази област. През 2017 г. 10 съвместни екипа за разследване действат по 34 случая, регистрирани в Евроюст.</w:t>
      </w:r>
    </w:p>
    <w:p>
      <w:pPr>
        <w:autoSpaceDE w:val="0"/>
        <w:autoSpaceDN w:val="0"/>
        <w:adjustRightInd w:val="0"/>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color w:val="000000"/>
          <w:sz w:val="24"/>
        </w:rPr>
      </w:pPr>
      <w:r>
        <w:rPr>
          <w:rFonts w:ascii="Times New Roman" w:hAnsi="Times New Roman"/>
          <w:b/>
          <w:noProof/>
          <w:color w:val="000000"/>
          <w:sz w:val="24"/>
        </w:rPr>
        <w:t>Споделянето на информация</w:t>
      </w:r>
      <w:r>
        <w:rPr>
          <w:rFonts w:ascii="Times New Roman" w:hAnsi="Times New Roman"/>
          <w:noProof/>
          <w:color w:val="000000"/>
          <w:sz w:val="24"/>
        </w:rPr>
        <w:t xml:space="preserve"> беше значително подобрено на всички равнища — както чрез специални механизми за координация между агенциите на ЕС, така и чрез създаването на мрежа от специални звена за контакт във всяка държава членка. Сега усилията трябва да бъдат съсредоточени също върху разчупването на оперативната изолираност и мобилизирането на всички участници, които работят във и със трети държави. Това включва намирането на </w:t>
      </w:r>
      <w:r>
        <w:rPr>
          <w:rFonts w:ascii="Times New Roman" w:hAnsi="Times New Roman"/>
          <w:b/>
          <w:noProof/>
          <w:color w:val="000000"/>
          <w:sz w:val="24"/>
        </w:rPr>
        <w:t>полезни взаимодействия при обмена на информация</w:t>
      </w:r>
      <w:r>
        <w:rPr>
          <w:rFonts w:ascii="Times New Roman" w:hAnsi="Times New Roman"/>
          <w:noProof/>
          <w:color w:val="000000"/>
          <w:sz w:val="24"/>
        </w:rPr>
        <w:t xml:space="preserve"> между военните и гражданските мисии и операции на ЕС и правоприлагащите органи.</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noProof/>
          <w:sz w:val="24"/>
        </w:rPr>
      </w:pPr>
      <w:r>
        <w:rPr>
          <w:rFonts w:ascii="Times New Roman" w:hAnsi="Times New Roman"/>
          <w:noProof/>
          <w:color w:val="000000" w:themeColor="text1"/>
          <w:sz w:val="24"/>
        </w:rPr>
        <w:t>Комисията извърши задълбочена оценка на правната уредба на ЕС в областта на контрабандата на мигранти</w:t>
      </w:r>
      <w:r>
        <w:rPr>
          <w:rFonts w:ascii="Times New Roman" w:hAnsi="Times New Roman"/>
          <w:noProof/>
          <w:color w:val="000000" w:themeColor="text1"/>
          <w:sz w:val="24"/>
          <w:vertAlign w:val="superscript"/>
        </w:rPr>
        <w:footnoteReference w:id="16"/>
      </w:r>
      <w:r>
        <w:rPr>
          <w:rFonts w:ascii="Times New Roman" w:hAnsi="Times New Roman"/>
          <w:noProof/>
          <w:color w:val="000000" w:themeColor="text1"/>
          <w:sz w:val="24"/>
        </w:rPr>
        <w:t xml:space="preserve"> и ще започне да си сътрудничи със </w:t>
      </w:r>
      <w:r>
        <w:rPr>
          <w:rFonts w:ascii="Times New Roman" w:hAnsi="Times New Roman"/>
          <w:noProof/>
          <w:sz w:val="24"/>
        </w:rPr>
        <w:t>съответните заинтересовани страни и агенции на ЕС, за да подпомогне осъществяването на засилен обмен на знания и добри практики между гражданското общество, прокурорите и правоприлагащите органи с цел да се избегне криминализирането на хуманитарната помощ в рамките на незаконната миграция.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color w:val="000000" w:themeColor="text1"/>
          <w:sz w:val="24"/>
        </w:rPr>
      </w:pPr>
      <w:r>
        <w:rPr>
          <w:rFonts w:ascii="Times New Roman" w:hAnsi="Times New Roman"/>
          <w:b/>
          <w:noProof/>
          <w:color w:val="000000" w:themeColor="text1"/>
          <w:sz w:val="24"/>
        </w:rPr>
        <w:t>Държавите членки обаче трябва да развият и да продължат да консолидират</w:t>
      </w:r>
      <w:r>
        <w:rPr>
          <w:rFonts w:ascii="Times New Roman" w:hAnsi="Times New Roman"/>
          <w:noProof/>
          <w:color w:val="000000" w:themeColor="text1"/>
          <w:sz w:val="24"/>
        </w:rPr>
        <w:t xml:space="preserve"> капацитета си за разследване и повдигане и поддържане на обвинения в случай на контрабанда на мигранти. За тази цел е необходимо да се използват всички възможности на структурите и ресурсите, създадени след приемането на Европейската програма за миграцията. Своевременното и дейно споделяне на информация е от ключово значение. Националните разследващи органи трябва да общуват помежду си и да използват пълноценно ресурсите, предоставени от Европейския център за борба с контрабандата на мигранти към Европол в качеството му на център за информация и разузнавателни данни. Международната обсерватория на контрабандата на мигранти и трафика на хора, чието начало беше поставено неотдавна с европейската военноморска операция Sophia, и инициативите, подети от други участници, като например Интерпол, ще увеличат максимално тяхната добавена стойност, като подпомогнат дейността на Европейския център за борба с контрабандата на мигранти.</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Що се отнася до сътрудничеството с трети държави, </w:t>
      </w:r>
      <w:r>
        <w:rPr>
          <w:rFonts w:ascii="Times New Roman" w:hAnsi="Times New Roman"/>
          <w:b/>
          <w:noProof/>
          <w:color w:val="000000" w:themeColor="text1"/>
          <w:sz w:val="24"/>
        </w:rPr>
        <w:t>моделът на сътрудничество</w:t>
      </w:r>
      <w:r>
        <w:rPr>
          <w:rFonts w:ascii="Times New Roman" w:hAnsi="Times New Roman"/>
          <w:noProof/>
          <w:color w:val="000000" w:themeColor="text1"/>
          <w:sz w:val="24"/>
        </w:rPr>
        <w:t xml:space="preserve"> и изграждане на капацитет </w:t>
      </w:r>
      <w:r>
        <w:rPr>
          <w:rFonts w:ascii="Times New Roman" w:hAnsi="Times New Roman"/>
          <w:b/>
          <w:noProof/>
          <w:color w:val="000000" w:themeColor="text1"/>
          <w:sz w:val="24"/>
        </w:rPr>
        <w:t>чрез съвместни екипи за разследване</w:t>
      </w:r>
      <w:r>
        <w:rPr>
          <w:rFonts w:ascii="Times New Roman" w:hAnsi="Times New Roman"/>
          <w:noProof/>
          <w:color w:val="000000" w:themeColor="text1"/>
          <w:sz w:val="24"/>
        </w:rPr>
        <w:t>, който беше успешно реализиран на практика в Нигер</w:t>
      </w:r>
      <w:r>
        <w:rPr>
          <w:rFonts w:ascii="Times New Roman" w:hAnsi="Times New Roman"/>
          <w:noProof/>
          <w:color w:val="000000" w:themeColor="text1"/>
          <w:sz w:val="24"/>
          <w:vertAlign w:val="superscript"/>
        </w:rPr>
        <w:footnoteReference w:id="17"/>
      </w:r>
      <w:r>
        <w:rPr>
          <w:rFonts w:ascii="Times New Roman" w:hAnsi="Times New Roman"/>
          <w:noProof/>
          <w:color w:val="000000" w:themeColor="text1"/>
          <w:sz w:val="24"/>
        </w:rPr>
        <w:t>, е пример, който следва да се прилага и на други места. Това означава да се подобри координацията между ЕС и мрежите от служители за връзка на агенциите и да се гарантира, че съществуващите платформи се използват ефективно. В приоритетните трети държави следва да се предвиди създаването на нови платформи на ЕС за сътрудничество с цел борба с контрабандата на мигранти.</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noProof/>
          <w:color w:val="000000" w:themeColor="text1"/>
          <w:spacing w:val="-2"/>
          <w:sz w:val="24"/>
        </w:rPr>
      </w:pPr>
      <w:r>
        <w:rPr>
          <w:rFonts w:ascii="Times New Roman" w:hAnsi="Times New Roman"/>
          <w:noProof/>
          <w:color w:val="000000" w:themeColor="text1"/>
          <w:spacing w:val="-2"/>
          <w:sz w:val="24"/>
        </w:rPr>
        <w:t>В същото време мисиите по линия на общата политика за сигурност и отбрана (ОПСО)</w:t>
      </w:r>
      <w:r>
        <w:rPr>
          <w:rStyle w:val="FootnoteReference"/>
          <w:rFonts w:ascii="Times New Roman" w:hAnsi="Times New Roman"/>
          <w:noProof/>
          <w:color w:val="000000" w:themeColor="text1"/>
          <w:spacing w:val="-2"/>
          <w:sz w:val="24"/>
        </w:rPr>
        <w:footnoteReference w:id="18"/>
      </w:r>
      <w:r>
        <w:rPr>
          <w:rFonts w:ascii="Times New Roman" w:hAnsi="Times New Roman"/>
          <w:noProof/>
          <w:color w:val="000000" w:themeColor="text1"/>
          <w:spacing w:val="-2"/>
          <w:sz w:val="24"/>
        </w:rPr>
        <w:t xml:space="preserve"> засилиха дейността си в подкрепа на усилията за борба с контрабандата на мигранти в по-широкия контекст на подобряване на сигурността и стабилността. Операция Sophia вече допринесе за задържането на 117 лица, заподозрени за контрабанда и трафик на хора, 478 плавателни съда за контрабанда бяха неутрализирани в открито море край бреговете на Либия, а чрез мисиите в Сахел беше проведено обучение на повече от 24 000 лица от гражданските и военните сили за сигурност.</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i/>
          <w:noProof/>
          <w:color w:val="000000" w:themeColor="text1"/>
          <w:sz w:val="24"/>
        </w:rPr>
      </w:pPr>
      <w:r>
        <w:rPr>
          <w:rFonts w:ascii="Times New Roman" w:hAnsi="Times New Roman"/>
          <w:noProof/>
          <w:color w:val="000000" w:themeColor="text1"/>
          <w:sz w:val="24"/>
        </w:rPr>
        <w:t xml:space="preserve">Чрез </w:t>
      </w:r>
      <w:r>
        <w:rPr>
          <w:rFonts w:ascii="Times New Roman" w:hAnsi="Times New Roman"/>
          <w:b/>
          <w:noProof/>
          <w:color w:val="000000" w:themeColor="text1"/>
          <w:sz w:val="24"/>
        </w:rPr>
        <w:t>преразглеждането на Регламента за служителите за връзка по въпросите на имиграцията</w:t>
      </w:r>
      <w:r>
        <w:rPr>
          <w:rFonts w:ascii="Times New Roman" w:hAnsi="Times New Roman"/>
          <w:noProof/>
          <w:color w:val="000000" w:themeColor="text1"/>
          <w:sz w:val="24"/>
          <w:vertAlign w:val="superscript"/>
        </w:rPr>
        <w:footnoteReference w:id="19"/>
      </w:r>
      <w:r>
        <w:rPr>
          <w:rFonts w:ascii="Times New Roman" w:hAnsi="Times New Roman"/>
          <w:noProof/>
          <w:color w:val="000000" w:themeColor="text1"/>
          <w:sz w:val="24"/>
        </w:rPr>
        <w:t>, което ще бъде предложено от Комисията през първото тримесечие на 2018 г., ще бъдат създадени обща официална уредба и ясен мандат на служителите, изпратени в трети държави, за да предприемат действия за борба с контрабандата на мигранти</w:t>
      </w:r>
      <w:r>
        <w:rPr>
          <w:rFonts w:ascii="Times New Roman" w:hAnsi="Times New Roman"/>
          <w:i/>
          <w:noProof/>
          <w:color w:val="000000" w:themeColor="text1"/>
          <w:sz w:val="24"/>
        </w:rPr>
        <w:t xml:space="preserve">. </w:t>
      </w:r>
      <w:r>
        <w:rPr>
          <w:rFonts w:ascii="Times New Roman" w:hAnsi="Times New Roman"/>
          <w:noProof/>
          <w:color w:val="000000" w:themeColor="text1"/>
          <w:sz w:val="24"/>
        </w:rPr>
        <w:t>Това също така ще даде възможност за пълноценно използване на потенциала на мрежата от европейски служители за връзка по въпросите на миграцията, които бяха изпратени в 12 приоритетни държави с цел тясна координация на работата в тази област с държавите членки по места.</w:t>
      </w:r>
    </w:p>
    <w:p>
      <w:pPr>
        <w:spacing w:after="0" w:line="240" w:lineRule="auto"/>
        <w:jc w:val="both"/>
        <w:rPr>
          <w:rFonts w:ascii="Times New Roman" w:hAnsi="Times New Roman" w:cs="Times New Roman"/>
          <w:b/>
          <w:noProof/>
          <w:color w:val="000000"/>
          <w:sz w:val="24"/>
          <w:szCs w:val="24"/>
        </w:rPr>
      </w:pPr>
    </w:p>
    <w:p>
      <w:pPr>
        <w:spacing w:after="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Накрая, много мигранти все още подценяват рисковете, свързани с незаконната миграция, и имат неправилни представи за това какъв е животът след незаконно влизане в ЕС. ЕС вече финансира няколко </w:t>
      </w:r>
      <w:r>
        <w:rPr>
          <w:rFonts w:ascii="Times New Roman" w:hAnsi="Times New Roman"/>
          <w:b/>
          <w:noProof/>
          <w:color w:val="000000" w:themeColor="text1"/>
          <w:sz w:val="24"/>
        </w:rPr>
        <w:t>информационни кампании</w:t>
      </w:r>
      <w:r>
        <w:rPr>
          <w:rFonts w:ascii="Times New Roman" w:hAnsi="Times New Roman"/>
          <w:noProof/>
          <w:color w:val="000000" w:themeColor="text1"/>
          <w:sz w:val="24"/>
        </w:rPr>
        <w:t>, по-специално в Нигер, Судан и Етиопия, но е необходимо да се направи повече, за да се гарантира, че в третите държави се предоставя надеждна информация. В това отношение</w:t>
      </w:r>
      <w:r>
        <w:rPr>
          <w:rFonts w:ascii="Times New Roman" w:hAnsi="Times New Roman"/>
          <w:noProof/>
          <w:sz w:val="24"/>
        </w:rPr>
        <w:t xml:space="preserve"> текущите и бъдещите кампании за повишаване на осведомеността и информационни кампании на ЕС и на държавите членки в трети държави трябва да </w:t>
      </w:r>
      <w:r>
        <w:rPr>
          <w:rFonts w:ascii="Times New Roman" w:hAnsi="Times New Roman"/>
          <w:b/>
          <w:noProof/>
          <w:sz w:val="24"/>
        </w:rPr>
        <w:t>използват пълноценно потенциала на традиционните и социалните медии</w:t>
      </w:r>
      <w:r>
        <w:rPr>
          <w:rFonts w:ascii="Times New Roman" w:hAnsi="Times New Roman"/>
          <w:noProof/>
          <w:sz w:val="24"/>
        </w:rPr>
        <w:t> — както в контекста на проект InfoMigrants</w:t>
      </w:r>
      <w:r>
        <w:rPr>
          <w:rFonts w:ascii="Times New Roman" w:hAnsi="Times New Roman"/>
          <w:noProof/>
          <w:sz w:val="24"/>
          <w:vertAlign w:val="superscript"/>
        </w:rPr>
        <w:footnoteReference w:id="20"/>
      </w:r>
      <w:r>
        <w:rPr>
          <w:rFonts w:ascii="Times New Roman" w:hAnsi="Times New Roman"/>
          <w:noProof/>
          <w:sz w:val="24"/>
        </w:rPr>
        <w:t xml:space="preserve">, който достигна четвърт милион посетители до края на август. </w:t>
      </w:r>
      <w:r>
        <w:rPr>
          <w:rFonts w:ascii="Times New Roman" w:hAnsi="Times New Roman"/>
          <w:noProof/>
          <w:color w:val="000000" w:themeColor="text1"/>
          <w:sz w:val="24"/>
        </w:rPr>
        <w:t>За тази цел Комисията преработва портала на ЕС за имиграцията</w:t>
      </w:r>
      <w:r>
        <w:rPr>
          <w:rFonts w:ascii="Times New Roman" w:hAnsi="Times New Roman"/>
          <w:noProof/>
          <w:color w:val="000000" w:themeColor="text1"/>
          <w:sz w:val="24"/>
          <w:vertAlign w:val="superscript"/>
        </w:rPr>
        <w:footnoteReference w:id="21"/>
      </w:r>
      <w:r>
        <w:rPr>
          <w:rFonts w:ascii="Times New Roman" w:hAnsi="Times New Roman"/>
          <w:noProof/>
          <w:color w:val="000000" w:themeColor="text1"/>
          <w:sz w:val="24"/>
        </w:rPr>
        <w:t>.</w:t>
      </w:r>
    </w:p>
    <w:p>
      <w:pPr>
        <w:spacing w:after="0" w:line="240" w:lineRule="auto"/>
        <w:jc w:val="both"/>
        <w:rPr>
          <w:rFonts w:ascii="Times New Roman" w:hAnsi="Times New Roman" w:cs="Times New Roman"/>
          <w:noProof/>
          <w:color w:val="000000" w:themeColor="text1"/>
          <w:sz w:val="24"/>
        </w:rPr>
      </w:pPr>
    </w:p>
    <w:p>
      <w:pPr>
        <w:keepNext/>
        <w:autoSpaceDE w:val="0"/>
        <w:autoSpaceDN w:val="0"/>
        <w:adjustRightInd w:val="0"/>
        <w:spacing w:after="0" w:line="240" w:lineRule="auto"/>
        <w:jc w:val="both"/>
        <w:rPr>
          <w:rFonts w:ascii="Times New Roman" w:hAnsi="Times New Roman"/>
          <w:i/>
          <w:noProof/>
          <w:color w:val="000000"/>
          <w:sz w:val="24"/>
        </w:rPr>
      </w:pPr>
      <w:r>
        <w:rPr>
          <w:rFonts w:ascii="Times New Roman" w:hAnsi="Times New Roman"/>
          <w:i/>
          <w:noProof/>
          <w:color w:val="000000"/>
          <w:sz w:val="24"/>
        </w:rPr>
        <w:t>Връщане и обратно приемане</w:t>
      </w:r>
    </w:p>
    <w:p>
      <w:pPr>
        <w:autoSpaceDE w:val="0"/>
        <w:autoSpaceDN w:val="0"/>
        <w:adjustRightInd w:val="0"/>
        <w:spacing w:after="0" w:line="240" w:lineRule="auto"/>
        <w:jc w:val="both"/>
        <w:rPr>
          <w:rFonts w:ascii="Times New Roman" w:hAnsi="Times New Roman"/>
          <w:noProof/>
          <w:color w:val="000000"/>
          <w:sz w:val="24"/>
        </w:rPr>
      </w:pPr>
    </w:p>
    <w:p>
      <w:pPr>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 xml:space="preserve">Продължи предприемането на действия за укрепване на политиката на ЕС в областта на връщането. По-специално </w:t>
      </w:r>
      <w:r>
        <w:rPr>
          <w:rFonts w:ascii="Times New Roman" w:hAnsi="Times New Roman"/>
          <w:b/>
          <w:noProof/>
          <w:color w:val="000000"/>
          <w:sz w:val="24"/>
        </w:rPr>
        <w:t>Европейската агенция за гранична и брегова охрана</w:t>
      </w:r>
      <w:r>
        <w:rPr>
          <w:rFonts w:ascii="Times New Roman" w:hAnsi="Times New Roman"/>
          <w:noProof/>
          <w:color w:val="000000"/>
          <w:sz w:val="24"/>
        </w:rPr>
        <w:t xml:space="preserve"> получи новаторския и амбициозен мандат да подпомага държавите членки и да осигурява оперативната координация по всички аспекти на връщането. В </w:t>
      </w:r>
      <w:r>
        <w:rPr>
          <w:rFonts w:ascii="Times New Roman" w:hAnsi="Times New Roman"/>
          <w:b/>
          <w:noProof/>
          <w:color w:val="000000"/>
          <w:sz w:val="24"/>
        </w:rPr>
        <w:t>обновения си план за действие в областта на връщането от 2 март 2017 г.</w:t>
      </w:r>
      <w:r>
        <w:rPr>
          <w:rFonts w:ascii="Times New Roman" w:hAnsi="Times New Roman"/>
          <w:noProof/>
          <w:color w:val="000000"/>
          <w:sz w:val="24"/>
        </w:rPr>
        <w:t xml:space="preserve"> Комисията представи </w:t>
      </w:r>
      <w:r>
        <w:rPr>
          <w:rFonts w:ascii="Times New Roman" w:hAnsi="Times New Roman"/>
          <w:b/>
          <w:noProof/>
          <w:color w:val="000000"/>
          <w:sz w:val="24"/>
        </w:rPr>
        <w:t>конкретни препоръки</w:t>
      </w:r>
      <w:r>
        <w:rPr>
          <w:rFonts w:ascii="Times New Roman" w:hAnsi="Times New Roman"/>
          <w:noProof/>
          <w:color w:val="000000"/>
          <w:sz w:val="24"/>
        </w:rPr>
        <w:t xml:space="preserve"> за повишаване на ефективността на връщането чрез премахване на несъответствията и преодоляване на разпокъсаността, които все още съществуват между националните практики на връщане. </w:t>
      </w:r>
      <w:r>
        <w:rPr>
          <w:rFonts w:ascii="Times New Roman" w:hAnsi="Times New Roman"/>
          <w:noProof/>
          <w:sz w:val="24"/>
        </w:rPr>
        <w:t>Чрез извършването на планирани оценки по Шенген в областта на връщането Комисията даде на държавите членки рамка, съгласно която да могат да бъдат коригирани недостатъците</w:t>
      </w:r>
      <w:r>
        <w:rPr>
          <w:rFonts w:ascii="Times New Roman" w:hAnsi="Times New Roman"/>
          <w:noProof/>
          <w:color w:val="000000"/>
          <w:sz w:val="24"/>
        </w:rPr>
        <w:t xml:space="preserve">, като същевременно с помощта на програмите на ЕС в областта на връщането постигнахме по-интензивен обмен на информация и по-голямо сближаване, по-специално с цел разработване и прилагане на съвместни рамки за </w:t>
      </w:r>
      <w:r>
        <w:rPr>
          <w:rFonts w:ascii="Times New Roman" w:hAnsi="Times New Roman"/>
          <w:b/>
          <w:noProof/>
          <w:color w:val="000000"/>
          <w:sz w:val="24"/>
        </w:rPr>
        <w:t>програмите за подпомагане на доброволното връщане и на реинтеграцията</w:t>
      </w:r>
      <w:r>
        <w:rPr>
          <w:rFonts w:ascii="Times New Roman" w:hAnsi="Times New Roman"/>
          <w:noProof/>
          <w:color w:val="000000"/>
          <w:sz w:val="24"/>
        </w:rPr>
        <w:t xml:space="preserve"> в целия ЕС.</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 xml:space="preserve">Въпреки това, според данни на Евростат, от близо 1 милион граждани на трети държави, за които през 2016 г. е установено, че се намират незаконно в ЕС, едва половината са получили нареждане да напуснат ЕС и по-малко от половината от този брой (226 000) са били действително върнати. </w:t>
      </w:r>
      <w:r>
        <w:rPr>
          <w:rFonts w:ascii="Times New Roman" w:hAnsi="Times New Roman"/>
          <w:b/>
          <w:noProof/>
          <w:color w:val="000000"/>
          <w:sz w:val="24"/>
        </w:rPr>
        <w:t>Процентът на връщане</w:t>
      </w:r>
      <w:r>
        <w:rPr>
          <w:rFonts w:ascii="Times New Roman" w:hAnsi="Times New Roman"/>
          <w:noProof/>
          <w:color w:val="000000"/>
          <w:sz w:val="24"/>
        </w:rPr>
        <w:t xml:space="preserve"> продължава да бъде </w:t>
      </w:r>
      <w:r>
        <w:rPr>
          <w:rFonts w:ascii="Times New Roman" w:hAnsi="Times New Roman"/>
          <w:b/>
          <w:noProof/>
          <w:color w:val="000000"/>
          <w:sz w:val="24"/>
        </w:rPr>
        <w:t>незадоволителен</w:t>
      </w:r>
      <w:r>
        <w:rPr>
          <w:rFonts w:ascii="Times New Roman" w:hAnsi="Times New Roman"/>
          <w:noProof/>
          <w:color w:val="000000"/>
          <w:sz w:val="24"/>
        </w:rPr>
        <w:t xml:space="preserve"> поради неефикасното използване на съществуващите инструменти на равнището на ЕС и на национално равнище. Въпреки че между 2014 г. и 2015 г. общият процент на връщане</w:t>
      </w:r>
      <w:r>
        <w:rPr>
          <w:rFonts w:ascii="Times New Roman" w:hAnsi="Times New Roman"/>
          <w:noProof/>
          <w:color w:val="000000"/>
          <w:sz w:val="24"/>
          <w:vertAlign w:val="superscript"/>
        </w:rPr>
        <w:footnoteReference w:id="22"/>
      </w:r>
      <w:r>
        <w:rPr>
          <w:rFonts w:ascii="Times New Roman" w:hAnsi="Times New Roman"/>
          <w:noProof/>
          <w:color w:val="000000"/>
          <w:sz w:val="24"/>
        </w:rPr>
        <w:t xml:space="preserve"> е нараснал от 41,8 % на 42,5 %, процентът на действително връщане в трети държави е спаднал от 36,6 % на 36,4 %. Освен това, ако се изключи връщането в държавите от Западните Балкани, процентът на връщане за Европейския съюз спада още до 27 %.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noProof/>
          <w:sz w:val="24"/>
        </w:rPr>
      </w:pPr>
      <w:r>
        <w:rPr>
          <w:rFonts w:ascii="Times New Roman" w:hAnsi="Times New Roman"/>
          <w:noProof/>
          <w:color w:val="000000"/>
          <w:sz w:val="24"/>
        </w:rPr>
        <w:t>Това се дължи на недостатъчно доброто прилагане на съществуващите инструменти на равнището на ЕС и на национално равнище</w:t>
      </w:r>
      <w:r>
        <w:rPr>
          <w:rFonts w:ascii="Times New Roman" w:hAnsi="Times New Roman"/>
          <w:noProof/>
          <w:color w:val="000000"/>
          <w:sz w:val="24"/>
          <w:vertAlign w:val="superscript"/>
        </w:rPr>
        <w:footnoteReference w:id="23"/>
      </w:r>
      <w:r>
        <w:rPr>
          <w:rFonts w:ascii="Times New Roman" w:hAnsi="Times New Roman"/>
          <w:noProof/>
          <w:color w:val="000000"/>
          <w:sz w:val="24"/>
        </w:rPr>
        <w:t xml:space="preserve">, утежнено от политика за обратно приемане, която все още не е напълно развита. </w:t>
      </w:r>
      <w:r>
        <w:rPr>
          <w:rFonts w:ascii="Times New Roman" w:hAnsi="Times New Roman"/>
          <w:noProof/>
          <w:sz w:val="24"/>
        </w:rPr>
        <w:t>Въпреки напредъка, постигнат във връзка с прилагането на съществуващите споразумения за обратно приемане, приключването на други преговори буксува, а преговорите, започнали през 2016 г., не напредват както се очакваше. Поради това акцентът се поставя върху подобряването на сътрудничеството на практика. Практическите условия и ред в областта на връщането и обратното приемане бяха финализирани с някои ключови държави на произход, докато с други държави преговорите продължават.</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В раздел 3.3 от това съобщение са представени конкретни идеи за допълнително подобряване на връщането на незаконни имигранти.</w:t>
      </w:r>
    </w:p>
    <w:p>
      <w:pPr>
        <w:autoSpaceDE w:val="0"/>
        <w:autoSpaceDN w:val="0"/>
        <w:adjustRightInd w:val="0"/>
        <w:spacing w:after="0" w:line="240" w:lineRule="auto"/>
        <w:jc w:val="both"/>
        <w:rPr>
          <w:rFonts w:ascii="Times New Roman" w:hAnsi="Times New Roman" w:cs="Times New Roman"/>
          <w:noProof/>
          <w:color w:val="000000"/>
          <w:sz w:val="24"/>
          <w:szCs w:val="24"/>
        </w:rPr>
      </w:pPr>
    </w:p>
    <w:p>
      <w:pPr>
        <w:keepNext/>
        <w:tabs>
          <w:tab w:val="left" w:pos="6195"/>
        </w:tabs>
        <w:autoSpaceDE w:val="0"/>
        <w:autoSpaceDN w:val="0"/>
        <w:adjustRightInd w:val="0"/>
        <w:spacing w:after="0" w:line="240" w:lineRule="auto"/>
        <w:jc w:val="both"/>
        <w:rPr>
          <w:rFonts w:ascii="Times New Roman" w:hAnsi="Times New Roman"/>
          <w:i/>
          <w:noProof/>
          <w:color w:val="000000"/>
          <w:sz w:val="24"/>
        </w:rPr>
      </w:pPr>
      <w:r>
        <w:rPr>
          <w:rFonts w:ascii="Times New Roman" w:hAnsi="Times New Roman"/>
          <w:i/>
          <w:noProof/>
          <w:color w:val="000000"/>
          <w:sz w:val="24"/>
        </w:rPr>
        <w:t>Премахване на стимулите за незаконен престой</w:t>
      </w:r>
    </w:p>
    <w:p>
      <w:pPr>
        <w:spacing w:after="0" w:line="240" w:lineRule="auto"/>
        <w:jc w:val="both"/>
        <w:rPr>
          <w:rFonts w:ascii="Times New Roman" w:hAnsi="Times New Roman"/>
          <w:noProof/>
          <w:color w:val="000000"/>
          <w:sz w:val="24"/>
        </w:rPr>
      </w:pPr>
    </w:p>
    <w:p>
      <w:pPr>
        <w:spacing w:after="0" w:line="240" w:lineRule="auto"/>
        <w:jc w:val="both"/>
        <w:rPr>
          <w:rFonts w:ascii="Times New Roman" w:hAnsi="Times New Roman"/>
          <w:noProof/>
          <w:color w:val="000000"/>
          <w:sz w:val="24"/>
        </w:rPr>
      </w:pPr>
      <w:r>
        <w:rPr>
          <w:rFonts w:ascii="Times New Roman" w:hAnsi="Times New Roman"/>
          <w:noProof/>
          <w:color w:val="000000"/>
          <w:sz w:val="24"/>
        </w:rPr>
        <w:t xml:space="preserve">Част от нашата икономика продължава да разчита на труда на незаконните мигранти, което създава притегателен фактор и подкопава развитието на политика за трудова мобилност, основана на програми за законна миграция. </w:t>
      </w:r>
      <w:r>
        <w:rPr>
          <w:rFonts w:ascii="Times New Roman" w:hAnsi="Times New Roman"/>
          <w:b/>
          <w:noProof/>
          <w:color w:val="000000"/>
          <w:sz w:val="24"/>
        </w:rPr>
        <w:t>Директивата относно санкциите срещу работодателите</w:t>
      </w:r>
      <w:r>
        <w:rPr>
          <w:rFonts w:ascii="Times New Roman" w:hAnsi="Times New Roman"/>
          <w:noProof/>
          <w:color w:val="000000"/>
          <w:sz w:val="24"/>
        </w:rPr>
        <w:t xml:space="preserve"> създаде възможност за налагане на по-строги санкции в случай на незаконно наемане на работа и за подобряване на механизмите за откриване на такива случаи. В съответствие с тази директива всички държави членки забраняват наемането на работа на незаконни мигранти и налагат финансови, административни или наказателни санкции. Независимо от това възможността да се намери незаконно работа продължава да бъде значителен стимул за незаконната миграция към ЕС. За да се промени това положение, мерките, обявени в Плана за действие на ЕС срещу контрабандата на мигранти, следва да бъдат изцяло изпълнени, а държавите членки — </w:t>
      </w:r>
      <w:r>
        <w:rPr>
          <w:rFonts w:ascii="Times New Roman" w:hAnsi="Times New Roman"/>
          <w:b/>
          <w:noProof/>
          <w:color w:val="000000"/>
          <w:sz w:val="24"/>
        </w:rPr>
        <w:t>да увеличат броя на инспекциите по труда във високорисковите икономически сектори</w:t>
      </w:r>
      <w:r>
        <w:rPr>
          <w:rFonts w:ascii="Times New Roman" w:hAnsi="Times New Roman"/>
          <w:noProof/>
          <w:color w:val="000000"/>
          <w:sz w:val="24"/>
        </w:rPr>
        <w:t xml:space="preserve">. Комисията ще докладва ежегодно относно извършените инспекции и ще осигури принудителното изпълнение на Директивата, </w:t>
      </w:r>
      <w:r>
        <w:rPr>
          <w:rFonts w:ascii="Times New Roman" w:hAnsi="Times New Roman"/>
          <w:b/>
          <w:noProof/>
          <w:color w:val="000000"/>
          <w:sz w:val="24"/>
        </w:rPr>
        <w:t>като при необходимост ще започва производства за установяване на нарушение</w:t>
      </w:r>
      <w:r>
        <w:rPr>
          <w:rFonts w:ascii="Times New Roman" w:hAnsi="Times New Roman"/>
          <w:noProof/>
          <w:color w:val="000000"/>
          <w:sz w:val="24"/>
        </w:rPr>
        <w:t>.</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Възможностите за сътрудничество между държавите членки в контекста на </w:t>
      </w:r>
      <w:r>
        <w:rPr>
          <w:rFonts w:ascii="Times New Roman" w:hAnsi="Times New Roman"/>
          <w:b/>
          <w:noProof/>
          <w:color w:val="000000" w:themeColor="text1"/>
          <w:sz w:val="24"/>
        </w:rPr>
        <w:t>платформата за противодействие на недекларирания труд</w:t>
      </w:r>
      <w:r>
        <w:rPr>
          <w:rFonts w:ascii="Times New Roman" w:hAnsi="Times New Roman"/>
          <w:noProof/>
          <w:color w:val="000000" w:themeColor="text1"/>
          <w:sz w:val="24"/>
          <w:vertAlign w:val="superscript"/>
        </w:rPr>
        <w:footnoteReference w:id="24"/>
      </w:r>
      <w:r>
        <w:rPr>
          <w:rFonts w:ascii="Times New Roman" w:hAnsi="Times New Roman"/>
          <w:noProof/>
          <w:color w:val="000000" w:themeColor="text1"/>
          <w:sz w:val="24"/>
        </w:rPr>
        <w:t xml:space="preserve"> следва да бъдат обстойно проучени, за да се осигури по-добро разбиране на условията за наемане на работа на граждани на трети държави и да се намалят случаите на незаконен труд. Усилията следва да бъдат приоритетно насочени към високорисковите сектори, като целта е сред съответните заинтересовани страни, като например синдикати и организации на работодателите, да се разпространяват най-добри национални практики за справяне с наемането на работа на незаконни мигранти.</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noProof/>
          <w:color w:val="000000"/>
          <w:sz w:val="24"/>
        </w:rPr>
      </w:pPr>
      <w:r>
        <w:rPr>
          <w:rFonts w:ascii="Times New Roman" w:hAnsi="Times New Roman"/>
          <w:noProof/>
          <w:color w:val="000000"/>
          <w:sz w:val="24"/>
        </w:rPr>
        <w:t xml:space="preserve">В допълнение към притегателния фактор, какъвто е сивата икономика, на равнище ЕС трябва да придобием </w:t>
      </w:r>
      <w:r>
        <w:rPr>
          <w:rFonts w:ascii="Times New Roman" w:hAnsi="Times New Roman"/>
          <w:b/>
          <w:noProof/>
          <w:color w:val="000000" w:themeColor="text1"/>
          <w:sz w:val="24"/>
        </w:rPr>
        <w:t>по-добро разбиране на всички останали фактори</w:t>
      </w:r>
      <w:r>
        <w:rPr>
          <w:rFonts w:ascii="Times New Roman" w:hAnsi="Times New Roman"/>
          <w:noProof/>
          <w:color w:val="000000"/>
          <w:sz w:val="24"/>
        </w:rPr>
        <w:t>, които допринасят пряко или косвено за състоянието на незаконност на мигрантите в ЕС. Ето защо Комисията ще започне консултации с държавите членки и други участници, за да състави списък на факторите, които допринасят за незаконното влизане и пребиваване на мигранти на територията на ЕС, и за да установи и събере най-добрите практики във връзка с възпиращите мерки. Този процес ще включва засилено сътрудничество с националните и местните органи, които не отговарят за управлението на миграцията, а например за социалната сигурност, образованието, данъчното облагане, издаването на разрешения за управление на превозни средства и регистрирането на превозни средства, и други служби, занимаващи се с граждани на трети държави.</w:t>
      </w:r>
    </w:p>
    <w:p>
      <w:pPr>
        <w:spacing w:after="0" w:line="240" w:lineRule="auto"/>
        <w:jc w:val="both"/>
        <w:rPr>
          <w:rFonts w:ascii="Times New Roman" w:hAnsi="Times New Roman" w:cs="Times New Roman"/>
          <w:noProof/>
          <w:color w:val="000000" w:themeColor="text1"/>
          <w:sz w:val="24"/>
          <w:szCs w:val="24"/>
        </w:rPr>
      </w:pPr>
    </w:p>
    <w:p>
      <w:pPr>
        <w:autoSpaceDE w:val="0"/>
        <w:autoSpaceDN w:val="0"/>
        <w:adjustRightInd w:val="0"/>
        <w:spacing w:after="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Накрая, във връзка с това и като част от цялостната комуникационна стратегия, Комисията ще разработи специални дейности, </w:t>
      </w:r>
      <w:r>
        <w:rPr>
          <w:rFonts w:ascii="Times New Roman" w:hAnsi="Times New Roman"/>
          <w:b/>
          <w:noProof/>
          <w:color w:val="000000" w:themeColor="text1"/>
          <w:sz w:val="24"/>
        </w:rPr>
        <w:t>приобщаващи съответните диаспори</w:t>
      </w:r>
      <w:r>
        <w:rPr>
          <w:rFonts w:ascii="Times New Roman" w:hAnsi="Times New Roman"/>
          <w:noProof/>
          <w:color w:val="000000" w:themeColor="text1"/>
          <w:sz w:val="24"/>
        </w:rPr>
        <w:t xml:space="preserve"> в рамките на ЕС, които, освен че имат важна роля за икономическото развитие на държавите на произход, могат да бъдат мобилизирани в подкрепа на мерките, предприемани на национално равнище и на равнище ЕС и насочени към намаляване на незаконно пребиваващите мигранти.</w:t>
      </w:r>
    </w:p>
    <w:p>
      <w:pPr>
        <w:autoSpaceDE w:val="0"/>
        <w:autoSpaceDN w:val="0"/>
        <w:adjustRightInd w:val="0"/>
        <w:spacing w:after="0" w:line="240" w:lineRule="auto"/>
        <w:jc w:val="both"/>
        <w:rPr>
          <w:rFonts w:ascii="Times New Roman" w:hAnsi="Times New Roman" w:cs="Times New Roman"/>
          <w:i/>
          <w:noProof/>
          <w:color w:val="000000"/>
          <w:sz w:val="24"/>
          <w:szCs w:val="24"/>
        </w:rPr>
      </w:pP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 xml:space="preserve">2.3. </w:t>
      </w:r>
      <w:r>
        <w:rPr>
          <w:noProof/>
        </w:rPr>
        <w:tab/>
      </w:r>
      <w:r>
        <w:rPr>
          <w:rFonts w:ascii="Times New Roman" w:hAnsi="Times New Roman"/>
          <w:b/>
          <w:i/>
          <w:noProof/>
          <w:color w:val="000000"/>
          <w:sz w:val="24"/>
        </w:rPr>
        <w:t>Управление на границите — спасяване на човешки животи и гарантиране на сигурността на външните граници</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Наличието на общи външни граници изисква всички държави от Шенгенското пространство да си сътрудничат и да споделят тежестта за тяхното управление. Ето защо при предприемането на мерки за подобряване на управлението на външните граници беше необходимо всички държави членки да проявят солидарност и отговорност.</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Спасяването на човешки животи е и ще продължи да бъде приоритет за нас</w:t>
      </w:r>
    </w:p>
    <w:p>
      <w:pPr>
        <w:autoSpaceDE w:val="0"/>
        <w:autoSpaceDN w:val="0"/>
        <w:adjustRightInd w:val="0"/>
        <w:spacing w:after="240" w:line="240" w:lineRule="auto"/>
        <w:jc w:val="both"/>
        <w:rPr>
          <w:rFonts w:ascii="Times New Roman" w:hAnsi="Times New Roman" w:cs="Times New Roman"/>
          <w:noProof/>
          <w:color w:val="000000"/>
          <w:spacing w:val="-2"/>
          <w:sz w:val="24"/>
          <w:szCs w:val="24"/>
        </w:rPr>
      </w:pPr>
      <w:r>
        <w:rPr>
          <w:rFonts w:ascii="Times New Roman" w:hAnsi="Times New Roman"/>
          <w:noProof/>
          <w:color w:val="000000"/>
          <w:spacing w:val="-2"/>
          <w:sz w:val="24"/>
        </w:rPr>
        <w:t xml:space="preserve">Повтарящите се трагедии по основните миграционни маршрути, особено морските, показаха, че опасните пътувания на мигрантите застрашават живота им, не на последно място заради транспортните средства, използвани от безскрупулните контрабандисти. Ето защо защитата на границите трябва да продължи да включва провеждането на животоспасителни операции. ЕС подсили значително съвместните </w:t>
      </w:r>
      <w:r>
        <w:rPr>
          <w:rFonts w:ascii="Times New Roman" w:hAnsi="Times New Roman"/>
          <w:b/>
          <w:noProof/>
          <w:color w:val="000000"/>
          <w:spacing w:val="-2"/>
          <w:sz w:val="24"/>
        </w:rPr>
        <w:t>операции „Тритон“ и „Посейдон“ на Европейската агенция за гранична и брегова охрана</w:t>
      </w:r>
      <w:r>
        <w:rPr>
          <w:rFonts w:ascii="Times New Roman" w:hAnsi="Times New Roman"/>
          <w:noProof/>
          <w:color w:val="000000"/>
          <w:spacing w:val="-2"/>
          <w:sz w:val="24"/>
        </w:rPr>
        <w:t>. Агенцията също така предприе операции в Западното Средиземноморие. Усилията в контекста на тези съвместни операции, които са тясно координирани и подплатени с ресурсите, разгърнати от EUNAVFOR MED операция Sophia, както и действията на редица неправителствени организации и търговски плавателни съдове спасиха 620 000 човешки живота от 2015 г. досега. По маршрута през Източното Средиземноморие броят на хората, загинали в морето, намаля значително. От привеждането в действие на изявлението на ЕС и Турция са регистрирани 113 загинали и безследно изчезнали лица в Егейско море спрямо близо 1 150 души през годината, предхождаща изявлението. Освен това ЕС подпомогна турската брегова охрана с 20 милиона евро, за да увеличи капацитета си за провеждане на операции по търсене и спасяване.</w:t>
      </w:r>
    </w:p>
    <w:p>
      <w:pPr>
        <w:autoSpaceDE w:val="0"/>
        <w:autoSpaceDN w:val="0"/>
        <w:adjustRightInd w:val="0"/>
        <w:spacing w:after="240" w:line="240" w:lineRule="auto"/>
        <w:jc w:val="both"/>
        <w:rPr>
          <w:rFonts w:ascii="Times New Roman" w:hAnsi="Times New Roman" w:cs="Times New Roman"/>
          <w:noProof/>
          <w:color w:val="000000"/>
          <w:spacing w:val="-4"/>
          <w:sz w:val="24"/>
          <w:szCs w:val="24"/>
        </w:rPr>
      </w:pPr>
      <w:r>
        <w:rPr>
          <w:rFonts w:ascii="Times New Roman" w:hAnsi="Times New Roman"/>
          <w:noProof/>
          <w:color w:val="000000"/>
          <w:spacing w:val="-4"/>
          <w:sz w:val="24"/>
        </w:rPr>
        <w:t>Въпреки тези усилия дори и един смъртен случай е твърде много. Ето защо ЕС и държавите членки обучават и подпомагат либийската брегова охрана да провежда операции по търсене и спасяване в своите териториални води. През юли 2017 г. беше одобрен проект на стойност 46,3 милиона евро, съфинансиран от ЕС и Италия, за укрепване на капацитета на Либия за управление на границите, като той ще продължи да се развива през следващите години. Отчасти в резултат на подпомагането на либийската брегова охрана от ЕС броят на хората, загинали по маршрута през Централното Средиземноморие, е намалял от 4 581 през 2016 г. на 2 372 до 21 септември 2017 г.</w:t>
      </w:r>
      <w:r>
        <w:rPr>
          <w:rStyle w:val="FootnoteReference"/>
          <w:rFonts w:ascii="Times New Roman" w:hAnsi="Times New Roman"/>
          <w:noProof/>
          <w:color w:val="000000"/>
          <w:spacing w:val="-4"/>
          <w:sz w:val="24"/>
        </w:rPr>
        <w:footnoteReference w:id="25"/>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Европейска гранична и брегова охрана</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b/>
          <w:noProof/>
          <w:color w:val="000000"/>
          <w:sz w:val="24"/>
        </w:rPr>
        <w:t>Създаването на Европейската агенция за гранична и брегова охрана</w:t>
      </w:r>
      <w:r>
        <w:rPr>
          <w:rFonts w:ascii="Times New Roman" w:hAnsi="Times New Roman"/>
          <w:noProof/>
          <w:color w:val="000000"/>
          <w:sz w:val="24"/>
        </w:rPr>
        <w:t xml:space="preserve"> през 2016 г. беше революционно постижение, тъй като прехвърли интегрираното управление на външните граници на ЕС от изключителната национална компетентност към споделената отговорност на държавите членки и Агенцията. За първи път, в съответствие с това, което беше поискано в Европейската програма за миграцията, новият мандат на Агенцията включва функции на брегова охрана, изпълнявани в тясно сътрудничество с Европейската агенция по морска безопасност и Европейската агенция за контрол на рибарството, като например съвместни наблюдателни полети по отношение на рибарството и граничния контрол в Централното Средиземноморие. Значителното подобряване на ресурсите и оборудването осигури на Агенцията повишен капацитет за реагиране. Също така новите задължителни резерви за бързо реагиране повишиха способността на Агенцията да реагира своевременно на извънредни ситуации по външните граници на Европа.</w:t>
      </w:r>
    </w:p>
    <w:p>
      <w:pPr>
        <w:autoSpaceDE w:val="0"/>
        <w:autoSpaceDN w:val="0"/>
        <w:adjustRightInd w:val="0"/>
        <w:spacing w:after="240" w:line="240" w:lineRule="auto"/>
        <w:jc w:val="both"/>
        <w:rPr>
          <w:rFonts w:ascii="Times New Roman" w:hAnsi="Times New Roman" w:cs="Times New Roman"/>
          <w:noProof/>
          <w:color w:val="000000"/>
          <w:spacing w:val="-4"/>
          <w:sz w:val="24"/>
          <w:szCs w:val="24"/>
        </w:rPr>
      </w:pPr>
      <w:r>
        <w:rPr>
          <w:rFonts w:ascii="Times New Roman" w:hAnsi="Times New Roman"/>
          <w:noProof/>
          <w:color w:val="000000"/>
          <w:spacing w:val="-4"/>
          <w:sz w:val="24"/>
        </w:rPr>
        <w:t xml:space="preserve">Понастоящем Агенцията </w:t>
      </w:r>
      <w:r>
        <w:rPr>
          <w:rFonts w:ascii="Times New Roman" w:hAnsi="Times New Roman"/>
          <w:b/>
          <w:noProof/>
          <w:color w:val="000000"/>
          <w:spacing w:val="-4"/>
          <w:sz w:val="24"/>
        </w:rPr>
        <w:t>разполага с над 1 700 гранични и други служители, разположени в различни участъци от външните граници на ЕС</w:t>
      </w:r>
      <w:r>
        <w:rPr>
          <w:rFonts w:ascii="Times New Roman" w:hAnsi="Times New Roman"/>
          <w:noProof/>
          <w:color w:val="000000"/>
          <w:spacing w:val="-4"/>
          <w:sz w:val="24"/>
        </w:rPr>
        <w:t>. Скоро тя ще може да разполага екипи и на територията на Сърбия и бившата югославска република Македония, за да подпомага тези държави при ефективното контролиране на техните граници. Засилването на капацитета на третите държави за управление на техните граници беше друга важна дейност, за която се призоваваше в Европейската програма за миграцията.</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По-надеждни и по-интелигентни информационни системи</w:t>
      </w:r>
    </w:p>
    <w:p>
      <w:pPr>
        <w:autoSpaceDE w:val="0"/>
        <w:autoSpaceDN w:val="0"/>
        <w:adjustRightInd w:val="0"/>
        <w:spacing w:after="240" w:line="240" w:lineRule="auto"/>
        <w:jc w:val="both"/>
        <w:rPr>
          <w:rFonts w:ascii="Times New Roman" w:hAnsi="Times New Roman" w:cs="Times New Roman"/>
          <w:noProof/>
          <w:color w:val="000000"/>
          <w:spacing w:val="-2"/>
          <w:sz w:val="24"/>
          <w:szCs w:val="24"/>
        </w:rPr>
      </w:pPr>
      <w:r>
        <w:rPr>
          <w:rFonts w:ascii="Times New Roman" w:hAnsi="Times New Roman"/>
          <w:noProof/>
          <w:color w:val="000000"/>
          <w:spacing w:val="-2"/>
          <w:sz w:val="24"/>
        </w:rPr>
        <w:t xml:space="preserve">С внасянето на предложенията за </w:t>
      </w:r>
      <w:r>
        <w:rPr>
          <w:rFonts w:ascii="Times New Roman" w:hAnsi="Times New Roman"/>
          <w:b/>
          <w:noProof/>
          <w:color w:val="000000"/>
          <w:spacing w:val="-2"/>
          <w:sz w:val="24"/>
        </w:rPr>
        <w:t>Системата за влизане/излизане и Системата на ЕС за информация за пътуванията и разрешаването им (ETIAS)</w:t>
      </w:r>
      <w:r>
        <w:rPr>
          <w:rFonts w:ascii="Times New Roman" w:hAnsi="Times New Roman"/>
          <w:noProof/>
          <w:color w:val="000000"/>
          <w:spacing w:val="-2"/>
          <w:sz w:val="24"/>
        </w:rPr>
        <w:t xml:space="preserve"> напредна работата във връзка с интелигентните граници. Веднъж внедрени, тези системи ще направят по-лесно откриването на възможните рискове и злоупотреби, свързани с миграцията, и ще засилят обществената сигурност. През юни 2017 г. Комисията представи законодателно предложение за засилване на мандата на </w:t>
      </w:r>
      <w:r>
        <w:rPr>
          <w:rFonts w:ascii="Times New Roman" w:hAnsi="Times New Roman"/>
          <w:b/>
          <w:noProof/>
          <w:color w:val="000000"/>
          <w:spacing w:val="-2"/>
          <w:sz w:val="24"/>
        </w:rPr>
        <w:t>eu-LISA</w:t>
      </w:r>
      <w:r>
        <w:rPr>
          <w:rFonts w:ascii="Times New Roman" w:hAnsi="Times New Roman"/>
          <w:noProof/>
          <w:color w:val="000000"/>
          <w:spacing w:val="-2"/>
          <w:sz w:val="24"/>
        </w:rPr>
        <w:t> — Европейската агенция за оперативното управление на широкомащабни информационни системи в пространството на свобода, сигурност и правосъдие. Възможно най-скоро Комисията ще представи предложения за преодоляване на все още съществуващите недостатъци, установени в управлението на данните, по-специално чрез подобряване на оперативната съвместимост на централните информационни системи на ЕС, съществуващи в тази област. Това ще допринесе за по-добра защита на външните граници на ЕС и за повишаване на вътрешната сигурност, например като се гарантира, че крайните потребители — най-вече граничните служители, правоприлагащите органи, имиграционните служители и съдебните органи — разполагат с бърз и безпрепятствен достъп до цялата информация, която им е необходима, за да изпълняват възложените им задачи.</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Горещи точки</w:t>
      </w:r>
    </w:p>
    <w:p>
      <w:pPr>
        <w:autoSpaceDE w:val="0"/>
        <w:autoSpaceDN w:val="0"/>
        <w:adjustRightInd w:val="0"/>
        <w:spacing w:after="240" w:line="240" w:lineRule="auto"/>
        <w:jc w:val="both"/>
        <w:rPr>
          <w:rFonts w:ascii="Times New Roman" w:hAnsi="Times New Roman" w:cs="Times New Roman"/>
          <w:noProof/>
          <w:color w:val="000000"/>
          <w:spacing w:val="-4"/>
          <w:sz w:val="24"/>
          <w:szCs w:val="24"/>
        </w:rPr>
      </w:pPr>
      <w:r>
        <w:rPr>
          <w:rFonts w:ascii="Times New Roman" w:hAnsi="Times New Roman"/>
          <w:noProof/>
          <w:color w:val="000000"/>
          <w:spacing w:val="-4"/>
          <w:sz w:val="24"/>
        </w:rPr>
        <w:t>Успоредно с посочените по-горе усилия за засилване на защитата на външните граници на ЕС, създаването на горещи точки в Гърция и Италия представлява осезаемо оперативно постижение и конкретен пример за прилагането на принципите на солидарност и отговорност при мерките спрямо натиска, на който са подложени тези държави членки.</w:t>
      </w:r>
    </w:p>
    <w:p>
      <w:pPr>
        <w:autoSpaceDE w:val="0"/>
        <w:autoSpaceDN w:val="0"/>
        <w:adjustRightInd w:val="0"/>
        <w:spacing w:after="240" w:line="240" w:lineRule="auto"/>
        <w:jc w:val="both"/>
        <w:rPr>
          <w:rFonts w:ascii="Times New Roman" w:hAnsi="Times New Roman" w:cs="Times New Roman"/>
          <w:noProof/>
          <w:color w:val="000000"/>
          <w:spacing w:val="-6"/>
          <w:sz w:val="24"/>
          <w:szCs w:val="24"/>
        </w:rPr>
      </w:pPr>
      <w:r>
        <w:rPr>
          <w:rFonts w:ascii="Times New Roman" w:hAnsi="Times New Roman"/>
          <w:noProof/>
          <w:color w:val="000000"/>
          <w:spacing w:val="-6"/>
          <w:sz w:val="24"/>
        </w:rPr>
        <w:t>Понастоящем действат 5 горещи точки в Гърция и 4 в Италия с общ капацитет от над 7 000 места в Гърция и от над 1 500 места в Италия. Според данните между 1 януари 2016 г. и 15 септември 2017 г. в горещите точки са пристигнали повече от 261 000 мигранти (185 000 в Гърция и 76 000 в Италия). На едно и също място са им били осигурени медицински грижи и преглед, самоличността им е била надлежно установена, снети са им били пръстовите отпечатъци, направена им е била проверка за сигурност, били са регистрирани и са били информирани за своите права, така че да бъдат незабавно насочени към подходящата процедура, с което се допринася за по-бързото вземане на решение относно техния статут. През 2015 г., преди създаването на горещите точки, само на 58 % от мигрантите са били снети пръстовите отпечатъци при пристигането им в Италия; понастоящем, благодарение на подхода на горещите точки, това се прави за почти 100 % от пристигащите. Горещите точки улесниха увеличаването на броя на вторичните проверки за сигурност от страна на Европол и на националните органи, което допринесе за определянето на рисковите профили и за борбата с мрежите на контрабандистите Горещите точки също така се превърнаха в един от инструментите за улесняване на изпълнението на схемите за преместване в Гърция и Италия, като спомогнаха за успешното организиране на предоставянето на информация и на насочването на отговарящите на условията лица, търсещи убежище, към процедурите за преместване. Освен това те допринесоха за по-успешното установяване на случаите на уязвими лица (като например жертви на трафик, хора със сериозни здравословни проблеми и непридружени малолетни и непълнолетни лица) и за по-доброто им насочване към съответните служби за подкрепа.</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С координираната подкрепа от страна на агенциите на ЕС и като се опират на горепосочените постижения, както Гърция, така и Италия следва също да се възползват от пълния оперативен потенциал на подхода на горещите точки. Като се вземе предвид развитието на тенденциите и потребностите, двете държави трябва да бъдат готови да разширят и подобрят капацитета и условията си за прием в горещите точки и по-пълно да удовлетворяват специфичните потребности на уязвимите групи (стандартизирана оценка на уязвимостта от специалисти, служители за закрила на детето, обособени зони и др.). В тясно сътрудничество с приемащите държави членки, следва да се осигурят също така ясно разпределение на ролите и отговорностите, както и по-ефективна координация на място, по-специално чрез регионалните работни групи на ЕС, на които следва да се предостави ясен мандат.</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color w:val="000000"/>
          <w:sz w:val="24"/>
        </w:rPr>
        <w:t>Подходът на горещите точки се доказа като гъвкав и полезен инструмент на ЕС, който може да бъде адаптиран към всяка държава членка в същото положение. Въз основа на поуките от опита в Гърция и Италия Комисията ще представи по-късно през есента насоки, включващи образец за стандартни оперативни процедури за създаването и използването на горещи точки в случай на несъразмерно голям миграционен натиск по външните граници на която и да е държава членка.</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 xml:space="preserve">2.4. </w:t>
      </w:r>
      <w:r>
        <w:rPr>
          <w:noProof/>
        </w:rPr>
        <w:tab/>
      </w:r>
      <w:r>
        <w:rPr>
          <w:rFonts w:ascii="Times New Roman" w:hAnsi="Times New Roman"/>
          <w:b/>
          <w:i/>
          <w:noProof/>
          <w:color w:val="000000"/>
          <w:sz w:val="24"/>
        </w:rPr>
        <w:t>Европа е длъжна да закриля: силна обща политика в областта на убежището и повече законни начини за достъп до Европа</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Обезпечаването на сигурността на външните граници на Европа трябва да бъде съчетано с напълно ефикасна, справедлива и хуманна обща политика в областта на убежището. Паралелно с решителните действия, които предприе съвместно с държавите членки за отслабване на натиска, на който са подложени Италия и Гърция от страна на търсещите убежище лица, Комисията предложи цялостна реформа на общата европейска система за убежище.</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Преместване</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С оглед на безпрецедентния брой пристигнали лица през лятото на 2015 г. Съветът, вследствие на предложения на Комисията, реши да предприеме </w:t>
      </w:r>
      <w:r>
        <w:rPr>
          <w:rFonts w:ascii="Times New Roman" w:hAnsi="Times New Roman"/>
          <w:b/>
          <w:noProof/>
          <w:color w:val="000000"/>
          <w:sz w:val="24"/>
        </w:rPr>
        <w:t>първото по рода си мащабно действие, координирано от ЕС</w:t>
      </w:r>
      <w:r>
        <w:rPr>
          <w:rFonts w:ascii="Times New Roman" w:hAnsi="Times New Roman"/>
          <w:noProof/>
          <w:color w:val="000000"/>
          <w:sz w:val="24"/>
        </w:rPr>
        <w:t>, за презаселване на значителен брой кандидати за убежище от Италия и Гърция, в резултат на което натискът върху системите за убежище на двете държави действително намаля. В контекста на решенията на Съвета държавите членки се договориха да преместят 160 000 кандидати, очевидно нуждаещи се от международна закрила. За 54 000 от тези лица на държавите членки беше предоставена възможност да изпълнят ангажиментите за преместване, поети от тях към Италия и Гърция, чрез законен прием от Турция.</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Решенията на Съвета от 2015 г. се прилагат към мигранти, очевидно нуждаещи се от международна закрила, които са пристигнали на територията на Италия и Гърция до 26 септември 2017 г. Най-належащият приоритет следва да бъде </w:t>
      </w:r>
      <w:r>
        <w:rPr>
          <w:rFonts w:ascii="Times New Roman" w:hAnsi="Times New Roman"/>
          <w:b/>
          <w:noProof/>
          <w:color w:val="000000"/>
          <w:sz w:val="24"/>
        </w:rPr>
        <w:t>да се гарантира, че всички останали</w:t>
      </w:r>
      <w:r>
        <w:rPr>
          <w:rFonts w:ascii="Times New Roman" w:hAnsi="Times New Roman"/>
          <w:noProof/>
          <w:color w:val="000000"/>
          <w:sz w:val="24"/>
        </w:rPr>
        <w:t xml:space="preserve"> лица, които са пристигнали до тази дата и отговарят на условията, посочени в решенията на Съвета, </w:t>
      </w:r>
      <w:r>
        <w:rPr>
          <w:rFonts w:ascii="Times New Roman" w:hAnsi="Times New Roman"/>
          <w:b/>
          <w:noProof/>
          <w:color w:val="000000"/>
          <w:sz w:val="24"/>
        </w:rPr>
        <w:t>ще бъдат преместени от Италия и Гърция</w:t>
      </w:r>
      <w:r>
        <w:rPr>
          <w:rFonts w:ascii="Times New Roman" w:hAnsi="Times New Roman"/>
          <w:noProof/>
          <w:color w:val="000000"/>
          <w:sz w:val="24"/>
        </w:rPr>
        <w:t xml:space="preserve"> бързо. Очаква се по линия на схемата да бъдат действително преместени около 37 000 лица. Ето защо от съществено значение е всички държави членки, особено Полша, Унгария и Чешката република и държавите, които все още не са извършили всички премествания от разпределения за тях дял, да увеличат усилията си.</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Миграционният натиск върху Италия и Гърция продължава да бъде силен заради натрупването на досиета вследствие на притока от 2016 г. и първата половина на 2017 г. Поради това </w:t>
      </w:r>
      <w:r>
        <w:rPr>
          <w:rFonts w:ascii="Times New Roman" w:hAnsi="Times New Roman"/>
          <w:b/>
          <w:noProof/>
          <w:color w:val="000000"/>
          <w:sz w:val="24"/>
        </w:rPr>
        <w:t>ЕС следва да продължи да бъде солидарен</w:t>
      </w:r>
      <w:r>
        <w:rPr>
          <w:rFonts w:ascii="Times New Roman" w:hAnsi="Times New Roman"/>
          <w:noProof/>
          <w:color w:val="000000"/>
          <w:sz w:val="24"/>
        </w:rPr>
        <w:t xml:space="preserve"> с Италия и Гърция. Комисията е готова да предостави </w:t>
      </w:r>
      <w:r>
        <w:rPr>
          <w:rFonts w:ascii="Times New Roman" w:hAnsi="Times New Roman"/>
          <w:b/>
          <w:noProof/>
          <w:color w:val="000000"/>
          <w:sz w:val="24"/>
        </w:rPr>
        <w:t>финансова подкрепа</w:t>
      </w:r>
      <w:r>
        <w:rPr>
          <w:rFonts w:ascii="Times New Roman" w:hAnsi="Times New Roman"/>
          <w:noProof/>
          <w:color w:val="000000"/>
          <w:sz w:val="24"/>
        </w:rPr>
        <w:t xml:space="preserve"> на държавите членки, които продължават да полагат усилия за преместване, надхвърляйки съществуващите схеми. Помощта, предоставяна от Европейската служба за подкрепа в областта на убежището (EASO) и други агенции на ЕС за Италия и Гърция, следва да продължи и при необходимост да бъде увеличена.</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Обща европейска система за убежище</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Макар че резултатите от прилагането на системата за спешно преместване са осезаеми и натискът върху Гърция и Италия отслабва, ясно е, че </w:t>
      </w:r>
      <w:r>
        <w:rPr>
          <w:rFonts w:ascii="Times New Roman" w:hAnsi="Times New Roman"/>
          <w:i/>
          <w:noProof/>
          <w:color w:val="000000"/>
          <w:sz w:val="24"/>
        </w:rPr>
        <w:t>ad hoc</w:t>
      </w:r>
      <w:r>
        <w:rPr>
          <w:rFonts w:ascii="Times New Roman" w:hAnsi="Times New Roman"/>
          <w:noProof/>
          <w:color w:val="000000"/>
          <w:sz w:val="24"/>
        </w:rPr>
        <w:t xml:space="preserve"> мерките не са трайно решение. Натискът, на който е подложена системата на ЕС за убежище, и по-специално сериозните недостатъци, които излязоха наяве в системата от Дъблин за определяне на отговорната държава членка, изтъкнаха необходимостта от извършване на мащабна структурна реформа на общата европейска система за убежище. Във връзка с това през май и юли 2016 г. Комисията предложи </w:t>
      </w:r>
      <w:r>
        <w:rPr>
          <w:rFonts w:ascii="Times New Roman" w:hAnsi="Times New Roman"/>
          <w:b/>
          <w:noProof/>
          <w:color w:val="000000"/>
          <w:sz w:val="24"/>
        </w:rPr>
        <w:t>промяна на всички основни правни инструменти, свързани с общата европейска система за убежище</w:t>
      </w:r>
      <w:r>
        <w:rPr>
          <w:rFonts w:ascii="Times New Roman" w:hAnsi="Times New Roman"/>
          <w:noProof/>
          <w:color w:val="000000"/>
          <w:sz w:val="24"/>
        </w:rPr>
        <w:t>, като целта е да се установи по-хармонизирана и ефективна система, в която кандидатите за убежище биват третирани по един и същ начин във всички държави членки по отношение на условията на приемане, процедурите, определянето на статута; в която се предприемат ефективни мерки срещу злоупотребите и вторичните движения; в която статут се предоставя единствено на лицата, които действително се нуждаят от международна закрила; и в която е налице справедливо поделяне на отговорността за кандидатите за убежище в Съюза, постигнато чрез всеобхватна реформа на системата от Дъблин.</w:t>
      </w:r>
    </w:p>
    <w:p>
      <w:pPr>
        <w:autoSpaceDE w:val="0"/>
        <w:autoSpaceDN w:val="0"/>
        <w:adjustRightInd w:val="0"/>
        <w:spacing w:after="240" w:line="240" w:lineRule="auto"/>
        <w:jc w:val="both"/>
        <w:rPr>
          <w:rFonts w:ascii="Times New Roman" w:hAnsi="Times New Roman" w:cs="Times New Roman"/>
          <w:noProof/>
          <w:color w:val="000000"/>
          <w:spacing w:val="-2"/>
          <w:sz w:val="24"/>
          <w:szCs w:val="24"/>
        </w:rPr>
      </w:pPr>
      <w:r>
        <w:rPr>
          <w:rFonts w:ascii="Times New Roman" w:hAnsi="Times New Roman"/>
          <w:noProof/>
          <w:color w:val="000000"/>
          <w:spacing w:val="-2"/>
          <w:sz w:val="24"/>
        </w:rPr>
        <w:t>Преговорите по седемте законодателни предложения, които бяха представени, напредват с различно темпо. Беше постигнато политическо споразумение по предложението за Агенция на Европейския съюз в областта на убежището и бяха стартирани тристранни дискусии по предложението за Евродак. Напредък бе отбелязан и в преговорите във връзка с Директивата относно условията за приемане, регламентите относно условията, на които трябва да отговарят търсещите убежище лица, и относно процедурите за предоставяне на убежище и предложението за рамка на Съюза за презаселване. Обсъждането на реформираната система от Дъблин обаче изостава. Необходимо е да се поднови ангажиментът за отбелязване на значителен напредък по всички досиета, особено по реформираната система от Дъблин. В раздел 3.1 на настоящото съобщение са посочени предложения</w:t>
      </w:r>
      <w:r>
        <w:rPr>
          <w:noProof/>
          <w:spacing w:val="-2"/>
        </w:rPr>
        <w:t xml:space="preserve"> </w:t>
      </w:r>
      <w:r>
        <w:rPr>
          <w:rFonts w:ascii="Times New Roman" w:hAnsi="Times New Roman"/>
          <w:noProof/>
          <w:spacing w:val="-2"/>
          <w:sz w:val="24"/>
        </w:rPr>
        <w:t>за постигането на тази цел.</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Освен финализирането на преговорите във връзка с реформата на общата европейска система за убежище от съществено значение продължава да бъде и </w:t>
      </w:r>
      <w:r>
        <w:rPr>
          <w:rFonts w:ascii="Times New Roman" w:hAnsi="Times New Roman"/>
          <w:b/>
          <w:noProof/>
          <w:color w:val="000000"/>
          <w:sz w:val="24"/>
        </w:rPr>
        <w:t>последователното прилагане на действащите достижения на правото на ЕС</w:t>
      </w:r>
      <w:r>
        <w:rPr>
          <w:rFonts w:ascii="Times New Roman" w:hAnsi="Times New Roman"/>
          <w:noProof/>
          <w:color w:val="000000"/>
          <w:sz w:val="24"/>
        </w:rPr>
        <w:t>, тъй като то допринася за доброто функциониране на Шенгенското пространство на свободно движение. Във връзка с това, и особено с цел последователно прилагане на Регламента „Дъблин“, Гърция следва да продължи да полага усилия за изпълнение на препоръката на Комисията от 8 декември 2016 г. за постепенно възобновяване на отговорностите на страната по силата на действащия Регламент „Дъблин“. Продължаването на преместванията от Гърция също следва да улесни това постепенно възобновяване. Унгария трябва спешно да предприеме действия за отстраняване на недостатъците, посочени от Комисията в изпратеното от нея допълнително официално уведомително писмо, особено като се има предвид, че заради тези недостатъци органите на някои държави членки временно не извършват прехвърляния по Регламента „Дъблин“ към Унгария. Също така държавите членки трябва да реагират по-бързо на исканията за поемане на отговорност по Регламента „Дъблин“, отправени от Италия и Гърция, особено на тези, отнасящи се до семейни връзки.</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Деца мигранти</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Необходимо е също така да увеличим и координираме своите усилия за изпълнение на неотложните действия, целящи по-голяма </w:t>
      </w:r>
      <w:r>
        <w:rPr>
          <w:rFonts w:ascii="Times New Roman" w:hAnsi="Times New Roman"/>
          <w:b/>
          <w:noProof/>
          <w:color w:val="000000"/>
          <w:sz w:val="24"/>
        </w:rPr>
        <w:t>закрила на децата мигранти</w:t>
      </w:r>
      <w:r>
        <w:rPr>
          <w:rFonts w:ascii="Times New Roman" w:hAnsi="Times New Roman"/>
          <w:noProof/>
          <w:color w:val="000000"/>
          <w:sz w:val="24"/>
        </w:rPr>
        <w:t>, които бяха определени в съобщението „Закрилата на децата мигранти“ от 12 април 2017 г.</w:t>
      </w:r>
      <w:r>
        <w:rPr>
          <w:rFonts w:ascii="Times New Roman" w:hAnsi="Times New Roman"/>
          <w:noProof/>
          <w:color w:val="000000"/>
          <w:sz w:val="24"/>
          <w:vertAlign w:val="superscript"/>
        </w:rPr>
        <w:footnoteReference w:id="26"/>
      </w:r>
      <w:r>
        <w:rPr>
          <w:rFonts w:ascii="Times New Roman" w:hAnsi="Times New Roman"/>
          <w:noProof/>
          <w:color w:val="000000"/>
          <w:sz w:val="24"/>
        </w:rPr>
        <w:t xml:space="preserve"> и повторно изтъкнати в заключенията на Съвета от 8—9 юни 2017 г.</w:t>
      </w:r>
      <w:r>
        <w:rPr>
          <w:rFonts w:ascii="Times New Roman" w:hAnsi="Times New Roman"/>
          <w:noProof/>
          <w:color w:val="000000"/>
          <w:sz w:val="24"/>
          <w:vertAlign w:val="superscript"/>
        </w:rPr>
        <w:footnoteReference w:id="27"/>
      </w:r>
      <w:r>
        <w:rPr>
          <w:rFonts w:ascii="Times New Roman" w:hAnsi="Times New Roman"/>
          <w:noProof/>
          <w:color w:val="000000"/>
          <w:sz w:val="24"/>
        </w:rPr>
        <w:t xml:space="preserve"> Значителният брой деца мигранти, които пристигнаха в Европа през последните години, подложиха на натиск националните системи и администрации, разкривайки различни недостатъци на закрилата на децата мигранти. При отстраняването на тези недостатъци вече е отбелязан известен напредък (например удовлетворяване на спешните нужди от закрила в държавите членки, подложени на натиск, чрез подпомагане от ЕС и неговите агенции или предоставяне на образование в извънредни ситуации), но е необходимо да бъдат положени по-големи (и по-добре координирани усилия) както на равнище ЕС, така и в държавите членки във връзка с шестте основни сфери на действие, набелязани в съобщението</w:t>
      </w:r>
      <w:r>
        <w:rPr>
          <w:rFonts w:ascii="Times New Roman" w:hAnsi="Times New Roman"/>
          <w:noProof/>
          <w:color w:val="000000"/>
          <w:sz w:val="24"/>
          <w:vertAlign w:val="superscript"/>
        </w:rPr>
        <w:footnoteReference w:id="28"/>
      </w:r>
      <w:r>
        <w:rPr>
          <w:rFonts w:ascii="Times New Roman" w:hAnsi="Times New Roman"/>
          <w:noProof/>
          <w:color w:val="000000"/>
          <w:sz w:val="24"/>
        </w:rPr>
        <w:t>. Бърз напредък беше постигнат на равнище ЕС по отношение на създаването на европейска мрежа по въпросите на настойничеството. Освен това популяризирането на алтернативи на задържането е основна тема на Европейския форум за правата на детето, който ще се проведе от 6 до 8 ноември 2017 г.</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Презаселване, хуманитарно приемане и други форми на законен прием</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За да може опасната и незаконна миграция към ЕС да бъде заменена от безопасни и законни начини още от самото начало на кризата, ЕС работи за </w:t>
      </w:r>
      <w:r>
        <w:rPr>
          <w:rFonts w:ascii="Times New Roman" w:hAnsi="Times New Roman"/>
          <w:b/>
          <w:noProof/>
          <w:color w:val="000000"/>
          <w:sz w:val="24"/>
        </w:rPr>
        <w:t>осигуряването на повече законни канали</w:t>
      </w:r>
      <w:r>
        <w:rPr>
          <w:rFonts w:ascii="Times New Roman" w:hAnsi="Times New Roman"/>
          <w:noProof/>
          <w:color w:val="000000"/>
          <w:sz w:val="24"/>
        </w:rPr>
        <w:t xml:space="preserve"> за нарастващия брой разселени лица, които се нуждаят от международна закрила. В този контекст през юли 2015 г., в изпълнение на препоръка на Комисията, беше стартирана първата схема за презаселване на територията на ЕС. Механизмът за презаселване „един за един“ по линия на изявлението на ЕС и Турция също беше приведен в действие. Тези схеми представляват неразделна част от нашите ответни действия и резултатите от тях са положителни. През периода 2015—2017 г. няколко държави членки извършиха презаселвания за първи път, а други държави, които имат по-голям опит, увеличиха ангажиментите си и обработиха по-голям брой досиета, отколкото преди. Вследствие на това през този период по линия на европейските схеми са били разселени над 23 000 лица. Само през 2016 г. държавите членки са разселили повече от 14 200 бежанци по национални и многостранни схеми, което представлява съществено увеличение спрямо броя на разселените лица през 2015 г. (8 155), през 2014 г. (6 550) и през периода между 2010 г. и 2013 г. (между 4 000 и 5 000 лица годишно). Това нарастване показва добавената стойност и потенциала на по-тясното сътрудничество и координиране на равнище ЕС в областта на презаселването, както и на увеличеното финансиране от ЕС за подпомагане на усилията на държавите членки за извършване на презаселвания.</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2.5.</w:t>
      </w:r>
      <w:r>
        <w:rPr>
          <w:noProof/>
        </w:rPr>
        <w:tab/>
      </w:r>
      <w:r>
        <w:rPr>
          <w:rFonts w:ascii="Times New Roman" w:hAnsi="Times New Roman"/>
          <w:b/>
          <w:i/>
          <w:noProof/>
          <w:color w:val="000000"/>
          <w:sz w:val="24"/>
        </w:rPr>
        <w:t>Законна миграция, визи и интеграция</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Законна миграция</w:t>
      </w:r>
    </w:p>
    <w:p>
      <w:pPr>
        <w:autoSpaceDE w:val="0"/>
        <w:autoSpaceDN w:val="0"/>
        <w:adjustRightInd w:val="0"/>
        <w:spacing w:after="240" w:line="240" w:lineRule="auto"/>
        <w:jc w:val="both"/>
        <w:rPr>
          <w:rFonts w:ascii="Times New Roman" w:hAnsi="Times New Roman" w:cs="Times New Roman"/>
          <w:noProof/>
          <w:color w:val="000000"/>
          <w:spacing w:val="-4"/>
          <w:sz w:val="24"/>
          <w:szCs w:val="24"/>
        </w:rPr>
      </w:pPr>
      <w:r>
        <w:rPr>
          <w:rFonts w:ascii="Times New Roman" w:hAnsi="Times New Roman"/>
          <w:noProof/>
          <w:color w:val="000000"/>
          <w:spacing w:val="-4"/>
          <w:sz w:val="24"/>
        </w:rPr>
        <w:t xml:space="preserve">Добре управляваната законна миграция може да помогне на ЕС да отговори на предизвикателствата, свързани с намаляването на населението в работоспособна възраст и наличието на структурни слабости на пазара на труда по отношение на уменията, като допълва усилията за повишаване на квалификациите и намиране на работа на съществуващата работна сила. Комисията представи миналата година </w:t>
      </w:r>
      <w:r>
        <w:rPr>
          <w:rFonts w:ascii="Times New Roman" w:hAnsi="Times New Roman"/>
          <w:b/>
          <w:noProof/>
          <w:color w:val="000000"/>
          <w:spacing w:val="-4"/>
          <w:sz w:val="24"/>
        </w:rPr>
        <w:t>предложение за по-ефективна Директива относно синята карта</w:t>
      </w:r>
      <w:r>
        <w:rPr>
          <w:rFonts w:ascii="Times New Roman" w:hAnsi="Times New Roman"/>
          <w:noProof/>
          <w:color w:val="000000"/>
          <w:spacing w:val="-4"/>
          <w:sz w:val="24"/>
        </w:rPr>
        <w:t xml:space="preserve"> и прикани съзаконодателите да ускорят преговорите и бързо да постигнат амбициозно споразумение по този важен въпрос. Необходимо е да има амбициозна схема за европейска синя карта, за да може ЕС да привлича висококвалифицираните работници, от които се нуждае икономиката му.</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Паралелно с това Комисията прави понастоящем </w:t>
      </w:r>
      <w:r>
        <w:rPr>
          <w:rFonts w:ascii="Times New Roman" w:hAnsi="Times New Roman"/>
          <w:b/>
          <w:noProof/>
          <w:color w:val="000000" w:themeColor="text1"/>
          <w:sz w:val="24"/>
        </w:rPr>
        <w:t>оценка на действащите достижения на правото в областта на законната миграция</w:t>
      </w:r>
      <w:r>
        <w:rPr>
          <w:rFonts w:ascii="Times New Roman" w:hAnsi="Times New Roman"/>
          <w:noProof/>
          <w:color w:val="000000" w:themeColor="text1"/>
          <w:sz w:val="24"/>
          <w:vertAlign w:val="superscript"/>
        </w:rPr>
        <w:footnoteReference w:id="29"/>
      </w:r>
      <w:r>
        <w:rPr>
          <w:rFonts w:ascii="Times New Roman" w:hAnsi="Times New Roman"/>
          <w:noProof/>
          <w:color w:val="000000"/>
          <w:sz w:val="24"/>
        </w:rPr>
        <w:t xml:space="preserve">, при която да бъдат установени съществени недостатъци, проблемни въпроси и несъответствия и да бъдат разгледани начини за опростяване и рационализиране на сегашната уредба. Освен това тя проучва </w:t>
      </w:r>
      <w:r>
        <w:rPr>
          <w:rFonts w:ascii="Times New Roman" w:hAnsi="Times New Roman"/>
          <w:b/>
          <w:noProof/>
          <w:color w:val="000000"/>
          <w:sz w:val="24"/>
        </w:rPr>
        <w:t>системи за „изразяване на интерес“</w:t>
      </w:r>
      <w:r>
        <w:rPr>
          <w:rFonts w:ascii="Times New Roman" w:hAnsi="Times New Roman"/>
          <w:noProof/>
          <w:color w:val="000000"/>
          <w:sz w:val="24"/>
        </w:rPr>
        <w:t>, използвани от държави, които не членуват в ЕС. Това и по-доброто прилагане на директивите, свързани със законната миграция, особено тези за студентите и научните работници, сезонните работници и лицата, преместени при вътрешнокорпоративен трансфер, могат да допринесат за по-доброто управление на трудовата миграция на равнище ЕС и да привлекат лица с конкретни умения според потребностите на икономиките на ЕС.</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Визи</w:t>
      </w:r>
    </w:p>
    <w:p>
      <w:pPr>
        <w:spacing w:after="24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Общата визова политика на ЕС е основен инструмент за улесняване на туризма и бизнеса, но добре функциониращата визова политика е и ключово средство за предовратяване на рисковете, свързани със сигурността, и на рисковете от незаконна миграция към ЕС.</w:t>
      </w:r>
    </w:p>
    <w:p>
      <w:pPr>
        <w:spacing w:after="24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През април 2014 г. Комисията представи предложения за преработване на Визовия кодекс и за създаване на виза за обиколно пътуване, насочени към стимулиране на икономическия растеж посредством визови улеснения, благоприятстващи туризма и търговията. Дискусиите между съзаконодателите по тези предложения не доведоха до съществен напредък. А междувременно ситуацията по отношение на миграцията и сигурността съществено се промени.</w:t>
      </w:r>
    </w:p>
    <w:p>
      <w:pPr>
        <w:spacing w:after="24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С цел да се отговори на настоящите предизвикателства, свързани с миграцията и сигурността, неотдавна бяха предприети действия относно безвизовото пътуване до ЕС, като например приемането в началото на 2017 г. на засилен механизъм за спиране, даващ на ЕС възможност за временно спиране на безвизовото пътуване за държави, които могат да представляват съществен риск в контекста на миграцията или сигурността, и предложението за създаване на Система на ЕС за информация за пътуванията и разрешаването им (ETIAS).</w:t>
      </w:r>
    </w:p>
    <w:p>
      <w:pPr>
        <w:spacing w:after="24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Въпреки това общата визова политика се нуждае от по-нататъшно адаптиране към настоящите предизвикателства, като се отчетат новите ИТ решения и се намери баланс между облекчения визов режим и безвизовото пътуване (например търговия, туризъм, междуличностни контакти) чрез по-добро управление на миграцията, сигурността и границите.</w:t>
      </w:r>
    </w:p>
    <w:p>
      <w:pPr>
        <w:spacing w:after="24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Въз основа на консултации с държавите членки и Европейския парламент Комисията ще представи през януари 2018 г. своите идеи за осъвременяването на общата визова политика на ЕС в краткосрочен и по-дългосрочен план. В този контекст Комисията ще направи критична оценка на това дали настоящата визова политика продължава да съответства на настоящите и бъдещите предизвикателства. Основните цели ще бъдат привеждане на визовата политика в съответствие с новите системи за управление на границите (системата за влизане/излизане и системата ETIAS), по-добро използване на визовата политика в сътрудничеството с трети държави и постигане на по-добър баланс между притесненията, свързани с миграцията и сигурността, съображенията от икономическо естество и общите външни отношения.</w:t>
      </w:r>
    </w:p>
    <w:p>
      <w:pPr>
        <w:spacing w:after="24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Като първа крачка е важно да се прекратят прилаганите понастоящем различни практики, водещи до конкуренция между държавите членки при издаването на визи за многократно влизане, чрез въвеждането на по-хармонизирана визова политика. Същевременно някои правила за издаването на визи (например правилата относно визите с дългосрочна валидност и визовите такси) следва да бъдат преразгледани, за да могат да бъдат част от политиката ни за обратно приемане. През януари 2018 г. Комисията ще представи конкретно предложение, в което ще бъдат разгледани тези въпроси. Освен това през юни 2018 г. тя ще направи предложение за преразглеждане на нормативната уредба за Визовата информационна система (ВИС), насочено към доусъвършенстване на обработването на визите, включително по отношение на защитата на данните и достъпа на правоприлагащите органи, към разширяване на използването на ВИС за нови категории и приложения на данни и към пълноценно използване на инструментите за оперативна съвместимост. Тези две предложения ще допринесат за по-доброто управление на миграцията, за повишаването на сигурността и за засилването на контрола по външните граници.</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Интеграция</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Държавите членки играят основна роля в изготвянето на стратегии и политики за интеграция, но опитът и капацитетът им в тази сфера са много разнородни. Поради това ЕС има важната задача да им помогне при разработването и изпълнението на стратегии за ефективна интеграция и при обмена на добри практики, като по този начин допринася за създаването на равни условия по отношение на интеграцията на равнището на ЕС. В резултат на изпълнението на </w:t>
      </w:r>
      <w:r>
        <w:rPr>
          <w:rFonts w:ascii="Times New Roman" w:hAnsi="Times New Roman"/>
          <w:b/>
          <w:noProof/>
          <w:color w:val="000000"/>
          <w:sz w:val="24"/>
        </w:rPr>
        <w:t>плана за действие на ЕС за интеграция на граждани на трети страни</w:t>
      </w:r>
      <w:r>
        <w:rPr>
          <w:rFonts w:ascii="Times New Roman" w:hAnsi="Times New Roman"/>
          <w:noProof/>
          <w:color w:val="000000"/>
          <w:sz w:val="24"/>
        </w:rPr>
        <w:t>, изготвен през 2016 г., вече са постигнати резултати в много отношения. Примери за такива резултати са реформата на Европейската мрежа за интеграция с цел засилване на обмена и взаимното учене между националните органи, отговарящи за интеграцията, стартирането на Инструмента за профил на уменията на граждани на трети държави, предназначен да помогне на държавите членки при ранното съставяне на профил на уменията и квалификациите на мигрантите, и безпрецедентната финансова подкрепа за всички участници в процеса на интеграция, в това число гражданското общество.</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Преодоляването на конкретните предизвикателства, свързани с интеграцията на гражданите на трети държави в обществата ни, ще продължи да бъде приоритет и в краткосрочен, и в дългосрочен план и Комисията насърчава държавите членки да отделят необходимото внимание на този въпрос.</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През май 2017 г. Комисията стартира инициативата </w:t>
      </w:r>
      <w:r>
        <w:rPr>
          <w:rFonts w:ascii="Times New Roman" w:hAnsi="Times New Roman"/>
          <w:b/>
          <w:noProof/>
          <w:color w:val="000000"/>
          <w:sz w:val="24"/>
        </w:rPr>
        <w:t>„Работодатели в подкрепа на интеграцията“</w:t>
      </w:r>
      <w:r>
        <w:rPr>
          <w:rFonts w:ascii="Times New Roman" w:hAnsi="Times New Roman"/>
          <w:noProof/>
          <w:color w:val="000000"/>
          <w:sz w:val="24"/>
        </w:rPr>
        <w:t>, чиято цел е да подкрепи усилията на работодателите, насочени към насърчаване на интеграцията на граждани на трети държави на пазара на труда. Също така Комисията е в процес на изграждане на сътрудничество със социалните и икономическите партньори на европейско равнище, за да може да работи по-тясно с тях за насърчаване на по-бързата и по-ефективна интеграция на бежанците на европейския пазар на труда. Предоставянето на целево финансиране ще подпомогне този процес и ще способства за предприемането на конкретни действия в държавите членки.</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Отчитайки съществената роля на </w:t>
      </w:r>
      <w:r>
        <w:rPr>
          <w:rFonts w:ascii="Times New Roman" w:hAnsi="Times New Roman"/>
          <w:b/>
          <w:noProof/>
          <w:color w:val="000000"/>
          <w:sz w:val="24"/>
        </w:rPr>
        <w:t>местните и регионалните органи</w:t>
      </w:r>
      <w:r>
        <w:rPr>
          <w:rFonts w:ascii="Times New Roman" w:hAnsi="Times New Roman"/>
          <w:noProof/>
          <w:color w:val="000000"/>
          <w:sz w:val="24"/>
        </w:rPr>
        <w:t xml:space="preserve"> в процеса на интеграция, Комисията работи също така за засилване на сътрудничеството с тези органи и на подкрепата за тях, по-конкретно по линия на партньорството по Програмата за градовете относно приобщаването на мигрантите и бежанците. Тази работа ще продължи, например чрез ръководене на Градска академия по въпросите на интеграцията и чрез целево финансиране в подкрепа на транснационалните мрежи от градове, работещи в сферата на интеграцията.</w:t>
      </w:r>
    </w:p>
    <w:p>
      <w:pPr>
        <w:keepNext/>
        <w:autoSpaceDE w:val="0"/>
        <w:autoSpaceDN w:val="0"/>
        <w:adjustRightInd w:val="0"/>
        <w:spacing w:before="480" w:after="240" w:line="240" w:lineRule="auto"/>
        <w:ind w:left="567" w:hanging="567"/>
        <w:jc w:val="both"/>
        <w:outlineLvl w:val="0"/>
        <w:rPr>
          <w:rFonts w:ascii="Times New Roman" w:hAnsi="Times New Roman" w:cs="Times New Roman"/>
          <w:b/>
          <w:noProof/>
          <w:color w:val="000000"/>
          <w:sz w:val="24"/>
          <w:szCs w:val="24"/>
        </w:rPr>
      </w:pPr>
      <w:r>
        <w:rPr>
          <w:rFonts w:ascii="Times New Roman" w:hAnsi="Times New Roman"/>
          <w:b/>
          <w:noProof/>
          <w:color w:val="000000"/>
          <w:sz w:val="24"/>
        </w:rPr>
        <w:t>3.</w:t>
      </w:r>
      <w:r>
        <w:rPr>
          <w:noProof/>
        </w:rPr>
        <w:tab/>
      </w:r>
      <w:r>
        <w:rPr>
          <w:rFonts w:ascii="Times New Roman" w:hAnsi="Times New Roman"/>
          <w:b/>
          <w:noProof/>
          <w:color w:val="000000"/>
          <w:sz w:val="24"/>
        </w:rPr>
        <w:t>Следващи действия за изпълнение на Европейската програма за миграцията</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sz w:val="24"/>
        </w:rPr>
        <w:t>Миграцията ще продължи да бъде основна тема за ЕС през идните години. Усилията, полагани в миналото и понастоящем в посочените по-горе различни сфери, включително управлението на външните граници, трябва да продължат, тъй като рискът от миграция и нуждата от спасяване на човешки животи са все още налице.</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В допълнение към безусловното прилагане на всички действащи правила и към осигуряването на необходимия принос за съвместни действия и фондове и паралелно с това е небходимо да се увеличат усилията в четири приоритетни области, за да може Съюзът да изпълни изцяло Европейската програма за миграцията: създаване на подходящата нормативна уредба, за да може общата европейска система за убежище да бъде съобразена с бъдещите предизвикателства, увеличаване на законните канали, които да заменят незаконната миграция, повишаване на ефективността на връщанията с цел насочване на ресурсите към нуждаещите се от тях лица и работа с приоритетни държави и организации за по-добро съвместно управление на миграцията.</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3.1.</w:t>
      </w:r>
      <w:r>
        <w:rPr>
          <w:noProof/>
        </w:rPr>
        <w:tab/>
      </w:r>
      <w:r>
        <w:rPr>
          <w:rFonts w:ascii="Times New Roman" w:hAnsi="Times New Roman"/>
          <w:b/>
          <w:i/>
          <w:noProof/>
          <w:color w:val="000000"/>
          <w:sz w:val="24"/>
        </w:rPr>
        <w:t>Реформа на общата европейска система за убежище</w:t>
      </w:r>
    </w:p>
    <w:p>
      <w:pPr>
        <w:tabs>
          <w:tab w:val="left" w:pos="4035"/>
        </w:tabs>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Въпреки че полаганите досега усилия от страна на Съюза в отговор на кризисната ситуация, включително механизма за спешно преместване, дават осезаеми резултати, </w:t>
      </w:r>
      <w:r>
        <w:rPr>
          <w:rFonts w:ascii="Times New Roman" w:hAnsi="Times New Roman"/>
          <w:b/>
          <w:noProof/>
          <w:sz w:val="24"/>
        </w:rPr>
        <w:t xml:space="preserve">не можем да продължим да разчитаме на </w:t>
      </w:r>
      <w:r>
        <w:rPr>
          <w:rFonts w:ascii="Times New Roman" w:hAnsi="Times New Roman"/>
          <w:b/>
          <w:i/>
          <w:noProof/>
          <w:sz w:val="24"/>
        </w:rPr>
        <w:t>ad hoc</w:t>
      </w:r>
      <w:r>
        <w:rPr>
          <w:rFonts w:ascii="Times New Roman" w:hAnsi="Times New Roman"/>
          <w:b/>
          <w:noProof/>
          <w:sz w:val="24"/>
        </w:rPr>
        <w:t xml:space="preserve"> мерки</w:t>
      </w:r>
      <w:r>
        <w:rPr>
          <w:rFonts w:ascii="Times New Roman" w:hAnsi="Times New Roman"/>
          <w:noProof/>
          <w:sz w:val="24"/>
        </w:rPr>
        <w:t xml:space="preserve">. </w:t>
      </w:r>
      <w:r>
        <w:rPr>
          <w:rFonts w:ascii="Times New Roman" w:hAnsi="Times New Roman"/>
          <w:b/>
          <w:noProof/>
          <w:sz w:val="24"/>
        </w:rPr>
        <w:t>Реформата на общата европейска система за убежище е ключова част от всеобхватната стратегия за миграцията</w:t>
      </w:r>
      <w:r>
        <w:rPr>
          <w:rFonts w:ascii="Times New Roman" w:hAnsi="Times New Roman"/>
          <w:noProof/>
          <w:sz w:val="24"/>
        </w:rPr>
        <w:t xml:space="preserve"> и е необходимо работата по различните направления, свързани с миграцията, да продължи, за да могат да бъдат отбелязани резултати.</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За да може тази реформа да бъде успешна, системата трябва да бъде устойчива на кризи. За тази цел са необходими ефективен подход към неочакваните ситуации, сближаване на националните системи и задълбочаване на взаимното доверие между държавите членки, включително чрез механизъм за солидарност, който да осигурява справедливо разпределение на отговорностите.</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Както посочи председателят Юнкер в речта си за състоянието на Съюза през 2017 г., за постигането на добър резултат при реформата на общата европейска система за убежище ще е нужно всеки да направи стъпка към другия. Комисията е склонна на компромис, ако крайният резултат е правилният за Съюза и справедлив за всичките му държави членки.</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Както беше отбелязано от Европейския съвет</w:t>
      </w:r>
      <w:r>
        <w:rPr>
          <w:rFonts w:ascii="Times New Roman" w:hAnsi="Times New Roman"/>
          <w:noProof/>
          <w:sz w:val="24"/>
          <w:vertAlign w:val="superscript"/>
        </w:rPr>
        <w:footnoteReference w:id="30"/>
      </w:r>
      <w:r>
        <w:rPr>
          <w:rFonts w:ascii="Times New Roman" w:hAnsi="Times New Roman"/>
          <w:noProof/>
          <w:sz w:val="24"/>
        </w:rPr>
        <w:t>, налице е общо разбиране за това, че реформираната обща европейска система за убежище трябва да постигне точния баланс между отговорност и солидарност и да гарантира устойчивост на бъдещи кризи. Системата трябва да бъде ефективна, да може да издържа на миграционен натиск, да премахва притегателните фактори, както и вторичните движения, да зачита международното право, да дава възможност за борба със злоупотребите и да предоставя подходяща подкрепа на най-засегнатите държави членки. Европейският съвет ще разгледа отново този въпрос и призова Съвета да продължи преговорите с активната помощ на Комисията.</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b/>
          <w:noProof/>
          <w:sz w:val="24"/>
        </w:rPr>
        <w:t>Реформата на системата от Дъблин</w:t>
      </w:r>
      <w:r>
        <w:rPr>
          <w:noProof/>
        </w:rPr>
        <w:t xml:space="preserve"> </w:t>
      </w:r>
      <w:r>
        <w:rPr>
          <w:rFonts w:ascii="Times New Roman" w:hAnsi="Times New Roman"/>
          <w:noProof/>
          <w:sz w:val="24"/>
        </w:rPr>
        <w:t xml:space="preserve">е единственото структурно решение и </w:t>
      </w:r>
      <w:r>
        <w:rPr>
          <w:rFonts w:ascii="Times New Roman" w:hAnsi="Times New Roman"/>
          <w:b/>
          <w:noProof/>
          <w:sz w:val="24"/>
        </w:rPr>
        <w:t>спешното постигане на напредък, водещ до политическо споразумение по това досие</w:t>
      </w:r>
      <w:r>
        <w:rPr>
          <w:rFonts w:ascii="Times New Roman" w:hAnsi="Times New Roman"/>
          <w:noProof/>
          <w:sz w:val="24"/>
        </w:rPr>
        <w:t>, продължава да бъде определящ фактор за завършването на реформата на общата европейска система за убежище. В момента е налице възможност да бъде отбелязан напредък по въпросите, които все още не са уредени, и да бъдат постигнати допълнителни резултати, като до края на годината бъде очертано в общи линии бъдещото цялостно споразумение за общата европейска система за убежище.</w:t>
      </w:r>
    </w:p>
    <w:p>
      <w:pPr>
        <w:tabs>
          <w:tab w:val="left" w:pos="4035"/>
        </w:tabs>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Успоредно с преговорите по реформата на системата от Дъблин </w:t>
      </w:r>
      <w:r>
        <w:rPr>
          <w:rFonts w:ascii="Times New Roman" w:hAnsi="Times New Roman"/>
          <w:b/>
          <w:noProof/>
          <w:sz w:val="24"/>
        </w:rPr>
        <w:t>е необходимо напредъкът да продължи и по всички други предложения</w:t>
      </w:r>
      <w:r>
        <w:rPr>
          <w:rFonts w:ascii="Times New Roman" w:hAnsi="Times New Roman"/>
          <w:noProof/>
          <w:sz w:val="24"/>
        </w:rPr>
        <w:t>: предложението за преразглеждане на условията за приемане, предложенията относно условията, на които трябва да отговарят търсещите убежище лица, и относно процедурите за предоставяне на убежище и предложението за създаване на рамка на Съюза за презаселване.</w:t>
      </w:r>
    </w:p>
    <w:p>
      <w:pPr>
        <w:tabs>
          <w:tab w:val="left" w:pos="4035"/>
        </w:tabs>
        <w:spacing w:after="240"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rPr>
        <w:t>Важно е всички тези взаимосвързани инициативи да бъдат приети бързо в съответствие със Съвместната декларация относно законодателните приоритети на ЕС за 2017 г.</w:t>
      </w:r>
      <w:r>
        <w:rPr>
          <w:rFonts w:ascii="Times New Roman" w:hAnsi="Times New Roman"/>
          <w:noProof/>
          <w:spacing w:val="-4"/>
          <w:sz w:val="24"/>
          <w:vertAlign w:val="superscript"/>
        </w:rPr>
        <w:footnoteReference w:id="31"/>
      </w:r>
      <w:r>
        <w:rPr>
          <w:rFonts w:ascii="Times New Roman" w:hAnsi="Times New Roman"/>
          <w:noProof/>
          <w:spacing w:val="-4"/>
          <w:sz w:val="24"/>
        </w:rPr>
        <w:t xml:space="preserve"> Комисията приветства добрия напредък, отбелязан във връзка с предложенията за реформа на Евродак и на Агенцията на Европейския съюз в областта на убежището. Комисията призовава Европейския парламент и Съвета да се договорят за тези важни инструменти, с което ще се подпомогне прилагането на общата европейска система за убежище, съзнавайки, че е възможно някои аспекти да се нуждаят от промени в контекста на цялостното споразумение. Възприемането на такъв подход ще гарантира също така, че договорената система може да бъде пусната в действие възможно най-скоро.</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3.2.</w:t>
      </w:r>
      <w:r>
        <w:rPr>
          <w:noProof/>
        </w:rPr>
        <w:tab/>
      </w:r>
      <w:r>
        <w:rPr>
          <w:rFonts w:ascii="Times New Roman" w:hAnsi="Times New Roman"/>
          <w:b/>
          <w:i/>
          <w:noProof/>
          <w:color w:val="000000"/>
          <w:sz w:val="24"/>
        </w:rPr>
        <w:t>Увеличаване на законните канали</w:t>
      </w:r>
    </w:p>
    <w:p>
      <w:pPr>
        <w:autoSpaceDE w:val="0"/>
        <w:autoSpaceDN w:val="0"/>
        <w:adjustRightInd w:val="0"/>
        <w:spacing w:after="240" w:line="240" w:lineRule="auto"/>
        <w:ind w:firstLine="720"/>
        <w:jc w:val="both"/>
        <w:outlineLvl w:val="0"/>
        <w:rPr>
          <w:rFonts w:ascii="Times New Roman" w:hAnsi="Times New Roman" w:cs="Times New Roman"/>
          <w:i/>
          <w:noProof/>
          <w:color w:val="000000"/>
          <w:sz w:val="24"/>
          <w:szCs w:val="24"/>
          <w:u w:val="single"/>
        </w:rPr>
      </w:pPr>
      <w:r>
        <w:rPr>
          <w:rFonts w:ascii="Times New Roman" w:hAnsi="Times New Roman"/>
          <w:i/>
          <w:noProof/>
          <w:color w:val="000000"/>
          <w:sz w:val="24"/>
          <w:u w:val="single"/>
        </w:rPr>
        <w:t>3.2.1. Презаселване</w:t>
      </w:r>
    </w:p>
    <w:p>
      <w:pPr>
        <w:autoSpaceDE w:val="0"/>
        <w:autoSpaceDN w:val="0"/>
        <w:adjustRightInd w:val="0"/>
        <w:spacing w:after="240" w:line="240" w:lineRule="auto"/>
        <w:jc w:val="both"/>
        <w:rPr>
          <w:rFonts w:ascii="Times New Roman" w:hAnsi="Times New Roman" w:cs="Times New Roman"/>
          <w:noProof/>
          <w:color w:val="000000"/>
          <w:spacing w:val="-2"/>
          <w:sz w:val="24"/>
          <w:szCs w:val="24"/>
        </w:rPr>
      </w:pPr>
      <w:r>
        <w:rPr>
          <w:rFonts w:ascii="Times New Roman" w:hAnsi="Times New Roman"/>
          <w:noProof/>
          <w:color w:val="000000"/>
          <w:spacing w:val="-2"/>
          <w:sz w:val="24"/>
        </w:rPr>
        <w:t>Презаселването (и подобни форми на хуманитарно приемане) продължава да бъде основният инструмент за закрила. То показва ясно общата солидарност с трети държави и разпределението на отговорностите за лицата, нуждаещи се от закрила. Комисията подкрепя призива на върховния комисар на ООН за бежанците Гранди за презаселването на още 40 000 бежанци от Либия и съседните държави. Презаселването също така е част от политиката на ЕС в областта на убежището и миграцията. Този законен канал за миграция представлява алтернатива на незаконните и опасни пътувания, помага за спасяването на човешки животи, допринася за намаляването на незаконната миграция и облекчава миграционния натиск върху засегнатите държави членки.</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Като се възползва от увеличените усилия през последните две години и поради факта, че нуждите от презаселване в световен мащаб се запазват на безпрецедентно високото равнище от 1,2 милиона души, ЕС следва да се стреми да презасели до октомври 2019 г. поне още 50 000 души, които се нуждаят от международна закрила. </w:t>
      </w:r>
      <w:r>
        <w:rPr>
          <w:rFonts w:ascii="Times New Roman" w:hAnsi="Times New Roman"/>
          <w:b/>
          <w:noProof/>
          <w:color w:val="000000"/>
          <w:sz w:val="24"/>
        </w:rPr>
        <w:t xml:space="preserve">За постигането на целта Комисията препоръчва днес да бъдат разселени най-малко 50 000 души, нуждаещи се от международна закрила, и ще осигури 500 милиона евро за изпълнението на тази задача. </w:t>
      </w:r>
      <w:r>
        <w:rPr>
          <w:rFonts w:ascii="Times New Roman" w:hAnsi="Times New Roman"/>
          <w:noProof/>
          <w:color w:val="000000"/>
          <w:sz w:val="24"/>
        </w:rPr>
        <w:t>Настоящата препоръка е вследствие на започналата на 4 юли 2017 г. процедура</w:t>
      </w:r>
      <w:r>
        <w:rPr>
          <w:rFonts w:ascii="Times New Roman" w:hAnsi="Times New Roman"/>
          <w:b/>
          <w:noProof/>
          <w:color w:val="000000"/>
          <w:sz w:val="24"/>
        </w:rPr>
        <w:t xml:space="preserve"> </w:t>
      </w:r>
      <w:r>
        <w:rPr>
          <w:rFonts w:ascii="Times New Roman" w:hAnsi="Times New Roman"/>
          <w:noProof/>
          <w:color w:val="000000"/>
          <w:sz w:val="24"/>
        </w:rPr>
        <w:t>за поемане на ангажименти за презаселване, в рамките на която досега са поети около 14 000 ангажимента за презаселване. С тази нова инициатива следва да се гарантира трайното извършване на презаселвания от Турция, за да могат да бъдат постигнати резултати по изявлението на ЕС и Турция (и с оглед на бъдещата доброволна схема за хуманитарно приемане), от Йордания и Ливан, които са приели голям брой бежанци, и от държавите в Северна Африка и Африканския рог, разположени по маршрута през Централното Средиземноморие (Либия, Египет, Нигер, Судан, Чад и Етиопия). Поставянето на по-голям акцент върху държавите по маршрута през Централното Средиземноморие също така ще подпомогне планирания от ВКБООН временен механизъм за спешно евакуиране от Либия. Ангажиментите трябва да бъдат поети до края на октомври.</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b/>
          <w:noProof/>
          <w:color w:val="000000"/>
          <w:sz w:val="24"/>
        </w:rPr>
        <w:t xml:space="preserve">Необходимо е обаче ЕС да премине от </w:t>
      </w:r>
      <w:r>
        <w:rPr>
          <w:rFonts w:ascii="Times New Roman" w:hAnsi="Times New Roman"/>
          <w:b/>
          <w:i/>
          <w:noProof/>
          <w:color w:val="000000"/>
          <w:sz w:val="24"/>
        </w:rPr>
        <w:t>ad hoc</w:t>
      </w:r>
      <w:r>
        <w:rPr>
          <w:rFonts w:ascii="Times New Roman" w:hAnsi="Times New Roman"/>
          <w:b/>
          <w:noProof/>
          <w:color w:val="000000"/>
          <w:sz w:val="24"/>
        </w:rPr>
        <w:t xml:space="preserve"> схеми към стабилна рамка</w:t>
      </w:r>
      <w:r>
        <w:rPr>
          <w:rFonts w:ascii="Times New Roman" w:hAnsi="Times New Roman"/>
          <w:noProof/>
          <w:color w:val="000000"/>
          <w:sz w:val="24"/>
        </w:rPr>
        <w:t>. През юли 2016 г. Комисията предложи да се създаде рамка на Съюза за презаселване, изразявайки амбицията си тази рамка да бъде стабилна и да предвижда безопасни и законни начини за достъп до международна закрила за лица, които не се намират в ЕС. Това предложение трябва да бъде прието спешно, за да може да бъде изготвена всеобхватна и устойчива политика на ЕС в областта на миграцията.</w:t>
      </w:r>
    </w:p>
    <w:p>
      <w:pPr>
        <w:autoSpaceDE w:val="0"/>
        <w:autoSpaceDN w:val="0"/>
        <w:adjustRightInd w:val="0"/>
        <w:spacing w:after="240" w:line="240" w:lineRule="auto"/>
        <w:jc w:val="both"/>
        <w:rPr>
          <w:rFonts w:ascii="Times New Roman" w:hAnsi="Times New Roman" w:cs="Times New Roman"/>
          <w:noProof/>
          <w:color w:val="000000"/>
          <w:spacing w:val="-2"/>
          <w:sz w:val="24"/>
          <w:szCs w:val="24"/>
        </w:rPr>
      </w:pPr>
      <w:r>
        <w:rPr>
          <w:rFonts w:ascii="Times New Roman" w:hAnsi="Times New Roman"/>
          <w:noProof/>
          <w:color w:val="000000"/>
          <w:spacing w:val="-2"/>
          <w:sz w:val="24"/>
        </w:rPr>
        <w:t xml:space="preserve">Паралелно с това държавите членки следва да продължат да използват пълноценно други законни начини за достъп за лицата, които се нуждаят от закрила. По-специално държавите членки се насърчават да проучат възможности за създаване на схеми за частно спонсорство, при които подпомагането за настаняване и интеграция на лицата, нуждаещи се от закрила, включително свързаните с това разходи, да се поема от частни структури на организациите на гражданското общество. С цел улесняване на изпълнението на тези действия и за да могат по-подробно да бъдат проучени възможностите за разработване на такива схеми в ЕС, </w:t>
      </w:r>
      <w:r>
        <w:rPr>
          <w:rFonts w:ascii="Times New Roman" w:hAnsi="Times New Roman"/>
          <w:b/>
          <w:noProof/>
          <w:color w:val="000000"/>
          <w:spacing w:val="-2"/>
          <w:sz w:val="24"/>
        </w:rPr>
        <w:t>Комисията покани EASO да координира пилотен проект</w:t>
      </w:r>
      <w:r>
        <w:rPr>
          <w:rFonts w:ascii="Times New Roman" w:hAnsi="Times New Roman"/>
          <w:b/>
          <w:noProof/>
          <w:color w:val="000000"/>
          <w:spacing w:val="-2"/>
          <w:sz w:val="24"/>
          <w:vertAlign w:val="superscript"/>
        </w:rPr>
        <w:footnoteReference w:id="32"/>
      </w:r>
      <w:r>
        <w:rPr>
          <w:rFonts w:ascii="Times New Roman" w:hAnsi="Times New Roman"/>
          <w:b/>
          <w:noProof/>
          <w:color w:val="000000"/>
          <w:spacing w:val="-2"/>
          <w:sz w:val="24"/>
        </w:rPr>
        <w:t xml:space="preserve"> относно</w:t>
      </w:r>
      <w:r>
        <w:rPr>
          <w:rFonts w:ascii="Times New Roman" w:hAnsi="Times New Roman"/>
          <w:noProof/>
          <w:color w:val="000000"/>
          <w:spacing w:val="-2"/>
          <w:sz w:val="24"/>
        </w:rPr>
        <w:t xml:space="preserve"> </w:t>
      </w:r>
      <w:r>
        <w:rPr>
          <w:rFonts w:ascii="Times New Roman" w:hAnsi="Times New Roman"/>
          <w:b/>
          <w:noProof/>
          <w:color w:val="000000"/>
          <w:spacing w:val="-2"/>
          <w:sz w:val="24"/>
        </w:rPr>
        <w:t>схемите за частно спонсорство</w:t>
      </w:r>
      <w:r>
        <w:rPr>
          <w:rFonts w:ascii="Times New Roman" w:hAnsi="Times New Roman"/>
          <w:noProof/>
          <w:color w:val="000000"/>
          <w:spacing w:val="-2"/>
          <w:sz w:val="24"/>
        </w:rPr>
        <w:t xml:space="preserve"> със заинтересованите държави членки,</w:t>
      </w:r>
      <w:r>
        <w:rPr>
          <w:noProof/>
          <w:spacing w:val="-2"/>
        </w:rPr>
        <w:t xml:space="preserve"> </w:t>
      </w:r>
      <w:r>
        <w:rPr>
          <w:rFonts w:ascii="Times New Roman" w:hAnsi="Times New Roman"/>
          <w:noProof/>
          <w:spacing w:val="-2"/>
          <w:sz w:val="24"/>
        </w:rPr>
        <w:t>в който да участва широк кръг от организации на гражданското общество, международни организации и потенциални частни спонсори в сътрудничество с държавите членки.</w:t>
      </w:r>
    </w:p>
    <w:p>
      <w:pPr>
        <w:autoSpaceDE w:val="0"/>
        <w:autoSpaceDN w:val="0"/>
        <w:adjustRightInd w:val="0"/>
        <w:spacing w:after="240" w:line="240" w:lineRule="auto"/>
        <w:ind w:firstLine="720"/>
        <w:jc w:val="both"/>
        <w:outlineLvl w:val="0"/>
        <w:rPr>
          <w:rFonts w:ascii="Times New Roman" w:hAnsi="Times New Roman" w:cs="Times New Roman"/>
          <w:i/>
          <w:noProof/>
          <w:color w:val="000000"/>
          <w:sz w:val="24"/>
          <w:szCs w:val="24"/>
          <w:u w:val="single"/>
        </w:rPr>
      </w:pPr>
      <w:r>
        <w:rPr>
          <w:rFonts w:ascii="Times New Roman" w:hAnsi="Times New Roman"/>
          <w:i/>
          <w:noProof/>
          <w:color w:val="000000"/>
          <w:sz w:val="24"/>
          <w:u w:val="single"/>
        </w:rPr>
        <w:t>3.2.2. Пилотни проекти в областта на законната миграция</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Ролята на каналите за законна миграция в сътрудничеството ни с трети държави трябва да придобие по-голямо значение, така че да могат да бъдат постигнати конкретни резултати, като се вземат под внимание настоящите и бъдещите ни потребности в социално-икономически аспект. Законната миграция вече представлява важна част от миграционните потоци към ЕС. Засиленото и съобразено с нуждите сътрудничество в областта на законната миграция, провеждано с трети държави на произход и транзитно преминаване на мигранти, може да допринесе за намаляване на незаконната миграция посредством предлагането на безопасни и законни алтернативи на лицата, които желаят да мигрират. Чрез него може да се запълни недостигът в някои отрасли на пазара на труда в държавите — членки на ЕС, като успоредно с това се улесни сътрудничеството по въпроси като предотвратяването на незаконната миграция и обратното приемане и връщането на незаконни мигранти.</w:t>
      </w:r>
    </w:p>
    <w:p>
      <w:pPr>
        <w:autoSpaceDE w:val="0"/>
        <w:autoSpaceDN w:val="0"/>
        <w:adjustRightInd w:val="0"/>
        <w:spacing w:after="240" w:line="240" w:lineRule="auto"/>
        <w:jc w:val="both"/>
        <w:rPr>
          <w:rFonts w:ascii="Times New Roman" w:hAnsi="Times New Roman" w:cs="Times New Roman"/>
          <w:noProof/>
          <w:color w:val="000000"/>
          <w:spacing w:val="-4"/>
          <w:sz w:val="24"/>
          <w:szCs w:val="24"/>
        </w:rPr>
      </w:pPr>
      <w:r>
        <w:rPr>
          <w:rFonts w:ascii="Times New Roman" w:hAnsi="Times New Roman"/>
          <w:noProof/>
          <w:color w:val="000000"/>
          <w:spacing w:val="-4"/>
          <w:sz w:val="24"/>
        </w:rPr>
        <w:t xml:space="preserve">В контекста на горепосоченото и при безусловно зачитане на компетенциите на държавите членки, посочени в Договорите, Комисията е готова през 2018 г. да </w:t>
      </w:r>
      <w:r>
        <w:rPr>
          <w:rFonts w:ascii="Times New Roman" w:hAnsi="Times New Roman"/>
          <w:b/>
          <w:noProof/>
          <w:color w:val="000000"/>
          <w:spacing w:val="-4"/>
          <w:sz w:val="24"/>
        </w:rPr>
        <w:t>координира пилотни проекти с трети държави</w:t>
      </w:r>
      <w:r>
        <w:rPr>
          <w:rFonts w:ascii="Times New Roman" w:hAnsi="Times New Roman"/>
          <w:noProof/>
          <w:color w:val="000000"/>
          <w:spacing w:val="-4"/>
          <w:sz w:val="24"/>
        </w:rPr>
        <w:t xml:space="preserve"> и да предостави съответното финансово подпомагане, а държавите членки ще се ангажират да приемат определен брой мигранти, идващи по законен път, включително от икономически съображения.</w:t>
      </w:r>
      <w:r>
        <w:rPr>
          <w:rFonts w:ascii="Times New Roman" w:hAnsi="Times New Roman"/>
          <w:b/>
          <w:noProof/>
          <w:color w:val="000000"/>
          <w:spacing w:val="-4"/>
          <w:sz w:val="24"/>
        </w:rPr>
        <w:t xml:space="preserve"> </w:t>
      </w:r>
      <w:r>
        <w:rPr>
          <w:rFonts w:ascii="Times New Roman" w:hAnsi="Times New Roman"/>
          <w:noProof/>
          <w:color w:val="000000"/>
          <w:spacing w:val="-4"/>
          <w:sz w:val="24"/>
        </w:rPr>
        <w:t xml:space="preserve">Първоначално могат да бъдат проучени възможностите за стартиране на такива пилотни проекти с избрани трети държави въз основа на качеството на партньорството в областта на управлението на миграцията и на реалното сътрудничество в борбата с незаконните миграционни потоци и за обратното приемане на незаконни мигранти. Важно е </w:t>
      </w:r>
      <w:r>
        <w:rPr>
          <w:rFonts w:ascii="Times New Roman" w:hAnsi="Times New Roman"/>
          <w:b/>
          <w:noProof/>
          <w:color w:val="000000"/>
          <w:spacing w:val="-4"/>
          <w:sz w:val="24"/>
        </w:rPr>
        <w:t>да се насърчи участието на частния сектор</w:t>
      </w:r>
      <w:r>
        <w:rPr>
          <w:rFonts w:ascii="Times New Roman" w:hAnsi="Times New Roman"/>
          <w:noProof/>
          <w:color w:val="000000"/>
          <w:spacing w:val="-4"/>
          <w:sz w:val="24"/>
        </w:rPr>
        <w:t xml:space="preserve"> в този процес, и особено на икономическите и социалните заинтересовани страни. Публично-частните партньорства, които са много ефективни в областта на интеграцията, имат основна роля за установяване на нуждите на пазарите на труда в ЕС и на недостига и за оценяване на това как миграцията може да помогне за отстраняване на тези недостатъци и за по-ефективна интеграция на пазара на труда.</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3.3.</w:t>
      </w:r>
      <w:r>
        <w:rPr>
          <w:noProof/>
        </w:rPr>
        <w:tab/>
      </w:r>
      <w:r>
        <w:rPr>
          <w:rFonts w:ascii="Times New Roman" w:hAnsi="Times New Roman"/>
          <w:b/>
          <w:i/>
          <w:noProof/>
          <w:color w:val="000000"/>
          <w:sz w:val="24"/>
        </w:rPr>
        <w:t xml:space="preserve">По-ефективна политика в областта на връщането </w:t>
      </w:r>
    </w:p>
    <w:p>
      <w:pPr>
        <w:autoSpaceDE w:val="0"/>
        <w:autoSpaceDN w:val="0"/>
        <w:adjustRightInd w:val="0"/>
        <w:spacing w:after="24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Според статистическите данни, предоставени от държавите членки, през 2016 г. в ЕС е имало почти един милион незаконно пребиваващи граждани на трети държави, а броят на гражданите на трети държави, за които е било разпоредено да напуснат ЕС, е бил почти 500 000. Като се има предвид, че само през 2015/2016 г. са били подадени около 2,6 милиона молби за убежище и че одобренията на първа инстанция са били 57 % през 2016 г. (50 % през първото тримесечие на 2017 г.), възможно е в близко бъдеще на държавите членки да им се наложи да върнат повече от 1,5 милиона души.</w:t>
      </w:r>
    </w:p>
    <w:p>
      <w:pPr>
        <w:autoSpaceDE w:val="0"/>
        <w:autoSpaceDN w:val="0"/>
        <w:adjustRightInd w:val="0"/>
        <w:spacing w:after="240" w:line="240" w:lineRule="auto"/>
        <w:jc w:val="both"/>
        <w:rPr>
          <w:rFonts w:ascii="Times New Roman" w:hAnsi="Times New Roman" w:cs="Times New Roman"/>
          <w:noProof/>
          <w:color w:val="000000"/>
          <w:spacing w:val="-2"/>
          <w:sz w:val="24"/>
          <w:szCs w:val="24"/>
        </w:rPr>
      </w:pPr>
      <w:r>
        <w:rPr>
          <w:rFonts w:ascii="Times New Roman" w:hAnsi="Times New Roman"/>
          <w:noProof/>
          <w:color w:val="000000"/>
          <w:spacing w:val="-2"/>
          <w:sz w:val="24"/>
        </w:rPr>
        <w:t>Когато само 36 % от незаконните мигранти биват връщани, е ясно, че е необходимо значително да засилим работата си. Установяването на ефективна система за връщане на лицата, които нямат право да останат в ЕС, е единственият начин, по който Европа може да демонстрира своята солидарност с бежанците, които наистина се нуждаят от закрила.</w:t>
      </w:r>
    </w:p>
    <w:p>
      <w:pPr>
        <w:autoSpaceDE w:val="0"/>
        <w:autoSpaceDN w:val="0"/>
        <w:adjustRightInd w:val="0"/>
        <w:spacing w:after="240" w:line="240" w:lineRule="auto"/>
        <w:jc w:val="both"/>
        <w:rPr>
          <w:rFonts w:ascii="Times New Roman" w:hAnsi="Times New Roman" w:cs="Times New Roman"/>
          <w:noProof/>
          <w:color w:val="000000"/>
        </w:rPr>
      </w:pPr>
      <w:r>
        <w:rPr>
          <w:rFonts w:ascii="Times New Roman" w:hAnsi="Times New Roman"/>
          <w:noProof/>
          <w:color w:val="000000"/>
          <w:sz w:val="24"/>
        </w:rPr>
        <w:t xml:space="preserve">Освен това действителното извършване на връщания ще изпрати ясен сигнал срещу предприемането на опасни незаконни пътувания към ЕС. </w:t>
      </w:r>
      <w:r>
        <w:rPr>
          <w:rFonts w:ascii="Times New Roman" w:hAnsi="Times New Roman"/>
          <w:noProof/>
          <w:sz w:val="24"/>
        </w:rPr>
        <w:t>Действащото законодателство на ЕС</w:t>
      </w:r>
      <w:r>
        <w:rPr>
          <w:rFonts w:ascii="Times New Roman" w:hAnsi="Times New Roman"/>
          <w:noProof/>
          <w:sz w:val="24"/>
          <w:vertAlign w:val="superscript"/>
        </w:rPr>
        <w:footnoteReference w:id="33"/>
      </w:r>
      <w:r>
        <w:rPr>
          <w:rFonts w:ascii="Times New Roman" w:hAnsi="Times New Roman"/>
          <w:noProof/>
          <w:sz w:val="24"/>
        </w:rPr>
        <w:t xml:space="preserve"> предвижда общ набор от правила, които трябва да бъдат спазвани и прилагани в националните системи за връщане.</w:t>
      </w:r>
    </w:p>
    <w:p>
      <w:pPr>
        <w:autoSpaceDE w:val="0"/>
        <w:autoSpaceDN w:val="0"/>
        <w:adjustRightInd w:val="0"/>
        <w:spacing w:after="240" w:line="240" w:lineRule="auto"/>
        <w:jc w:val="both"/>
        <w:rPr>
          <w:rFonts w:ascii="Times New Roman" w:hAnsi="Times New Roman" w:cs="Times New Roman"/>
          <w:noProof/>
          <w:color w:val="000000"/>
          <w:sz w:val="24"/>
        </w:rPr>
      </w:pPr>
      <w:r>
        <w:rPr>
          <w:rFonts w:ascii="Times New Roman" w:hAnsi="Times New Roman"/>
          <w:noProof/>
          <w:color w:val="000000"/>
          <w:sz w:val="24"/>
        </w:rPr>
        <w:t>Предвид незадоволителната ситуация понастоящем от основно значение е и държавите членки, и Европейската агенция за гранична и брегова охрана да положат допълнителни усилия с подкрепата на Комисията и действително да извършват връщания. Това не може да бъде постигнато без съвместни и систематични действия и укрепване на сътрудничеството с трети държави, за да могат да бъдат изпълнени задълженията за повторно приемане на собствени граждани, като се използват Рамката за партньорство, ситуацията след срещата на върха във Валета и всяка друга политическа възможност според нуждите.</w:t>
      </w:r>
    </w:p>
    <w:p>
      <w:pPr>
        <w:spacing w:after="240" w:line="240" w:lineRule="auto"/>
        <w:jc w:val="both"/>
        <w:rPr>
          <w:rFonts w:ascii="Times New Roman" w:hAnsi="Times New Roman" w:cs="Times New Roman"/>
          <w:noProof/>
          <w:color w:val="000000"/>
          <w:sz w:val="24"/>
          <w:szCs w:val="24"/>
        </w:rPr>
      </w:pPr>
      <w:r>
        <w:rPr>
          <w:rFonts w:ascii="Times New Roman" w:hAnsi="Times New Roman"/>
          <w:i/>
          <w:noProof/>
          <w:color w:val="000000"/>
          <w:sz w:val="24"/>
        </w:rPr>
        <w:t>Укрепване на управлението на връщането от страна на ЕС благодарение на Европейската агенция за гранична и брегова охрана</w:t>
      </w:r>
    </w:p>
    <w:p>
      <w:pPr>
        <w:spacing w:after="240" w:line="240" w:lineRule="auto"/>
        <w:jc w:val="both"/>
        <w:rPr>
          <w:rFonts w:ascii="Times New Roman" w:hAnsi="Times New Roman" w:cs="Times New Roman"/>
          <w:noProof/>
          <w:sz w:val="24"/>
          <w:szCs w:val="24"/>
        </w:rPr>
      </w:pPr>
      <w:r>
        <w:rPr>
          <w:rFonts w:ascii="Times New Roman" w:hAnsi="Times New Roman"/>
          <w:noProof/>
          <w:color w:val="000000"/>
          <w:sz w:val="24"/>
        </w:rPr>
        <w:t>Европейската агенция за гранична и брегова охрана има за задача</w:t>
      </w:r>
      <w:r>
        <w:rPr>
          <w:noProof/>
        </w:rPr>
        <w:t xml:space="preserve"> </w:t>
      </w:r>
      <w:r>
        <w:rPr>
          <w:rFonts w:ascii="Times New Roman" w:hAnsi="Times New Roman"/>
          <w:noProof/>
          <w:color w:val="000000"/>
          <w:sz w:val="24"/>
        </w:rPr>
        <w:t>да организира, координира и извършва операции и действия за връщане и да предоставя на държавите членки нужното съдействие за оганизирането на такива операции на равнището на ЕС.</w:t>
      </w:r>
      <w:r>
        <w:rPr>
          <w:noProof/>
        </w:rPr>
        <w:t xml:space="preserve"> </w:t>
      </w:r>
      <w:r>
        <w:rPr>
          <w:rFonts w:ascii="Times New Roman" w:hAnsi="Times New Roman"/>
          <w:noProof/>
          <w:color w:val="000000"/>
          <w:sz w:val="24"/>
        </w:rPr>
        <w:t>За тази цел Агенцията трябва да ускори прехода от ориентиран към търсенето подход, при който тя действа единствено по искане на една или няколко държави членки, към деен подход за управление на връщанията, при който тя е реална движеща сила за ЕС и държавите членки. За изпълнението на тези задачи сегашното звено по въпросите на връщането следва да бъде преобразувано в специален отдел по въпросите на връщането в структурата на Агенцията, който да разполага с необходимото оборудване и персонал. Този отдел трябва</w:t>
      </w:r>
      <w:r>
        <w:rPr>
          <w:noProof/>
        </w:rPr>
        <w:t xml:space="preserve"> </w:t>
      </w:r>
      <w:r>
        <w:rPr>
          <w:rFonts w:ascii="Times New Roman" w:hAnsi="Times New Roman"/>
          <w:noProof/>
          <w:sz w:val="24"/>
        </w:rPr>
        <w:t>да има водеща роля в изпълнението на всички мерки и използването на всички инструменти, предвидени в Регламента за Европейската гранична и брегова охрана. Агенцията трябва да изготви оперативни планове, които да съдържат конкретни цели относно връщането до средата на 2018 г. за всяка държава членка в съответствие с нейните потребности и приоритети в областта на връщането, като акцентът бъде поставен върху третите държави, с които са сключени договорености за обратно приемане, с цел постигане на максимални резултати. При необходимост Агенцията може да разгледа възможността за създаване на оперативни клонове в ключови държави членки.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Агенцията трябва също така да изготви пилотни проекти, насочени към разработването и изпитването на новаторски решения за съвместно управление на връщанията, например чрез въвеждането на механизъм за споделяне на капацитет между държавите членки (включително съвместно управление и възлагане на разработването на проекти, съвместно сключване на договори с външни изпълнители, включително във връзка с търговски полети, общ капацитет за задържане и съвместно управление на съоръжения за задържане, съвместно консулско подпомагане).</w:t>
      </w:r>
    </w:p>
    <w:p>
      <w:pPr>
        <w:keepNext/>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Действия на държавите членки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Действията на Европейската агенция за гранична и брегова охрана обаче могат да се увенчаят с успех единствено ако бъдат съпътствани от по-големи усилия от страна на държавите членки. Държавите членки трябва да продължат да изпълняват препоръката и обновения план за действие в областта на връщането, като използват пълноценно предвидената в действащото законодателство гъвкавост. Те трябва да рационализират системите си за връщане, така че да се допринесе за оперативното сближаване на дейностите за връщане на равнище ЕС, организирани от Европейската агенция за гранична и брегова охрана, по-специално чрез редовно предоставяне на информация за ориентировъчното планиране на национални операции за връщане, включително броя на връщаните лица и третите държави, в които те биват връщани.</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 координирана подкрепа от агенциите на ЕС държавите членки, разположени на външните граници, следва също така да използват пълния оперативен потенциал на </w:t>
      </w:r>
      <w:r>
        <w:rPr>
          <w:rFonts w:ascii="Times New Roman" w:hAnsi="Times New Roman"/>
          <w:b/>
          <w:noProof/>
          <w:sz w:val="24"/>
        </w:rPr>
        <w:t>подхода на горещите точки</w:t>
      </w:r>
      <w:r>
        <w:rPr>
          <w:rFonts w:ascii="Times New Roman" w:hAnsi="Times New Roman"/>
          <w:noProof/>
          <w:sz w:val="24"/>
        </w:rPr>
        <w:t xml:space="preserve"> за по-бързо и ефективно изпълнение на операциите за връщане особено когато има рязко и значително увеличаване на пристигащите незаконни мигранти. За тази цел може да бъде необходимо да се предприемат мерки за бързо идентифициране на лицата, които очевидно не се нуждаят от закрила или чиято молба е недопустима, като тези мерки трябва да бъдат съпътствани от ефективни средства за бързо връщане на тези лица.</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sz w:val="24"/>
        </w:rPr>
        <w:t>През 2018 г. управляваното от Комисията приложение за управление на незаконната миграция (IRMA) ще бъде доразработено и интегрирано в работната среда за управление на връщанията на Европейската агенция за гранична и брегова охрана и държавите членки.</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Комисията ще се запознава с отбелязания напредък посредством </w:t>
      </w:r>
      <w:r>
        <w:rPr>
          <w:rFonts w:ascii="Times New Roman" w:hAnsi="Times New Roman"/>
          <w:b/>
          <w:noProof/>
          <w:color w:val="000000"/>
          <w:sz w:val="24"/>
        </w:rPr>
        <w:t>редовно докладване</w:t>
      </w:r>
      <w:r>
        <w:rPr>
          <w:rFonts w:ascii="Times New Roman" w:hAnsi="Times New Roman"/>
          <w:noProof/>
          <w:color w:val="000000"/>
          <w:sz w:val="24"/>
        </w:rPr>
        <w:t>. Тя ще работи съвместно с държавите членки, за да проследява напредъка в областта на връщането, да обменя информация за промените, свързани с незаконната миграция, и да предоставя редовна обратна информация за функционирането на системите за връщане в ЕС, обхващаща както държавите членки, така и Европейската агенция за гранична и брегова охрана.</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Ако разнородният характер и най-вече незадоволителният процент на връщанията се запазят, може да се наложи да бъдат проучени възможности за по-голямо сближаване. Такова сближаване би могло да означава стандартизиране на всички аспекти на процеса на връщане (от установяването на самоличността/задържането до извършването на връщането), сближаване на правилата относно риска от укриване, на основанията за задържане и на правилата за издаване на забрана за влизане, проучване на възможностите за постигане на по-голямо съответствие на процедурите за убежище, улесняване на изпълнението на валидните за целия ЕС решения за връщане, приети от държавите членки, и разпределяне на отговорността за тяхното изпълнение между държавите членки и Европейската агенция за гранична брегова охрана.</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3.4.</w:t>
      </w:r>
      <w:r>
        <w:rPr>
          <w:noProof/>
        </w:rPr>
        <w:tab/>
      </w:r>
      <w:r>
        <w:rPr>
          <w:rFonts w:ascii="Times New Roman" w:hAnsi="Times New Roman"/>
          <w:b/>
          <w:i/>
          <w:noProof/>
          <w:color w:val="000000"/>
          <w:sz w:val="24"/>
        </w:rPr>
        <w:t>Външно измерение: Рамка за партньорство в областта на миграцията</w:t>
      </w: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От приемането на Европейската програма за миграцията ЕС е в процес на изграждане на различни елементи от една цялостна външна политика в областта на миграцията, която ще допълни по-широкообхватния ни ангажимент в сферите на външната политика и развитието. ЕС и държавите членки следва да продължат да работят съвместно и да координират системно действията си, използвайки за тази цел Рамката за партньорство и процеса от Валета, за да затвърдят напредъка, постигнат в управлението на миграционните потоци, осъществявано съвместно с държавите на произход и на транзитно преминаване.</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Прилагането на Рамката за партньорство, което продължава повече от година, показва, че подходът е насърчил предприемането на действия в партньорските държави за реформа на техните системи за управление на миграцията и за по-ефективна борба с контрабандата на мигранти, но все още не е довел напълно до очакваното засилено сътрудничество в областта на връщането. За постигането на напредък са необходими допълнителни инвестиции в редица области.</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pacing w:val="-4"/>
          <w:sz w:val="24"/>
          <w:szCs w:val="24"/>
        </w:rPr>
      </w:pPr>
      <w:r>
        <w:rPr>
          <w:rFonts w:ascii="Times New Roman" w:hAnsi="Times New Roman"/>
          <w:noProof/>
          <w:color w:val="000000"/>
          <w:spacing w:val="-4"/>
          <w:sz w:val="24"/>
        </w:rPr>
        <w:t xml:space="preserve">Ресурсите на Доверителния фонд на ЕС за Африка, и по-специално на компонента му за Северна Африка, трябва да се увеличат </w:t>
      </w:r>
      <w:r>
        <w:rPr>
          <w:rFonts w:ascii="Times New Roman" w:hAnsi="Times New Roman"/>
          <w:b/>
          <w:noProof/>
          <w:color w:val="000000"/>
          <w:spacing w:val="-4"/>
          <w:sz w:val="24"/>
        </w:rPr>
        <w:t>чрез допълнително финансиране от държавите членки</w:t>
      </w:r>
      <w:r>
        <w:rPr>
          <w:rFonts w:ascii="Times New Roman" w:hAnsi="Times New Roman"/>
          <w:noProof/>
          <w:color w:val="000000"/>
          <w:spacing w:val="-4"/>
          <w:sz w:val="24"/>
        </w:rPr>
        <w:t xml:space="preserve">. Срокът на действие на Доверителния фонд на ЕС за Африка изтича през 2020 г. и поради това в контекста на обсъжданията на следващата многогодишна финансова рамка на Съюза следва да бъде разгледано най-целесъобразното решение за осигуряване на ефективно финансиране за външната политика в областта на миграцията. </w:t>
      </w:r>
      <w:r>
        <w:rPr>
          <w:rFonts w:ascii="Times New Roman" w:hAnsi="Times New Roman"/>
          <w:noProof/>
          <w:spacing w:val="-4"/>
          <w:sz w:val="24"/>
        </w:rPr>
        <w:t>Ресурсите за мисии по линия на ОПСО също трябва да бъдат увеличени, включително чрез предоставяне на необходимото за попълване на недостига при разполагането на мисиите.</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За постигането на по-добри резултати по молбите за връщане и обратно приемане е необходима по-системна и ефективна работа във връзка с отказа на някои трети държави на произход да сътрудничат, като се мобилизират всички стимули и механизми за въздействие, налични както на равнище ЕС, така и на равнище държави членки. Това предполага разширяване на набора от политики на ЕС, които допринасят за тези цели, например предлагане на законни канали за миграция чрез пилотни проекти на равнище ЕС или засилване на подкрепата за реинтеграцията. Паралелно с официалните преговори ЕС ще продължи да се стреми към неофициални договорености, като например стандартни оперативни процедури. В случаите, в които отказът за сътрудничество продължи, инициативата на държавите членки да координират ответната си реакция посредством съответни визови мерки съгласно действащите визови правила може да бъде допълнителен механизъм за въздействие.</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Предприемането на действия в отговор на нарастващия миграционен натиск по </w:t>
      </w:r>
      <w:r>
        <w:rPr>
          <w:rFonts w:ascii="Times New Roman" w:hAnsi="Times New Roman"/>
          <w:b/>
          <w:noProof/>
          <w:color w:val="000000"/>
          <w:sz w:val="24"/>
        </w:rPr>
        <w:t>маршрута през Централното Средиземноморие</w:t>
      </w:r>
      <w:r>
        <w:rPr>
          <w:rFonts w:ascii="Times New Roman" w:hAnsi="Times New Roman"/>
          <w:noProof/>
          <w:color w:val="000000"/>
          <w:sz w:val="24"/>
        </w:rPr>
        <w:t xml:space="preserve"> се превърна в основен елемент и в контекста на Рамката за партньорство. Продължава работата по предприемането на ефективни последващи действия във връзка със стратегията, изложена в съвместното съобщение „Миграцията по маршрута през Централното Средиземноморие“ от януари 2017 г., и във връзка с действията, посочени в декларацията от Малта от февруари 2017 г. и в плана за действие на Комисията от юли 2017 г.</w:t>
      </w:r>
      <w:r>
        <w:rPr>
          <w:rStyle w:val="FootnoteReference"/>
          <w:rFonts w:ascii="Times New Roman" w:hAnsi="Times New Roman"/>
          <w:noProof/>
          <w:color w:val="000000"/>
          <w:sz w:val="24"/>
        </w:rPr>
        <w:footnoteReference w:id="34"/>
      </w:r>
      <w:r>
        <w:rPr>
          <w:rFonts w:ascii="Times New Roman" w:hAnsi="Times New Roman"/>
          <w:noProof/>
          <w:color w:val="000000"/>
          <w:sz w:val="24"/>
        </w:rPr>
        <w:t xml:space="preserve"> Текущата работа за възвръщане на контрола върху миграционните потоци по маршрута беше подпомогната от многостранни инициативи като контактната група за Средиземноморието и срещата в Париж от 28 август.</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За консолидиране на постигнатите досега резултати ЕС ще ускори всички необходими инициативи за ответна реакция във връзка с мигрантите, блокирани в Либия, като постави акцента върху техните най-спешни нужди и работи за преодоляване на тежката ситуация в центровете за задържане на мигранти, по-конкретно чрез:</w:t>
      </w:r>
    </w:p>
    <w:p>
      <w:pPr>
        <w:spacing w:after="0" w:line="240" w:lineRule="auto"/>
        <w:jc w:val="both"/>
        <w:rPr>
          <w:rFonts w:ascii="Times New Roman" w:hAnsi="Times New Roman" w:cs="Times New Roman"/>
          <w:noProof/>
          <w:color w:val="000000"/>
          <w:sz w:val="24"/>
          <w:szCs w:val="24"/>
        </w:rPr>
      </w:pPr>
    </w:p>
    <w:p>
      <w:pPr>
        <w:pStyle w:val="ListParagraph"/>
        <w:numPr>
          <w:ilvl w:val="0"/>
          <w:numId w:val="8"/>
        </w:numPr>
        <w:spacing w:after="0" w:line="240" w:lineRule="auto"/>
        <w:jc w:val="both"/>
        <w:rPr>
          <w:rFonts w:ascii="Times New Roman" w:hAnsi="Times New Roman" w:cs="Times New Roman"/>
          <w:noProof/>
          <w:color w:val="000000"/>
          <w:spacing w:val="-4"/>
          <w:sz w:val="24"/>
          <w:szCs w:val="24"/>
        </w:rPr>
      </w:pPr>
      <w:r>
        <w:rPr>
          <w:rFonts w:ascii="Times New Roman" w:hAnsi="Times New Roman"/>
          <w:noProof/>
          <w:color w:val="000000"/>
          <w:spacing w:val="-4"/>
          <w:sz w:val="24"/>
        </w:rPr>
        <w:t>увеличаване на работата по линия на ВКБООН и Международната организация по миграция за закрила и оказване на съдействие на мигрантите; подобряване на условията на живот в местата за задържане; предоставяне на по-голям достъп на най-уязвимите мигранти до закрила; насърчаване на алтернативи на задържането, включително чрез създаване на специални места за настаняване на уязвими лица;</w:t>
      </w:r>
    </w:p>
    <w:p>
      <w:pPr>
        <w:pStyle w:val="ListParagraph"/>
        <w:numPr>
          <w:ilvl w:val="0"/>
          <w:numId w:val="8"/>
        </w:num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разработване на нови проекти по линия на Доверителния фонд на ЕС за Африка, които са насочени към местните общности и насърчават социално-икономическите възможности за тях;</w:t>
      </w:r>
    </w:p>
    <w:p>
      <w:pPr>
        <w:pStyle w:val="ListParagraph"/>
        <w:numPr>
          <w:ilvl w:val="0"/>
          <w:numId w:val="8"/>
        </w:num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полагане на по-големи усилия за постепенното намаляване на броя на блокираните в Либия мигранти чрез засилване на работата с Международната организация по миграция във връзка с подпомагането на доброволните връщания и с ВКБООН, като за тази цел бъдат подкрепени планове за временен механизъм за евакуиране;</w:t>
      </w:r>
    </w:p>
    <w:p>
      <w:pPr>
        <w:pStyle w:val="ListParagraph"/>
        <w:numPr>
          <w:ilvl w:val="0"/>
          <w:numId w:val="8"/>
        </w:num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увеличаване на капацитета на либийските органи за контролиране на южната граница на страната и засилване на сътрудничеството със съседните държави.</w:t>
      </w:r>
    </w:p>
    <w:p>
      <w:pPr>
        <w:pStyle w:val="ListParagraph"/>
        <w:spacing w:line="240" w:lineRule="auto"/>
        <w:jc w:val="both"/>
        <w:rPr>
          <w:rFonts w:ascii="Times New Roman" w:hAnsi="Times New Roman" w:cs="Times New Roman"/>
          <w:noProof/>
          <w:color w:val="000000"/>
          <w:sz w:val="24"/>
          <w:szCs w:val="24"/>
        </w:rPr>
      </w:pPr>
    </w:p>
    <w:p>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В този контекст ЕС ще продължи да подкрепя Обединените нации за намирането на политическо решение в Либия, тъй като единствено стабилността и мирът могат да създадат трайни условия за устойчиво управление на миграционните потоци.</w:t>
      </w:r>
    </w:p>
    <w:p>
      <w:pPr>
        <w:pStyle w:val="ListParagraph"/>
        <w:spacing w:line="240" w:lineRule="auto"/>
        <w:ind w:left="0"/>
        <w:jc w:val="both"/>
        <w:rPr>
          <w:rFonts w:ascii="Times New Roman" w:hAnsi="Times New Roman" w:cs="Times New Roman"/>
          <w:noProof/>
          <w:sz w:val="24"/>
          <w:szCs w:val="24"/>
        </w:rPr>
      </w:pPr>
    </w:p>
    <w:p>
      <w:pPr>
        <w:pStyle w:val="ListParagraph"/>
        <w:spacing w:line="240" w:lineRule="auto"/>
        <w:ind w:left="0"/>
        <w:jc w:val="both"/>
        <w:rPr>
          <w:rFonts w:ascii="Times New Roman" w:hAnsi="Times New Roman" w:cs="Times New Roman"/>
          <w:noProof/>
          <w:color w:val="000000"/>
          <w:sz w:val="24"/>
          <w:szCs w:val="24"/>
        </w:rPr>
      </w:pPr>
      <w:r>
        <w:rPr>
          <w:rFonts w:ascii="Times New Roman" w:hAnsi="Times New Roman"/>
          <w:noProof/>
          <w:color w:val="000000"/>
          <w:sz w:val="24"/>
        </w:rPr>
        <w:t>Предстоящата среща на върха между Африканския съюз и ЕС в Абиджан ще бъде добър повод за анализиране на общите предизвикателства с Африка, включително в областта на миграцията, като се заздрави дългогодишното партньорство в разнообразни сфери и акцентът бъде поставен най-вече върху младите хора.</w:t>
      </w:r>
    </w:p>
    <w:p>
      <w:pPr>
        <w:pStyle w:val="ListParagraph"/>
        <w:spacing w:line="240" w:lineRule="auto"/>
        <w:ind w:left="0"/>
        <w:jc w:val="both"/>
        <w:rPr>
          <w:rFonts w:ascii="Times New Roman" w:hAnsi="Times New Roman" w:cs="Times New Roman"/>
          <w:noProof/>
          <w:color w:val="000000"/>
          <w:sz w:val="24"/>
          <w:szCs w:val="24"/>
        </w:rPr>
      </w:pPr>
    </w:p>
    <w:p>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 xml:space="preserve">Работата по линия на Рамката за партньорство ще бъде важен принос за дискусиите на световно равнище, които ще се проведат вследствие на Декларацията от Ню Йорк, приета от Общото събрание на ООН през септември 2016 г. ЕС ще действа в тясно сътрудничество с държавите членки и ще използва цялото си политическо и дипломатическо влияние за постигането на амбициозен </w:t>
      </w:r>
      <w:r>
        <w:rPr>
          <w:rFonts w:ascii="Times New Roman" w:hAnsi="Times New Roman"/>
          <w:b/>
          <w:noProof/>
          <w:sz w:val="24"/>
        </w:rPr>
        <w:t>Глобален договор на ООН</w:t>
      </w:r>
      <w:r>
        <w:rPr>
          <w:rFonts w:ascii="Times New Roman" w:hAnsi="Times New Roman"/>
          <w:noProof/>
          <w:sz w:val="24"/>
        </w:rPr>
        <w:t xml:space="preserve"> за безопасна, организирана и законна миграция и за разработването на Глобалния пакт за бежанците и на Всеобхватната рамка за реакция спрямо бежанския поток с пилотни държави.</w:t>
      </w:r>
    </w:p>
    <w:p>
      <w:pPr>
        <w:keepNext/>
        <w:autoSpaceDE w:val="0"/>
        <w:autoSpaceDN w:val="0"/>
        <w:adjustRightInd w:val="0"/>
        <w:spacing w:before="480" w:after="240" w:line="240" w:lineRule="auto"/>
        <w:ind w:left="567" w:hanging="567"/>
        <w:jc w:val="both"/>
        <w:outlineLvl w:val="0"/>
        <w:rPr>
          <w:rFonts w:ascii="Times New Roman" w:hAnsi="Times New Roman" w:cs="Times New Roman"/>
          <w:b/>
          <w:noProof/>
          <w:color w:val="000000"/>
          <w:sz w:val="24"/>
          <w:szCs w:val="24"/>
        </w:rPr>
      </w:pPr>
      <w:r>
        <w:rPr>
          <w:rFonts w:ascii="Times New Roman" w:hAnsi="Times New Roman"/>
          <w:b/>
          <w:noProof/>
          <w:color w:val="000000"/>
          <w:sz w:val="24"/>
        </w:rPr>
        <w:t>4.</w:t>
      </w:r>
      <w:r>
        <w:rPr>
          <w:noProof/>
        </w:rPr>
        <w:tab/>
      </w:r>
      <w:r>
        <w:rPr>
          <w:rFonts w:ascii="Times New Roman" w:hAnsi="Times New Roman"/>
          <w:b/>
          <w:noProof/>
          <w:color w:val="000000"/>
          <w:sz w:val="24"/>
        </w:rPr>
        <w:t>Заключение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Приетата през 2015 г. Европейска програма за миграцията създаде рамката за по-добро управление на миграцията във всички нейни аспекти. Тя определя реакцията на Съюза в отговор на кризисната ситуация и предоставя стабилна рамка за извършване на нужните структурни промени в нашите системи за миграция и убежище.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смята, че редовният мониторинг и докладване са ефективен начин за стимулиране на постигането на резултати. За по-активното прилагане на този подход Комисията ще представя редовен консолидиран доклад за постигнатия напредък, в който ще бъдат представени всички измерения на Европейската програма за миграцията.</w:t>
      </w:r>
    </w:p>
    <w:p>
      <w:pPr>
        <w:spacing w:after="240" w:line="240" w:lineRule="auto"/>
        <w:jc w:val="both"/>
        <w:rPr>
          <w:rFonts w:ascii="Times New Roman" w:hAnsi="Times New Roman" w:cs="Times New Roman"/>
          <w:noProof/>
          <w:color w:val="000000"/>
          <w:sz w:val="24"/>
          <w:szCs w:val="24"/>
        </w:rPr>
      </w:pPr>
      <w:r>
        <w:rPr>
          <w:rFonts w:ascii="Times New Roman" w:hAnsi="Times New Roman"/>
          <w:noProof/>
          <w:sz w:val="24"/>
        </w:rPr>
        <w:t>Ако не използваме възможността, предоставена от вече въведените мерки за стабилизиране, може да изложим на риск постигнатото дотук и да се окажем в ситуация на постоянно управление на кризи. Сега е моментът всички ние да удвоим съвместните си усилия, за да можем да осигурим по-стабилна рамка за бъдещето.</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768652"/>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Извънредно заседание на Европейския съвет от 23 април 2015 г.</w:t>
      </w:r>
    </w:p>
  </w:footnote>
  <w:footnote w:id="3">
    <w:p>
      <w:pPr>
        <w:pStyle w:val="Default"/>
        <w:ind w:left="142" w:hanging="142"/>
        <w:jc w:val="both"/>
      </w:pPr>
      <w:r>
        <w:rPr>
          <w:rStyle w:val="FootnoteReference"/>
          <w:sz w:val="20"/>
        </w:rPr>
        <w:footnoteRef/>
      </w:r>
      <w:r>
        <w:t xml:space="preserve"> </w:t>
      </w:r>
      <w:r>
        <w:rPr>
          <w:color w:val="auto"/>
          <w:sz w:val="20"/>
        </w:rPr>
        <w:t>Европейска програма за миграцията (COM(2015) 240 final от 13 май 2015 г.).</w:t>
      </w:r>
    </w:p>
  </w:footnote>
  <w:footnote w:id="4">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Декларация от Малта на членовете на Европейския съвет относно външните аспекти на миграцията: овладяване на маршрута през Централното Средиземноморие: </w:t>
      </w:r>
      <w:hyperlink r:id="rId1">
        <w:r>
          <w:rPr>
            <w:rStyle w:val="Hyperlink"/>
            <w:rFonts w:ascii="Times New Roman" w:hAnsi="Times New Roman"/>
          </w:rPr>
          <w:t>http://europa.eu/rapid/press-release_IP-17-3091_bg.htm</w:t>
        </w:r>
      </w:hyperlink>
      <w:r>
        <w:rPr>
          <w:rFonts w:ascii="Times New Roman" w:hAnsi="Times New Roman"/>
        </w:rPr>
        <w:t>.</w:t>
      </w:r>
    </w:p>
  </w:footnote>
  <w:footnote w:id="5">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Съобщението относно актуалното състояние във връзка с изпълнението на приоритетните действия в рамките на Европейската програма за миграцията (COM(2016) 85 final от 10 февруари 2016 г.) са посочени всички незабавни мерки, предприети с цел възстановяване на контрола.</w:t>
      </w:r>
    </w:p>
  </w:footnote>
  <w:footnote w:id="6">
    <w:p>
      <w:pPr>
        <w:autoSpaceDE w:val="0"/>
        <w:autoSpaceDN w:val="0"/>
        <w:adjustRightInd w:val="0"/>
        <w:spacing w:after="0" w:line="240" w:lineRule="auto"/>
        <w:ind w:left="142" w:hanging="142"/>
        <w:jc w:val="both"/>
        <w:rPr>
          <w:rFonts w:ascii="Times New Roman" w:hAnsi="Times New Roman" w:cs="Times New Roman"/>
          <w:sz w:val="24"/>
          <w:szCs w:val="24"/>
        </w:rPr>
      </w:pPr>
      <w:r>
        <w:rPr>
          <w:rStyle w:val="FootnoteReference"/>
          <w:rFonts w:ascii="Times New Roman" w:hAnsi="Times New Roman"/>
          <w:sz w:val="20"/>
        </w:rPr>
        <w:footnoteRef/>
      </w:r>
      <w:r>
        <w:rPr>
          <w:rFonts w:ascii="Times New Roman" w:hAnsi="Times New Roman"/>
        </w:rPr>
        <w:t xml:space="preserve"> </w:t>
      </w:r>
      <w:r>
        <w:rPr>
          <w:rFonts w:ascii="Times New Roman" w:hAnsi="Times New Roman"/>
          <w:sz w:val="20"/>
        </w:rPr>
        <w:t>За периода от 21 март 2016 г. до 17 септември 2017 г. средният брой на незаконните преминавания е 78 души на ден.</w:t>
      </w:r>
    </w:p>
  </w:footnote>
  <w:footnote w:id="7">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От 20 септември над 9 700 сирийци вече са презаселени от Турция в ЕС.</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периода 2014—2020 г.</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Стойности, съобщени от държавите членки в техните доклади за изпълнението за периода 2014—2016 г.</w:t>
      </w:r>
    </w:p>
  </w:footnote>
  <w:footnote w:id="10">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Заключения от 20 юли 2015 г. на представителите на правителствата на държавите членки, заседаващи в рамките на Съвета, които са публикувани на адрес: </w:t>
      </w:r>
      <w:hyperlink r:id="rId2" w:history="1">
        <w:r>
          <w:rPr>
            <w:rStyle w:val="Hyperlink"/>
            <w:rFonts w:ascii="Times New Roman" w:hAnsi="Times New Roman"/>
          </w:rPr>
          <w:t>http://data.consilium.europa.eu/doc/document/ST-11130-2015-INIT/bg/pdf</w:t>
        </w:r>
      </w:hyperlink>
      <w:r>
        <w:rPr>
          <w:rFonts w:ascii="Times New Roman" w:hAnsi="Times New Roman"/>
        </w:rPr>
        <w:t>.</w:t>
      </w:r>
    </w:p>
  </w:footnote>
  <w:footnote w:id="11">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СОМ(2016) 385 final от 7 юни 2016 г.</w:t>
      </w:r>
    </w:p>
  </w:footnote>
  <w:footnote w:id="12">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Комисията редовно докладва за напредъка, постигнат в изпълнението на подхода, основан на Рамката за партньорство (вж. последния доклад COM(2017) 471 final от 6 септември 2017 г.).</w:t>
      </w:r>
    </w:p>
  </w:footnote>
  <w:footnote w:id="13">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history="1">
        <w:r>
          <w:rPr>
            <w:rStyle w:val="Hyperlink"/>
            <w:rFonts w:ascii="Times New Roman" w:hAnsi="Times New Roman"/>
          </w:rPr>
          <w:t>http://www.un.org/esa/ffd/publications/aaaa-outcome.html</w:t>
        </w:r>
      </w:hyperlink>
      <w:r>
        <w:rPr>
          <w:rFonts w:ascii="Times New Roman" w:hAnsi="Times New Roman"/>
        </w:rPr>
        <w:t>.</w:t>
      </w:r>
    </w:p>
  </w:footnote>
  <w:footnote w:id="14">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Съвместен доклад на Европол и Интерпол, май 2016 г.: годишният оборот от контрабандата на мигранти е възлизал на приблизително 5—6 милиарда долара през 2015 г., което представлява една от най-печелившите дейности на организираната престъпност в Европа.</w:t>
      </w:r>
    </w:p>
  </w:footnote>
  <w:footnote w:id="15">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СОМ(2015) 285 final от 27 май 2015 г.</w:t>
      </w:r>
    </w:p>
  </w:footnote>
  <w:footnote w:id="16">
    <w:p>
      <w:pPr>
        <w:pStyle w:val="Default"/>
        <w:ind w:left="142" w:hanging="142"/>
        <w:jc w:val="both"/>
        <w:rPr>
          <w:sz w:val="20"/>
          <w:szCs w:val="20"/>
        </w:rPr>
      </w:pPr>
      <w:r>
        <w:rPr>
          <w:rStyle w:val="FootnoteReference"/>
          <w:sz w:val="20"/>
        </w:rPr>
        <w:footnoteRef/>
      </w:r>
      <w:r>
        <w:rPr>
          <w:sz w:val="20"/>
        </w:rPr>
        <w:t xml:space="preserve"> SWD(2017) 117 final.</w:t>
      </w:r>
    </w:p>
  </w:footnote>
  <w:footnote w:id="17">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През първата половина на 2017 г. 101 лица бяха задържани и срещу тях започна съдебно производство; 66 превозни средства и 8 мотоциклета бяха иззети и запечатани; 79 лица бяха задържани за престъпления, свързани с трафика на хора.</w:t>
      </w:r>
    </w:p>
  </w:footnote>
  <w:footnote w:id="18">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themeColor="text1"/>
        </w:rPr>
        <w:t>Операция Sophia и мисия EUBAM Libya, както и мисии EUCAP Sahel Niger, EUCAP Sahel Mali и EUTM Mali в региона на Сахел.</w:t>
      </w:r>
    </w:p>
  </w:footnote>
  <w:footnote w:id="19">
    <w:p>
      <w:pPr>
        <w:spacing w:after="0" w:line="240" w:lineRule="auto"/>
        <w:ind w:left="142" w:hanging="142"/>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themeColor="text1"/>
          <w:sz w:val="20"/>
        </w:rPr>
        <w:t>Регламент (ЕО) № 377/2004 на Съвета от 19 февруари 2004 г. за създаване на мрежа от служители за връзка по въпросите на имиграцията (ОВ L 64, 2.3.2004 г., стр. 1).</w:t>
      </w:r>
    </w:p>
  </w:footnote>
  <w:footnote w:id="20">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4" w:history="1">
        <w:r>
          <w:rPr>
            <w:rStyle w:val="Hyperlink"/>
            <w:rFonts w:ascii="Times New Roman" w:hAnsi="Times New Roman"/>
          </w:rPr>
          <w:t>http://www.infomigrants.net/</w:t>
        </w:r>
      </w:hyperlink>
      <w:r>
        <w:rPr>
          <w:rFonts w:ascii="Times New Roman" w:hAnsi="Times New Roman"/>
        </w:rPr>
        <w:t>.</w:t>
      </w:r>
    </w:p>
  </w:footnote>
  <w:footnote w:id="21">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themeColor="text1"/>
        </w:rPr>
        <w:t>Той дава информация на потенциалните мигранти относно законните начини за влизане в Европа и относно рисковете и последиците, свързани с незаконното влизане или незаконния престой в ЕС:</w:t>
      </w:r>
      <w:r>
        <w:rPr>
          <w:rFonts w:ascii="Times New Roman" w:hAnsi="Times New Roman"/>
        </w:rPr>
        <w:t xml:space="preserve"> </w:t>
      </w:r>
      <w:hyperlink r:id="rId5" w:history="1">
        <w:r>
          <w:rPr>
            <w:rStyle w:val="Hyperlink"/>
            <w:rFonts w:ascii="Times New Roman" w:hAnsi="Times New Roman"/>
          </w:rPr>
          <w:t>http://ec.europa.eu/immigration/</w:t>
        </w:r>
      </w:hyperlink>
      <w:r>
        <w:rPr>
          <w:rFonts w:ascii="Times New Roman" w:hAnsi="Times New Roman"/>
        </w:rPr>
        <w:t>.</w:t>
      </w:r>
    </w:p>
  </w:footnote>
  <w:footnote w:id="22">
    <w:p>
      <w:pPr>
        <w:autoSpaceDE w:val="0"/>
        <w:autoSpaceDN w:val="0"/>
        <w:adjustRightInd w:val="0"/>
        <w:spacing w:after="0" w:line="240" w:lineRule="auto"/>
        <w:ind w:left="142" w:hanging="142"/>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Този процент включва връщането към трети държави, както и обратното прехвърляне на незаконни мигранти от една държава членка в друга въз основа на двустранни споразумения за обратно приемане в съответствие с член 6, параграф 3 от 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граждани на трети страни (ОВ L 348, 24.12.2008 г., стр. 98).</w:t>
      </w:r>
    </w:p>
  </w:footnote>
  <w:footnote w:id="23">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Съобщението на Комисията относно по-ефективна политика на Европейския съюз в областта на връщането — обновен план за действие (COM(2017) 200 final от 2 март 2017 г.).</w:t>
      </w:r>
    </w:p>
  </w:footnote>
  <w:footnote w:id="24">
    <w:p>
      <w:pPr>
        <w:pStyle w:val="FootnoteText"/>
        <w:ind w:left="142" w:hanging="142"/>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(ЕС) 2016/344 на Европейския парламент и на Съвета от 9 март 2016 г. за създаването на европейска платформа с цел да се засили сътрудничеството за противодействие на недекларирания труд (ОВ L 65, 11.3.2016 г., стр. 12).</w:t>
      </w:r>
    </w:p>
  </w:footnote>
  <w:footnote w:id="25">
    <w:p>
      <w:pPr>
        <w:pStyle w:val="FootnoteText"/>
        <w:jc w:val="both"/>
        <w:rPr>
          <w:spacing w:val="-6"/>
        </w:rPr>
      </w:pPr>
      <w:r>
        <w:rPr>
          <w:rStyle w:val="FootnoteReference"/>
          <w:rFonts w:ascii="Times New Roman" w:hAnsi="Times New Roman"/>
          <w:spacing w:val="-6"/>
        </w:rPr>
        <w:footnoteRef/>
      </w:r>
      <w:r>
        <w:rPr>
          <w:rFonts w:ascii="Times New Roman" w:hAnsi="Times New Roman"/>
          <w:spacing w:val="-6"/>
        </w:rPr>
        <w:t xml:space="preserve"> Данни на Международната организация по миграция (МОМ), </w:t>
      </w:r>
      <w:hyperlink r:id="rId6" w:history="1">
        <w:r>
          <w:rPr>
            <w:rStyle w:val="Hyperlink"/>
            <w:rFonts w:ascii="Times New Roman" w:hAnsi="Times New Roman"/>
            <w:spacing w:val="-6"/>
          </w:rPr>
          <w:t>http://missingmigrants.iom.int/region/mediterranean</w:t>
        </w:r>
      </w:hyperlink>
      <w:r>
        <w:rPr>
          <w:rFonts w:ascii="Times New Roman" w:hAnsi="Times New Roman"/>
          <w:spacing w:val="-6"/>
        </w:rPr>
        <w:t>.</w:t>
      </w:r>
    </w:p>
  </w:footnote>
  <w:footnote w:id="26">
    <w:p>
      <w:pPr>
        <w:pStyle w:val="FootnoteText"/>
        <w:ind w:left="142" w:hanging="142"/>
        <w:jc w:val="both"/>
        <w:rPr>
          <w:rFonts w:ascii="Times New Roman" w:hAnsi="Times New Roman"/>
        </w:rPr>
      </w:pPr>
      <w:r>
        <w:rPr>
          <w:rStyle w:val="FootnoteReference"/>
          <w:rFonts w:ascii="Times New Roman" w:hAnsi="Times New Roman"/>
        </w:rPr>
        <w:footnoteRef/>
      </w:r>
      <w:r>
        <w:rPr>
          <w:rFonts w:ascii="Times New Roman" w:hAnsi="Times New Roman"/>
        </w:rPr>
        <w:t xml:space="preserve"> СОМ(2017) 211 final от 12 април 2017 г.</w:t>
      </w:r>
    </w:p>
  </w:footnote>
  <w:footnote w:id="27">
    <w:p>
      <w:pPr>
        <w:pStyle w:val="FootnoteText"/>
        <w:ind w:left="142" w:hanging="142"/>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history="1">
        <w:r>
          <w:rPr>
            <w:rStyle w:val="Hyperlink"/>
            <w:rFonts w:ascii="Times New Roman" w:hAnsi="Times New Roman"/>
          </w:rPr>
          <w:t>http://data.consilium.europa.eu/doc/document/ST-10085-2017-INIT/bg/pdf</w:t>
        </w:r>
      </w:hyperlink>
      <w:r>
        <w:rPr>
          <w:rFonts w:ascii="Times New Roman" w:hAnsi="Times New Roman"/>
        </w:rPr>
        <w:t>.</w:t>
      </w:r>
    </w:p>
  </w:footnote>
  <w:footnote w:id="28">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1) Отстраняване на първопричините за миграцията (външно действие на ЕС); 2) бързо и цялостно идентифициране и регистрация; 3) осигуряване на адекватно приемане в ЕС; 4) осигуряване на бърз и ефективен достъп до процедурите за определяне на статута и прилагане на процесуални гаранции; 5) осигуряване на трайни решения; и 6) междусекторни дейности (зачитане на висшия интерес на детето, по-ефективно използване на данни, изследвания, обучение и финансиране).</w:t>
      </w:r>
    </w:p>
  </w:footnote>
  <w:footnote w:id="29">
    <w:p>
      <w:pPr>
        <w:pStyle w:val="FootnoteText"/>
        <w:ind w:left="142" w:hanging="142"/>
        <w:jc w:val="both"/>
        <w:rPr>
          <w:rFonts w:ascii="Times New Roman" w:hAnsi="Times New Roman" w:cs="Times New Roman"/>
          <w:szCs w:val="18"/>
        </w:rPr>
      </w:pPr>
      <w:r>
        <w:rPr>
          <w:rStyle w:val="FootnoteReference"/>
          <w:rFonts w:ascii="Times New Roman" w:hAnsi="Times New Roman"/>
        </w:rPr>
        <w:footnoteRef/>
      </w:r>
      <w:r>
        <w:rPr>
          <w:rFonts w:ascii="Times New Roman" w:hAnsi="Times New Roman"/>
        </w:rPr>
        <w:t xml:space="preserve"> Във връзка с проверката на пригодността на законодателството относно законната миграция вж.</w:t>
      </w:r>
      <w:r>
        <w:rPr>
          <w:rFonts w:ascii="Times New Roman" w:hAnsi="Times New Roman" w:cs="Times New Roman"/>
          <w:szCs w:val="18"/>
        </w:rPr>
        <w:br/>
      </w:r>
      <w:hyperlink r:id="rId8">
        <w:r>
          <w:rPr>
            <w:rStyle w:val="Hyperlink"/>
            <w:rFonts w:ascii="Times New Roman" w:hAnsi="Times New Roman"/>
          </w:rPr>
          <w:t>http://ec.europa.eu/smart-regulation/roadmaps/docs/2016_home_199_fitnesscheck_legal_migration_en.pdf.</w:t>
        </w:r>
      </w:hyperlink>
    </w:p>
    <w:p>
      <w:pPr>
        <w:pStyle w:val="FootnoteText"/>
        <w:ind w:left="142" w:hanging="142"/>
        <w:jc w:val="both"/>
        <w:rPr>
          <w:rFonts w:ascii="Times New Roman" w:hAnsi="Times New Roman" w:cs="Times New Roman"/>
        </w:rPr>
      </w:pP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Заключения на Европейския съвет от 22—23 юни 2017 г., </w:t>
      </w:r>
      <w:hyperlink r:id="rId9" w:history="1">
        <w:r>
          <w:rPr>
            <w:rStyle w:val="Hyperlink"/>
            <w:rFonts w:ascii="Times New Roman" w:hAnsi="Times New Roman"/>
          </w:rPr>
          <w:t>http://www.consilium.europa.eu/bg/press/press-releases/2017/06/23-euco-conclusions/</w:t>
        </w:r>
      </w:hyperlink>
      <w:r>
        <w:rPr>
          <w:rFonts w:ascii="Times New Roman" w:hAnsi="Times New Roman"/>
        </w:rPr>
        <w:t>.</w:t>
      </w:r>
    </w:p>
  </w:footnote>
  <w:footnote w:id="3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Съвместна декларация на Европейския парламент, Съвета и Европейската комисия относно законодателните приоритети на ЕС за 2017 г.</w:t>
      </w:r>
      <w:r>
        <w:t xml:space="preserve"> </w:t>
      </w:r>
      <w:hyperlink r:id="rId10">
        <w:r>
          <w:rPr>
            <w:rStyle w:val="Hyperlink"/>
            <w:rFonts w:ascii="Times New Roman" w:hAnsi="Times New Roman"/>
          </w:rPr>
          <w:t>https://ec.europa.eu/commission/publications/joint-declaration-eus-legislative-priorities-2017_bg</w:t>
        </w:r>
      </w:hyperlink>
      <w:r>
        <w:t>.</w:t>
      </w:r>
    </w:p>
  </w:footnote>
  <w:footnote w:id="32">
    <w:p>
      <w:pPr>
        <w:autoSpaceDE w:val="0"/>
        <w:autoSpaceDN w:val="0"/>
        <w:adjustRightInd w:val="0"/>
        <w:spacing w:after="0" w:line="240" w:lineRule="auto"/>
        <w:ind w:left="142" w:hanging="142"/>
        <w:jc w:val="both"/>
        <w:rPr>
          <w:rFonts w:ascii="Times New Roman" w:hAnsi="Times New Roman" w:cs="Times New Roman"/>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Пилотният проект ще бъде изпълнен успоредно с неотдавна стартиралото проучване на Комисията за осъществимостта и добавената стойност на схемите за спонсорство като възможен безопасен начин за приемане в ЕС.</w:t>
      </w:r>
    </w:p>
  </w:footnote>
  <w:footnote w:id="33">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граждани на трети страни (ОВ L 348, 24.12.2008 г., стр. 98).</w:t>
      </w:r>
    </w:p>
  </w:footnote>
  <w:footnote w:id="34">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rPr>
        <w:t>SEC(2017) от 4 юли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C1B"/>
    <w:multiLevelType w:val="hybridMultilevel"/>
    <w:tmpl w:val="B53E8FAC"/>
    <w:lvl w:ilvl="0" w:tplc="3BF6B848">
      <w:start w:val="1"/>
      <w:numFmt w:val="bullet"/>
      <w:lvlText w:val=""/>
      <w:lvlJc w:val="left"/>
      <w:pPr>
        <w:tabs>
          <w:tab w:val="num" w:pos="720"/>
        </w:tabs>
        <w:ind w:left="720" w:hanging="360"/>
      </w:pPr>
      <w:rPr>
        <w:rFonts w:ascii="Symbol" w:hAnsi="Symbol" w:hint="default"/>
      </w:rPr>
    </w:lvl>
    <w:lvl w:ilvl="1" w:tplc="3416BDA6" w:tentative="1">
      <w:start w:val="1"/>
      <w:numFmt w:val="bullet"/>
      <w:lvlText w:val=""/>
      <w:lvlJc w:val="left"/>
      <w:pPr>
        <w:tabs>
          <w:tab w:val="num" w:pos="1440"/>
        </w:tabs>
        <w:ind w:left="1440" w:hanging="360"/>
      </w:pPr>
      <w:rPr>
        <w:rFonts w:ascii="Symbol" w:hAnsi="Symbol" w:hint="default"/>
      </w:rPr>
    </w:lvl>
    <w:lvl w:ilvl="2" w:tplc="191C994E" w:tentative="1">
      <w:start w:val="1"/>
      <w:numFmt w:val="bullet"/>
      <w:lvlText w:val=""/>
      <w:lvlJc w:val="left"/>
      <w:pPr>
        <w:tabs>
          <w:tab w:val="num" w:pos="2160"/>
        </w:tabs>
        <w:ind w:left="2160" w:hanging="360"/>
      </w:pPr>
      <w:rPr>
        <w:rFonts w:ascii="Symbol" w:hAnsi="Symbol" w:hint="default"/>
      </w:rPr>
    </w:lvl>
    <w:lvl w:ilvl="3" w:tplc="B35C6528" w:tentative="1">
      <w:start w:val="1"/>
      <w:numFmt w:val="bullet"/>
      <w:lvlText w:val=""/>
      <w:lvlJc w:val="left"/>
      <w:pPr>
        <w:tabs>
          <w:tab w:val="num" w:pos="2880"/>
        </w:tabs>
        <w:ind w:left="2880" w:hanging="360"/>
      </w:pPr>
      <w:rPr>
        <w:rFonts w:ascii="Symbol" w:hAnsi="Symbol" w:hint="default"/>
      </w:rPr>
    </w:lvl>
    <w:lvl w:ilvl="4" w:tplc="4080F804" w:tentative="1">
      <w:start w:val="1"/>
      <w:numFmt w:val="bullet"/>
      <w:lvlText w:val=""/>
      <w:lvlJc w:val="left"/>
      <w:pPr>
        <w:tabs>
          <w:tab w:val="num" w:pos="3600"/>
        </w:tabs>
        <w:ind w:left="3600" w:hanging="360"/>
      </w:pPr>
      <w:rPr>
        <w:rFonts w:ascii="Symbol" w:hAnsi="Symbol" w:hint="default"/>
      </w:rPr>
    </w:lvl>
    <w:lvl w:ilvl="5" w:tplc="7264FF34" w:tentative="1">
      <w:start w:val="1"/>
      <w:numFmt w:val="bullet"/>
      <w:lvlText w:val=""/>
      <w:lvlJc w:val="left"/>
      <w:pPr>
        <w:tabs>
          <w:tab w:val="num" w:pos="4320"/>
        </w:tabs>
        <w:ind w:left="4320" w:hanging="360"/>
      </w:pPr>
      <w:rPr>
        <w:rFonts w:ascii="Symbol" w:hAnsi="Symbol" w:hint="default"/>
      </w:rPr>
    </w:lvl>
    <w:lvl w:ilvl="6" w:tplc="1EF899A0" w:tentative="1">
      <w:start w:val="1"/>
      <w:numFmt w:val="bullet"/>
      <w:lvlText w:val=""/>
      <w:lvlJc w:val="left"/>
      <w:pPr>
        <w:tabs>
          <w:tab w:val="num" w:pos="5040"/>
        </w:tabs>
        <w:ind w:left="5040" w:hanging="360"/>
      </w:pPr>
      <w:rPr>
        <w:rFonts w:ascii="Symbol" w:hAnsi="Symbol" w:hint="default"/>
      </w:rPr>
    </w:lvl>
    <w:lvl w:ilvl="7" w:tplc="35E6358E" w:tentative="1">
      <w:start w:val="1"/>
      <w:numFmt w:val="bullet"/>
      <w:lvlText w:val=""/>
      <w:lvlJc w:val="left"/>
      <w:pPr>
        <w:tabs>
          <w:tab w:val="num" w:pos="5760"/>
        </w:tabs>
        <w:ind w:left="5760" w:hanging="360"/>
      </w:pPr>
      <w:rPr>
        <w:rFonts w:ascii="Symbol" w:hAnsi="Symbol" w:hint="default"/>
      </w:rPr>
    </w:lvl>
    <w:lvl w:ilvl="8" w:tplc="123030FA" w:tentative="1">
      <w:start w:val="1"/>
      <w:numFmt w:val="bullet"/>
      <w:lvlText w:val=""/>
      <w:lvlJc w:val="left"/>
      <w:pPr>
        <w:tabs>
          <w:tab w:val="num" w:pos="6480"/>
        </w:tabs>
        <w:ind w:left="6480" w:hanging="360"/>
      </w:pPr>
      <w:rPr>
        <w:rFonts w:ascii="Symbol" w:hAnsi="Symbol" w:hint="default"/>
      </w:rPr>
    </w:lvl>
  </w:abstractNum>
  <w:abstractNum w:abstractNumId="1">
    <w:nsid w:val="03950D97"/>
    <w:multiLevelType w:val="hybridMultilevel"/>
    <w:tmpl w:val="0322A522"/>
    <w:lvl w:ilvl="0" w:tplc="062E8C34">
      <w:numFmt w:val="bullet"/>
      <w:lvlText w:val="•"/>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E100D1"/>
    <w:multiLevelType w:val="hybridMultilevel"/>
    <w:tmpl w:val="EF48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F64EFA"/>
    <w:multiLevelType w:val="hybridMultilevel"/>
    <w:tmpl w:val="07988F86"/>
    <w:lvl w:ilvl="0" w:tplc="062E8C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767FD0"/>
    <w:multiLevelType w:val="hybridMultilevel"/>
    <w:tmpl w:val="4FC486B2"/>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C881790"/>
    <w:multiLevelType w:val="hybridMultilevel"/>
    <w:tmpl w:val="67768B2C"/>
    <w:lvl w:ilvl="0" w:tplc="E9A61C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A1133E"/>
    <w:multiLevelType w:val="hybridMultilevel"/>
    <w:tmpl w:val="0932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D579F8"/>
    <w:multiLevelType w:val="hybridMultilevel"/>
    <w:tmpl w:val="C95EB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DE916A4"/>
    <w:multiLevelType w:val="hybridMultilevel"/>
    <w:tmpl w:val="5D6C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1"/>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6A4ECCA4CD74766873068F9234B1475"/>
    <w:docVar w:name="LW_CROSSREFERENCE" w:val="&lt;UNUSED&gt;"/>
    <w:docVar w:name="LW_DocType" w:val="NORMAL"/>
    <w:docVar w:name="LW_EMISSION" w:val="27.9.2017"/>
    <w:docVar w:name="LW_EMISSION_ISODATE" w:val="2017-09-27"/>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58"/>
    <w:docVar w:name="LW_REF.INTERNE" w:val="&lt;UNUSED&gt;"/>
    <w:docVar w:name="LW_SOUS.TITRE.OBJ" w:val="Fifth Progress Report on the Partnership Framework with third countries under the European Agenda on Migration_x000b__x000b_Cut-off date Monday 4 September COB"/>
    <w:docVar w:name="LW_SOUS.TITRE.OBJ.CP" w:val="&lt;UNUSED&gt;"/>
    <w:docVar w:name="LW_SUPERTITRE" w:val="&lt;UNUSED&gt;"/>
    <w:docVar w:name="LW_TITRE.OBJ.CP" w:val="\u1086?\u1090?\u1085?\u1086?\u1089?\u1085?\u1086? \u1080?\u1079?\u1087?\u1098?\u1083?\u1085?\u1077?\u1085?\u1080?\u1077?\u1090?\u1086? \u1085?\u1072? \u1045?\u1074?\u1088?\u1086?\u1087?\u1077?\u1081?\u1089?\u1082?\u1072?\u1090?\u1072? \u1087?\u1088?\u1086?\u1075?\u1088?\u1072?\u1084?\u1072? \u1079?\u1072? \u1084?\u1080?\u1075?\u1088?\u1072?\u1094?\u1080?\u1103?\u1090?\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Footnote symboFußnotenzeichen,Footnote sign,Footnote Reference text,Footnote reference number,note TESI, BVI fnr,SUPERS,(Footnote Reference),Footnote,Voetnootverwijzing,number,FR"/>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Pr>
      <w:rFonts w:ascii="Calibri" w:eastAsia="Times New Roman" w:hAnsi="Calibri" w:cs="Times New Roman"/>
    </w:rPr>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A0">
    <w:name w:val="A0"/>
    <w:uiPriority w:val="99"/>
    <w:rPr>
      <w:rFonts w:cs="EC Square Sans Pro"/>
      <w:color w:val="000000"/>
      <w:sz w:val="22"/>
      <w:szCs w:val="22"/>
    </w:rPr>
  </w:style>
  <w:style w:type="character" w:customStyle="1" w:styleId="A2">
    <w:name w:val="A2"/>
    <w:uiPriority w:val="99"/>
    <w:rPr>
      <w:rFonts w:cs="EC Square Sans Pro"/>
      <w:color w:val="000000"/>
      <w:sz w:val="22"/>
      <w:szCs w:val="22"/>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Footnote symboFußnotenzeichen,Footnote sign,Footnote Reference text,Footnote reference number,note TESI, BVI fnr,SUPERS,(Footnote Reference),Footnote,Voetnootverwijzing,number,FR"/>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Pr>
      <w:rFonts w:ascii="Calibri" w:eastAsia="Times New Roman" w:hAnsi="Calibri" w:cs="Times New Roman"/>
    </w:rPr>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A0">
    <w:name w:val="A0"/>
    <w:uiPriority w:val="99"/>
    <w:rPr>
      <w:rFonts w:cs="EC Square Sans Pro"/>
      <w:color w:val="000000"/>
      <w:sz w:val="22"/>
      <w:szCs w:val="22"/>
    </w:rPr>
  </w:style>
  <w:style w:type="character" w:customStyle="1" w:styleId="A2">
    <w:name w:val="A2"/>
    <w:uiPriority w:val="99"/>
    <w:rPr>
      <w:rFonts w:cs="EC Square Sans Pro"/>
      <w:color w:val="000000"/>
      <w:sz w:val="22"/>
      <w:szCs w:val="22"/>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954">
      <w:bodyDiv w:val="1"/>
      <w:marLeft w:val="0"/>
      <w:marRight w:val="0"/>
      <w:marTop w:val="0"/>
      <w:marBottom w:val="0"/>
      <w:divBdr>
        <w:top w:val="none" w:sz="0" w:space="0" w:color="auto"/>
        <w:left w:val="none" w:sz="0" w:space="0" w:color="auto"/>
        <w:bottom w:val="none" w:sz="0" w:space="0" w:color="auto"/>
        <w:right w:val="none" w:sz="0" w:space="0" w:color="auto"/>
      </w:divBdr>
    </w:div>
    <w:div w:id="76707155">
      <w:bodyDiv w:val="1"/>
      <w:marLeft w:val="0"/>
      <w:marRight w:val="0"/>
      <w:marTop w:val="0"/>
      <w:marBottom w:val="0"/>
      <w:divBdr>
        <w:top w:val="none" w:sz="0" w:space="0" w:color="auto"/>
        <w:left w:val="none" w:sz="0" w:space="0" w:color="auto"/>
        <w:bottom w:val="none" w:sz="0" w:space="0" w:color="auto"/>
        <w:right w:val="none" w:sz="0" w:space="0" w:color="auto"/>
      </w:divBdr>
      <w:divsChild>
        <w:div w:id="580986045">
          <w:marLeft w:val="475"/>
          <w:marRight w:val="43"/>
          <w:marTop w:val="0"/>
          <w:marBottom w:val="0"/>
          <w:divBdr>
            <w:top w:val="none" w:sz="0" w:space="0" w:color="auto"/>
            <w:left w:val="none" w:sz="0" w:space="0" w:color="auto"/>
            <w:bottom w:val="none" w:sz="0" w:space="0" w:color="auto"/>
            <w:right w:val="none" w:sz="0" w:space="0" w:color="auto"/>
          </w:divBdr>
        </w:div>
      </w:divsChild>
    </w:div>
    <w:div w:id="102071524">
      <w:bodyDiv w:val="1"/>
      <w:marLeft w:val="0"/>
      <w:marRight w:val="0"/>
      <w:marTop w:val="0"/>
      <w:marBottom w:val="0"/>
      <w:divBdr>
        <w:top w:val="none" w:sz="0" w:space="0" w:color="auto"/>
        <w:left w:val="none" w:sz="0" w:space="0" w:color="auto"/>
        <w:bottom w:val="none" w:sz="0" w:space="0" w:color="auto"/>
        <w:right w:val="none" w:sz="0" w:space="0" w:color="auto"/>
      </w:divBdr>
    </w:div>
    <w:div w:id="179122183">
      <w:bodyDiv w:val="1"/>
      <w:marLeft w:val="0"/>
      <w:marRight w:val="0"/>
      <w:marTop w:val="0"/>
      <w:marBottom w:val="0"/>
      <w:divBdr>
        <w:top w:val="none" w:sz="0" w:space="0" w:color="auto"/>
        <w:left w:val="none" w:sz="0" w:space="0" w:color="auto"/>
        <w:bottom w:val="none" w:sz="0" w:space="0" w:color="auto"/>
        <w:right w:val="none" w:sz="0" w:space="0" w:color="auto"/>
      </w:divBdr>
      <w:divsChild>
        <w:div w:id="1905799689">
          <w:marLeft w:val="475"/>
          <w:marRight w:val="14"/>
          <w:marTop w:val="0"/>
          <w:marBottom w:val="0"/>
          <w:divBdr>
            <w:top w:val="none" w:sz="0" w:space="0" w:color="auto"/>
            <w:left w:val="none" w:sz="0" w:space="0" w:color="auto"/>
            <w:bottom w:val="none" w:sz="0" w:space="0" w:color="auto"/>
            <w:right w:val="none" w:sz="0" w:space="0" w:color="auto"/>
          </w:divBdr>
        </w:div>
      </w:divsChild>
    </w:div>
    <w:div w:id="395857522">
      <w:bodyDiv w:val="1"/>
      <w:marLeft w:val="0"/>
      <w:marRight w:val="0"/>
      <w:marTop w:val="0"/>
      <w:marBottom w:val="0"/>
      <w:divBdr>
        <w:top w:val="none" w:sz="0" w:space="0" w:color="auto"/>
        <w:left w:val="none" w:sz="0" w:space="0" w:color="auto"/>
        <w:bottom w:val="none" w:sz="0" w:space="0" w:color="auto"/>
        <w:right w:val="none" w:sz="0" w:space="0" w:color="auto"/>
      </w:divBdr>
    </w:div>
    <w:div w:id="578713691">
      <w:bodyDiv w:val="1"/>
      <w:marLeft w:val="0"/>
      <w:marRight w:val="0"/>
      <w:marTop w:val="0"/>
      <w:marBottom w:val="0"/>
      <w:divBdr>
        <w:top w:val="none" w:sz="0" w:space="0" w:color="auto"/>
        <w:left w:val="none" w:sz="0" w:space="0" w:color="auto"/>
        <w:bottom w:val="none" w:sz="0" w:space="0" w:color="auto"/>
        <w:right w:val="none" w:sz="0" w:space="0" w:color="auto"/>
      </w:divBdr>
    </w:div>
    <w:div w:id="786002796">
      <w:bodyDiv w:val="1"/>
      <w:marLeft w:val="0"/>
      <w:marRight w:val="0"/>
      <w:marTop w:val="0"/>
      <w:marBottom w:val="0"/>
      <w:divBdr>
        <w:top w:val="none" w:sz="0" w:space="0" w:color="auto"/>
        <w:left w:val="none" w:sz="0" w:space="0" w:color="auto"/>
        <w:bottom w:val="none" w:sz="0" w:space="0" w:color="auto"/>
        <w:right w:val="none" w:sz="0" w:space="0" w:color="auto"/>
      </w:divBdr>
    </w:div>
    <w:div w:id="929965108">
      <w:bodyDiv w:val="1"/>
      <w:marLeft w:val="0"/>
      <w:marRight w:val="0"/>
      <w:marTop w:val="0"/>
      <w:marBottom w:val="0"/>
      <w:divBdr>
        <w:top w:val="none" w:sz="0" w:space="0" w:color="auto"/>
        <w:left w:val="none" w:sz="0" w:space="0" w:color="auto"/>
        <w:bottom w:val="none" w:sz="0" w:space="0" w:color="auto"/>
        <w:right w:val="none" w:sz="0" w:space="0" w:color="auto"/>
      </w:divBdr>
    </w:div>
    <w:div w:id="1091511579">
      <w:bodyDiv w:val="1"/>
      <w:marLeft w:val="0"/>
      <w:marRight w:val="0"/>
      <w:marTop w:val="0"/>
      <w:marBottom w:val="0"/>
      <w:divBdr>
        <w:top w:val="none" w:sz="0" w:space="0" w:color="auto"/>
        <w:left w:val="none" w:sz="0" w:space="0" w:color="auto"/>
        <w:bottom w:val="none" w:sz="0" w:space="0" w:color="auto"/>
        <w:right w:val="none" w:sz="0" w:space="0" w:color="auto"/>
      </w:divBdr>
    </w:div>
    <w:div w:id="1095325387">
      <w:bodyDiv w:val="1"/>
      <w:marLeft w:val="0"/>
      <w:marRight w:val="0"/>
      <w:marTop w:val="0"/>
      <w:marBottom w:val="0"/>
      <w:divBdr>
        <w:top w:val="none" w:sz="0" w:space="0" w:color="auto"/>
        <w:left w:val="none" w:sz="0" w:space="0" w:color="auto"/>
        <w:bottom w:val="none" w:sz="0" w:space="0" w:color="auto"/>
        <w:right w:val="none" w:sz="0" w:space="0" w:color="auto"/>
      </w:divBdr>
    </w:div>
    <w:div w:id="1105418764">
      <w:bodyDiv w:val="1"/>
      <w:marLeft w:val="0"/>
      <w:marRight w:val="0"/>
      <w:marTop w:val="0"/>
      <w:marBottom w:val="0"/>
      <w:divBdr>
        <w:top w:val="none" w:sz="0" w:space="0" w:color="auto"/>
        <w:left w:val="none" w:sz="0" w:space="0" w:color="auto"/>
        <w:bottom w:val="none" w:sz="0" w:space="0" w:color="auto"/>
        <w:right w:val="none" w:sz="0" w:space="0" w:color="auto"/>
      </w:divBdr>
    </w:div>
    <w:div w:id="1106775800">
      <w:bodyDiv w:val="1"/>
      <w:marLeft w:val="0"/>
      <w:marRight w:val="0"/>
      <w:marTop w:val="0"/>
      <w:marBottom w:val="0"/>
      <w:divBdr>
        <w:top w:val="none" w:sz="0" w:space="0" w:color="auto"/>
        <w:left w:val="none" w:sz="0" w:space="0" w:color="auto"/>
        <w:bottom w:val="none" w:sz="0" w:space="0" w:color="auto"/>
        <w:right w:val="none" w:sz="0" w:space="0" w:color="auto"/>
      </w:divBdr>
    </w:div>
    <w:div w:id="1345668918">
      <w:bodyDiv w:val="1"/>
      <w:marLeft w:val="0"/>
      <w:marRight w:val="0"/>
      <w:marTop w:val="0"/>
      <w:marBottom w:val="0"/>
      <w:divBdr>
        <w:top w:val="none" w:sz="0" w:space="0" w:color="auto"/>
        <w:left w:val="none" w:sz="0" w:space="0" w:color="auto"/>
        <w:bottom w:val="none" w:sz="0" w:space="0" w:color="auto"/>
        <w:right w:val="none" w:sz="0" w:space="0" w:color="auto"/>
      </w:divBdr>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502164064">
      <w:bodyDiv w:val="1"/>
      <w:marLeft w:val="0"/>
      <w:marRight w:val="0"/>
      <w:marTop w:val="0"/>
      <w:marBottom w:val="0"/>
      <w:divBdr>
        <w:top w:val="none" w:sz="0" w:space="0" w:color="auto"/>
        <w:left w:val="none" w:sz="0" w:space="0" w:color="auto"/>
        <w:bottom w:val="none" w:sz="0" w:space="0" w:color="auto"/>
        <w:right w:val="none" w:sz="0" w:space="0" w:color="auto"/>
      </w:divBdr>
    </w:div>
    <w:div w:id="1536043695">
      <w:bodyDiv w:val="1"/>
      <w:marLeft w:val="0"/>
      <w:marRight w:val="0"/>
      <w:marTop w:val="0"/>
      <w:marBottom w:val="0"/>
      <w:divBdr>
        <w:top w:val="none" w:sz="0" w:space="0" w:color="auto"/>
        <w:left w:val="none" w:sz="0" w:space="0" w:color="auto"/>
        <w:bottom w:val="none" w:sz="0" w:space="0" w:color="auto"/>
        <w:right w:val="none" w:sz="0" w:space="0" w:color="auto"/>
      </w:divBdr>
    </w:div>
    <w:div w:id="1746999180">
      <w:bodyDiv w:val="1"/>
      <w:marLeft w:val="0"/>
      <w:marRight w:val="0"/>
      <w:marTop w:val="0"/>
      <w:marBottom w:val="0"/>
      <w:divBdr>
        <w:top w:val="none" w:sz="0" w:space="0" w:color="auto"/>
        <w:left w:val="none" w:sz="0" w:space="0" w:color="auto"/>
        <w:bottom w:val="none" w:sz="0" w:space="0" w:color="auto"/>
        <w:right w:val="none" w:sz="0" w:space="0" w:color="auto"/>
      </w:divBdr>
    </w:div>
    <w:div w:id="1749496981">
      <w:bodyDiv w:val="1"/>
      <w:marLeft w:val="0"/>
      <w:marRight w:val="0"/>
      <w:marTop w:val="0"/>
      <w:marBottom w:val="0"/>
      <w:divBdr>
        <w:top w:val="none" w:sz="0" w:space="0" w:color="auto"/>
        <w:left w:val="none" w:sz="0" w:space="0" w:color="auto"/>
        <w:bottom w:val="none" w:sz="0" w:space="0" w:color="auto"/>
        <w:right w:val="none" w:sz="0" w:space="0" w:color="auto"/>
      </w:divBdr>
    </w:div>
    <w:div w:id="1783693527">
      <w:bodyDiv w:val="1"/>
      <w:marLeft w:val="0"/>
      <w:marRight w:val="0"/>
      <w:marTop w:val="0"/>
      <w:marBottom w:val="0"/>
      <w:divBdr>
        <w:top w:val="none" w:sz="0" w:space="0" w:color="auto"/>
        <w:left w:val="none" w:sz="0" w:space="0" w:color="auto"/>
        <w:bottom w:val="none" w:sz="0" w:space="0" w:color="auto"/>
        <w:right w:val="none" w:sz="0" w:space="0" w:color="auto"/>
      </w:divBdr>
    </w:div>
    <w:div w:id="1805661259">
      <w:bodyDiv w:val="1"/>
      <w:marLeft w:val="0"/>
      <w:marRight w:val="0"/>
      <w:marTop w:val="0"/>
      <w:marBottom w:val="0"/>
      <w:divBdr>
        <w:top w:val="none" w:sz="0" w:space="0" w:color="auto"/>
        <w:left w:val="none" w:sz="0" w:space="0" w:color="auto"/>
        <w:bottom w:val="none" w:sz="0" w:space="0" w:color="auto"/>
        <w:right w:val="none" w:sz="0" w:space="0" w:color="auto"/>
      </w:divBdr>
    </w:div>
    <w:div w:id="1865055431">
      <w:bodyDiv w:val="1"/>
      <w:marLeft w:val="0"/>
      <w:marRight w:val="0"/>
      <w:marTop w:val="0"/>
      <w:marBottom w:val="0"/>
      <w:divBdr>
        <w:top w:val="none" w:sz="0" w:space="0" w:color="auto"/>
        <w:left w:val="none" w:sz="0" w:space="0" w:color="auto"/>
        <w:bottom w:val="none" w:sz="0" w:space="0" w:color="auto"/>
        <w:right w:val="none" w:sz="0" w:space="0" w:color="auto"/>
      </w:divBdr>
    </w:div>
    <w:div w:id="20293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mart-regulation/roadmaps/docs/2016_home_199_fitnesscheck_legal_migration_en.pdf" TargetMode="External"/><Relationship Id="rId3" Type="http://schemas.openxmlformats.org/officeDocument/2006/relationships/hyperlink" Target="http://www.un.org/esa/ffd/publications/aaaa-outcome.html" TargetMode="External"/><Relationship Id="rId7" Type="http://schemas.openxmlformats.org/officeDocument/2006/relationships/hyperlink" Target="http://data.consilium.europa.eu/doc/document/ST-10085-2017-INIT/bg/pdf" TargetMode="External"/><Relationship Id="rId2" Type="http://schemas.openxmlformats.org/officeDocument/2006/relationships/hyperlink" Target="http://data.consilium.europa.eu/doc/document/ST-11130-2015-INIT/bg/pdf" TargetMode="External"/><Relationship Id="rId1" Type="http://schemas.openxmlformats.org/officeDocument/2006/relationships/hyperlink" Target="http://europa.eu/rapid/press-release_IP-17-3091_bg.htm" TargetMode="External"/><Relationship Id="rId6" Type="http://schemas.openxmlformats.org/officeDocument/2006/relationships/hyperlink" Target="http://missingmigrants.iom.int/region/mediterranean" TargetMode="External"/><Relationship Id="rId5" Type="http://schemas.openxmlformats.org/officeDocument/2006/relationships/hyperlink" Target="http://ec.europa.eu/immigration/" TargetMode="External"/><Relationship Id="rId10" Type="http://schemas.openxmlformats.org/officeDocument/2006/relationships/hyperlink" Target="https://ec.europa.eu/commission/publications/joint-declaration-eus-legislative-priorities-2017_bg" TargetMode="External"/><Relationship Id="rId4" Type="http://schemas.openxmlformats.org/officeDocument/2006/relationships/hyperlink" Target="http://www.infomigrants.net/" TargetMode="External"/><Relationship Id="rId9" Type="http://schemas.openxmlformats.org/officeDocument/2006/relationships/hyperlink" Target="http://www.consilium.europa.eu/bg/press/press-releases/2017/06/23-euco-conclu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A680-CB65-4E8E-886D-58A8A76B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27</Pages>
  <Words>11653</Words>
  <Characters>66891</Characters>
  <Application>Microsoft Office Word</Application>
  <DocSecurity>0</DocSecurity>
  <Lines>1096</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2017-09-26T07:53:00Z</cp:lastPrinted>
  <dcterms:created xsi:type="dcterms:W3CDTF">2017-09-26T16:06:00Z</dcterms:created>
  <dcterms:modified xsi:type="dcterms:W3CDTF">2017-10-16T07:46:00Z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