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F9" w:rsidRDefault="0084063A" w:rsidP="0084063A">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161E06261DC47F9B69547CEEEE36091" style="width:450.75pt;height:321pt">
            <v:imagedata r:id="rId9" o:title=""/>
          </v:shape>
        </w:pict>
      </w:r>
    </w:p>
    <w:bookmarkEnd w:id="0"/>
    <w:p w:rsidR="00BA64F9" w:rsidRDefault="00BA64F9">
      <w:pPr>
        <w:pStyle w:val="Pagedecouverture"/>
        <w:rPr>
          <w:noProof/>
        </w:rPr>
        <w:sectPr w:rsidR="00BA64F9" w:rsidSect="0084063A">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BA64F9" w:rsidRDefault="001F41ED">
      <w:pPr>
        <w:numPr>
          <w:ilvl w:val="0"/>
          <w:numId w:val="4"/>
        </w:numPr>
        <w:spacing w:before="120" w:after="120" w:line="240" w:lineRule="auto"/>
        <w:ind w:left="709" w:hanging="709"/>
        <w:jc w:val="both"/>
        <w:rPr>
          <w:rFonts w:ascii="Times New Roman" w:eastAsia="Calibri" w:hAnsi="Times New Roman" w:cs="Times New Roman"/>
          <w:b/>
          <w:noProof/>
          <w:sz w:val="24"/>
          <w:szCs w:val="24"/>
        </w:rPr>
      </w:pPr>
      <w:r>
        <w:rPr>
          <w:rFonts w:ascii="Times New Roman" w:hAnsi="Times New Roman"/>
          <w:b/>
          <w:noProof/>
          <w:sz w:val="24"/>
        </w:rPr>
        <w:lastRenderedPageBreak/>
        <w:t>ВЪВЕДЕНИЕ</w:t>
      </w:r>
    </w:p>
    <w:p w:rsidR="00BA64F9" w:rsidRDefault="001F41E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Настоящият документ е десетият месечен доклад за напредъка по създаването на ефективен и истински Съюз на сигурност и обхваща развитието в две основни насоки: борбата с тероризма, организираната престъпност и средствата, които ги подкрепят; укрепването на </w:t>
      </w:r>
      <w:r>
        <w:rPr>
          <w:rFonts w:ascii="Times New Roman" w:hAnsi="Times New Roman"/>
          <w:noProof/>
          <w:sz w:val="24"/>
        </w:rPr>
        <w:t xml:space="preserve">нашите защитни механизми и изграждането на устойчивост по отношение на тези заплахи. </w:t>
      </w:r>
    </w:p>
    <w:p w:rsidR="00BA64F9" w:rsidRDefault="001F41E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През последните седмици Европа отново пострада от поредица от терористични нападения. На 9 август 2017 г. кола се вряза в патрулиращ военен автомобил в Льовалоа-Пере (Пар</w:t>
      </w:r>
      <w:r>
        <w:rPr>
          <w:rFonts w:ascii="Times New Roman" w:hAnsi="Times New Roman"/>
          <w:noProof/>
          <w:sz w:val="24"/>
        </w:rPr>
        <w:t>иж) и рани шестима войници. На 17 август 2017 г. в Барселона беше извършено нападение с товарен автомобил на площада Рамблас, при което загинаха 15 души, а над 100 бяха ранени. На 18 август 2017 г. мъж нападна с нож 10 души във финландския град Турку, двам</w:t>
      </w:r>
      <w:r>
        <w:rPr>
          <w:rFonts w:ascii="Times New Roman" w:hAnsi="Times New Roman"/>
          <w:noProof/>
          <w:sz w:val="24"/>
        </w:rPr>
        <w:t>а от които починаха. На 25 август 2017 г. в Брюксел мъж нападна войници с нож и рани двама. В същия ден мъж нападна с нож полицаи пред Бъкингамския дворец в Лондон. Тези нападения за пореден път подчертават изключителното значение на борбата с насилнически</w:t>
      </w:r>
      <w:r>
        <w:rPr>
          <w:rFonts w:ascii="Times New Roman" w:hAnsi="Times New Roman"/>
          <w:noProof/>
          <w:sz w:val="24"/>
        </w:rPr>
        <w:t>я екстремизъм и радикализацията и предизвикателството, пред което са изправени държавите членки при осуетяването и предотвратяването на атаките и противодействието на радикализацията, която ги подклажда.</w:t>
      </w:r>
    </w:p>
    <w:p w:rsidR="00BA64F9" w:rsidRDefault="001F41ED">
      <w:pPr>
        <w:spacing w:after="240" w:line="240" w:lineRule="auto"/>
        <w:jc w:val="both"/>
        <w:rPr>
          <w:rFonts w:ascii="Times New Roman" w:eastAsia="Times New Roman" w:hAnsi="Times New Roman" w:cs="Times New Roman"/>
          <w:noProof/>
          <w:spacing w:val="-4"/>
          <w:sz w:val="24"/>
          <w:szCs w:val="20"/>
        </w:rPr>
      </w:pPr>
      <w:r>
        <w:rPr>
          <w:rFonts w:ascii="Times New Roman" w:hAnsi="Times New Roman"/>
          <w:noProof/>
          <w:spacing w:val="-4"/>
          <w:sz w:val="24"/>
        </w:rPr>
        <w:t>В навечерието на речта за състоянието на Съюза за 20</w:t>
      </w:r>
      <w:r>
        <w:rPr>
          <w:rFonts w:ascii="Times New Roman" w:hAnsi="Times New Roman"/>
          <w:noProof/>
          <w:spacing w:val="-4"/>
          <w:sz w:val="24"/>
        </w:rPr>
        <w:t xml:space="preserve">17 г., в която председателят Юнкер ще определи приоритетите за следващите 12 месеца, настоящият доклад съдържа </w:t>
      </w:r>
      <w:r>
        <w:rPr>
          <w:rFonts w:ascii="Times New Roman" w:hAnsi="Times New Roman"/>
          <w:b/>
          <w:noProof/>
          <w:spacing w:val="-4"/>
          <w:sz w:val="24"/>
        </w:rPr>
        <w:t>преглед на напредъка, постигнат</w:t>
      </w:r>
      <w:r>
        <w:rPr>
          <w:rFonts w:ascii="Times New Roman" w:hAnsi="Times New Roman"/>
          <w:noProof/>
          <w:spacing w:val="-4"/>
          <w:sz w:val="24"/>
        </w:rPr>
        <w:t xml:space="preserve"> в изграждането на Съюза на сигурност в изпълнение на приоритетите, заложени в </w:t>
      </w:r>
      <w:r>
        <w:rPr>
          <w:rFonts w:ascii="Times New Roman" w:hAnsi="Times New Roman"/>
          <w:b/>
          <w:noProof/>
          <w:spacing w:val="-4"/>
          <w:sz w:val="24"/>
        </w:rPr>
        <w:t xml:space="preserve">речта за състоянието на Съюза през </w:t>
      </w:r>
      <w:r>
        <w:rPr>
          <w:rFonts w:ascii="Times New Roman" w:hAnsi="Times New Roman"/>
          <w:b/>
          <w:noProof/>
          <w:spacing w:val="-4"/>
          <w:sz w:val="24"/>
        </w:rPr>
        <w:t>2016 г.</w:t>
      </w:r>
      <w:r>
        <w:rPr>
          <w:rFonts w:ascii="Times New Roman" w:hAnsi="Times New Roman"/>
          <w:noProof/>
          <w:spacing w:val="-4"/>
          <w:sz w:val="24"/>
          <w:vertAlign w:val="superscript"/>
        </w:rPr>
        <w:footnoteReference w:id="1"/>
      </w:r>
      <w:r>
        <w:rPr>
          <w:rFonts w:ascii="Times New Roman" w:hAnsi="Times New Roman"/>
          <w:noProof/>
          <w:spacing w:val="-4"/>
          <w:sz w:val="24"/>
        </w:rPr>
        <w:t xml:space="preserve"> и </w:t>
      </w:r>
      <w:r>
        <w:rPr>
          <w:rFonts w:ascii="Times New Roman" w:hAnsi="Times New Roman"/>
          <w:b/>
          <w:noProof/>
          <w:spacing w:val="-4"/>
          <w:sz w:val="24"/>
        </w:rPr>
        <w:t>работната програма на Комисията за 2017</w:t>
      </w:r>
      <w:r>
        <w:rPr>
          <w:rFonts w:ascii="Times New Roman" w:hAnsi="Times New Roman"/>
          <w:b/>
          <w:noProof/>
          <w:spacing w:val="-4"/>
          <w:sz w:val="24"/>
          <w:lang w:val="it-IT"/>
        </w:rPr>
        <w:t> </w:t>
      </w:r>
      <w:r>
        <w:rPr>
          <w:rFonts w:ascii="Times New Roman" w:hAnsi="Times New Roman"/>
          <w:b/>
          <w:noProof/>
          <w:spacing w:val="-4"/>
          <w:sz w:val="24"/>
        </w:rPr>
        <w:t>г.</w:t>
      </w:r>
      <w:r>
        <w:rPr>
          <w:rFonts w:ascii="Times New Roman" w:hAnsi="Times New Roman"/>
          <w:noProof/>
          <w:spacing w:val="-4"/>
          <w:sz w:val="24"/>
          <w:vertAlign w:val="superscript"/>
        </w:rPr>
        <w:footnoteReference w:id="2"/>
      </w:r>
      <w:r>
        <w:rPr>
          <w:rFonts w:ascii="Times New Roman" w:hAnsi="Times New Roman"/>
          <w:noProof/>
          <w:spacing w:val="-4"/>
          <w:sz w:val="24"/>
        </w:rPr>
        <w:t xml:space="preserve"> Докладът представя също така актуална информация за изпълнението на други приоритетни досиета в областта на сигурността.</w:t>
      </w:r>
    </w:p>
    <w:p w:rsidR="00BA64F9" w:rsidRDefault="001F41E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През последната година Комисията предприе решителни действия за повишаване на </w:t>
      </w:r>
      <w:r>
        <w:rPr>
          <w:rFonts w:ascii="Times New Roman" w:hAnsi="Times New Roman"/>
          <w:noProof/>
          <w:sz w:val="24"/>
        </w:rPr>
        <w:t>сигурността по външните граници, подобряване на обмена на информация, ограничаване на възможностите за действие на терористите и предотвратяване на радикализацията. Всички свързани със сигурността приоритети, посочени в речта за състоянието на Съюза през 2</w:t>
      </w:r>
      <w:r>
        <w:rPr>
          <w:rFonts w:ascii="Times New Roman" w:hAnsi="Times New Roman"/>
          <w:noProof/>
          <w:sz w:val="24"/>
        </w:rPr>
        <w:t>016 г., бяха изпълнени в съответствие с Европейската програма за сигурност</w:t>
      </w:r>
      <w:r>
        <w:rPr>
          <w:rFonts w:ascii="Times New Roman" w:hAnsi="Times New Roman"/>
          <w:noProof/>
          <w:sz w:val="24"/>
          <w:vertAlign w:val="superscript"/>
        </w:rPr>
        <w:footnoteReference w:id="3"/>
      </w:r>
      <w:r>
        <w:rPr>
          <w:rFonts w:ascii="Times New Roman" w:hAnsi="Times New Roman"/>
          <w:noProof/>
          <w:sz w:val="24"/>
        </w:rPr>
        <w:t>. Благодарение на това държавите членки бяха подкрепени в усилията си за справяне със заплахата, която представляват тероризмът, организираната престъпност и киберпрестъпността. Пре</w:t>
      </w:r>
      <w:r>
        <w:rPr>
          <w:rFonts w:ascii="Times New Roman" w:hAnsi="Times New Roman"/>
          <w:noProof/>
          <w:sz w:val="24"/>
        </w:rPr>
        <w:t xml:space="preserve">дстои обаче още много работа. Въз основа на постигнатото през последната година е необходимо усилията да продължат, за да бъдат преодолени днешните предизвикателства в областта на сигурността, по-специално чрез въвеждането на оперативна съвместимост между </w:t>
      </w:r>
      <w:r>
        <w:rPr>
          <w:rFonts w:ascii="Times New Roman" w:hAnsi="Times New Roman"/>
          <w:noProof/>
          <w:sz w:val="24"/>
        </w:rPr>
        <w:t>информационните системи, предотвратяването на насилническия екстремизъм и радикализацията, пресичането на източниците и каналите за финансиране на тероризма и подобряването на киберсигурността.</w:t>
      </w:r>
    </w:p>
    <w:p w:rsidR="0084063A" w:rsidRDefault="0084063A">
      <w:pPr>
        <w:rPr>
          <w:rFonts w:ascii="Times New Roman" w:hAnsi="Times New Roman"/>
          <w:b/>
          <w:noProof/>
          <w:sz w:val="24"/>
        </w:rPr>
      </w:pPr>
      <w:r>
        <w:rPr>
          <w:rFonts w:ascii="Times New Roman" w:hAnsi="Times New Roman"/>
          <w:b/>
          <w:noProof/>
          <w:sz w:val="24"/>
        </w:rPr>
        <w:br w:type="page"/>
      </w:r>
    </w:p>
    <w:p w:rsidR="00BA64F9" w:rsidRDefault="001F41ED">
      <w:pPr>
        <w:spacing w:after="240" w:line="240" w:lineRule="auto"/>
        <w:jc w:val="both"/>
        <w:rPr>
          <w:rFonts w:ascii="Times New Roman" w:eastAsia="Times New Roman" w:hAnsi="Times New Roman" w:cs="Times New Roman"/>
          <w:b/>
          <w:noProof/>
          <w:sz w:val="24"/>
          <w:szCs w:val="24"/>
        </w:rPr>
      </w:pPr>
      <w:bookmarkStart w:id="1" w:name="_GoBack"/>
      <w:bookmarkEnd w:id="1"/>
      <w:r>
        <w:rPr>
          <w:rFonts w:ascii="Times New Roman" w:hAnsi="Times New Roman"/>
          <w:b/>
          <w:noProof/>
          <w:sz w:val="24"/>
        </w:rPr>
        <w:lastRenderedPageBreak/>
        <w:t xml:space="preserve">II. </w:t>
      </w:r>
      <w:r>
        <w:rPr>
          <w:noProof/>
        </w:rPr>
        <w:tab/>
      </w:r>
      <w:r>
        <w:rPr>
          <w:rFonts w:ascii="Times New Roman" w:hAnsi="Times New Roman"/>
          <w:b/>
          <w:noProof/>
          <w:sz w:val="24"/>
        </w:rPr>
        <w:t>КЪМ ПОСТИГАНЕТО НА ЕФЕКТИВЕН И ИСТИНСКИ СЪЮЗ НА СИГУРНОСТ</w:t>
      </w:r>
      <w:r>
        <w:rPr>
          <w:rFonts w:ascii="Times New Roman" w:hAnsi="Times New Roman"/>
          <w:b/>
          <w:noProof/>
          <w:sz w:val="24"/>
        </w:rPr>
        <w:t xml:space="preserve"> — ЕДНА ГОДИНА ПО-КЪСНО</w:t>
      </w:r>
    </w:p>
    <w:p w:rsidR="00BA64F9" w:rsidRDefault="001F41ED">
      <w:pPr>
        <w:spacing w:after="240" w:line="240" w:lineRule="auto"/>
        <w:jc w:val="both"/>
        <w:rPr>
          <w:rFonts w:ascii="Times New Roman" w:eastAsia="Times New Roman" w:hAnsi="Times New Roman" w:cs="Times New Roman"/>
          <w:i/>
          <w:noProof/>
          <w:sz w:val="24"/>
          <w:szCs w:val="24"/>
        </w:rPr>
      </w:pPr>
      <w:r>
        <w:rPr>
          <w:rFonts w:ascii="Times New Roman" w:hAnsi="Times New Roman"/>
          <w:i/>
          <w:noProof/>
          <w:sz w:val="24"/>
        </w:rPr>
        <w:t>1. Засилване на сигурността по външните граници</w:t>
      </w:r>
    </w:p>
    <w:p w:rsidR="00BA64F9" w:rsidRDefault="001F41ED">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i/>
          <w:noProof/>
          <w:sz w:val="24"/>
          <w:szCs w:val="20"/>
        </w:rPr>
      </w:pPr>
      <w:r>
        <w:rPr>
          <w:rFonts w:ascii="Times New Roman" w:hAnsi="Times New Roman"/>
          <w:i/>
          <w:noProof/>
          <w:sz w:val="24"/>
        </w:rPr>
        <w:t xml:space="preserve">„Ще защитаваме границите си и чрез строг контрол на всички пресичащи ги лица, който ще бъде приет до края на годината. Всеки път, когато някой </w:t>
      </w:r>
      <w:r>
        <w:rPr>
          <w:rFonts w:ascii="Times New Roman" w:hAnsi="Times New Roman"/>
          <w:b/>
          <w:i/>
          <w:noProof/>
          <w:sz w:val="24"/>
        </w:rPr>
        <w:t>влиза или излиза от Европейския съюз</w:t>
      </w:r>
      <w:r>
        <w:rPr>
          <w:rFonts w:ascii="Times New Roman" w:hAnsi="Times New Roman"/>
          <w:i/>
          <w:noProof/>
          <w:sz w:val="24"/>
        </w:rPr>
        <w:t xml:space="preserve">, за </w:t>
      </w:r>
      <w:r>
        <w:rPr>
          <w:rFonts w:ascii="Times New Roman" w:hAnsi="Times New Roman"/>
          <w:i/>
          <w:noProof/>
          <w:sz w:val="24"/>
        </w:rPr>
        <w:t>него ще има запис: кога, къде и защо го прави.</w:t>
      </w:r>
    </w:p>
    <w:p w:rsidR="00BA64F9" w:rsidRDefault="001F41ED">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i/>
          <w:noProof/>
          <w:sz w:val="24"/>
          <w:szCs w:val="20"/>
        </w:rPr>
      </w:pPr>
      <w:r>
        <w:rPr>
          <w:rFonts w:ascii="Times New Roman" w:hAnsi="Times New Roman"/>
          <w:i/>
          <w:noProof/>
          <w:sz w:val="24"/>
        </w:rPr>
        <w:t xml:space="preserve">До ноември ще предложим </w:t>
      </w:r>
      <w:r>
        <w:rPr>
          <w:rFonts w:ascii="Times New Roman" w:hAnsi="Times New Roman"/>
          <w:b/>
          <w:i/>
          <w:noProof/>
          <w:sz w:val="24"/>
        </w:rPr>
        <w:t>Европейска система за информация за пътуванията</w:t>
      </w:r>
      <w:r>
        <w:rPr>
          <w:rFonts w:ascii="Times New Roman" w:hAnsi="Times New Roman"/>
          <w:i/>
          <w:noProof/>
          <w:sz w:val="24"/>
        </w:rPr>
        <w:t xml:space="preserve"> — автоматизирана система за издаване на разрешения да се пътува до Европа. По този начин ще знаем кой пътува до Европа дори преди да прис</w:t>
      </w:r>
      <w:r>
        <w:rPr>
          <w:rFonts w:ascii="Times New Roman" w:hAnsi="Times New Roman"/>
          <w:i/>
          <w:noProof/>
          <w:sz w:val="24"/>
        </w:rPr>
        <w:t>тигне тук.“</w:t>
      </w:r>
    </w:p>
    <w:p w:rsidR="00BA64F9" w:rsidRDefault="001F41ED">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Председателят на Комисията Жан-Клод Юнкер, реч за състоянието на Съюза, 2016 г.</w:t>
      </w:r>
    </w:p>
    <w:p w:rsidR="00BA64F9" w:rsidRDefault="001F41ED">
      <w:pPr>
        <w:spacing w:after="240" w:line="240" w:lineRule="auto"/>
        <w:jc w:val="both"/>
        <w:rPr>
          <w:rFonts w:ascii="Times New Roman" w:eastAsia="Times New Roman" w:hAnsi="Times New Roman" w:cs="Times New Roman"/>
          <w:i/>
          <w:noProof/>
          <w:spacing w:val="-6"/>
          <w:sz w:val="24"/>
          <w:szCs w:val="24"/>
        </w:rPr>
      </w:pPr>
      <w:r>
        <w:rPr>
          <w:rFonts w:ascii="Times New Roman" w:hAnsi="Times New Roman"/>
          <w:noProof/>
          <w:spacing w:val="-6"/>
          <w:sz w:val="24"/>
        </w:rPr>
        <w:t xml:space="preserve">През последната година бе отбелязан значителен напредък за засилване на сигурността на външните граници. На 7 април 2017 г. влезе в сила преразгледаният Кодекс на шенгенските граници, който предвижда </w:t>
      </w:r>
      <w:r>
        <w:rPr>
          <w:rFonts w:ascii="Times New Roman" w:hAnsi="Times New Roman"/>
          <w:b/>
          <w:noProof/>
          <w:spacing w:val="-6"/>
          <w:sz w:val="24"/>
        </w:rPr>
        <w:t>системни проверки</w:t>
      </w:r>
      <w:r>
        <w:rPr>
          <w:rFonts w:ascii="Times New Roman" w:hAnsi="Times New Roman"/>
          <w:noProof/>
          <w:spacing w:val="-6"/>
          <w:sz w:val="24"/>
        </w:rPr>
        <w:t xml:space="preserve"> в базите данни на всички пътници, прем</w:t>
      </w:r>
      <w:r>
        <w:rPr>
          <w:rFonts w:ascii="Times New Roman" w:hAnsi="Times New Roman"/>
          <w:noProof/>
          <w:spacing w:val="-6"/>
          <w:sz w:val="24"/>
        </w:rPr>
        <w:t>инаващи външните граници, включително гражданите на ЕС</w:t>
      </w:r>
      <w:r>
        <w:rPr>
          <w:rFonts w:ascii="Times New Roman" w:hAnsi="Times New Roman"/>
          <w:noProof/>
          <w:spacing w:val="-6"/>
          <w:sz w:val="24"/>
          <w:vertAlign w:val="superscript"/>
        </w:rPr>
        <w:footnoteReference w:id="4"/>
      </w:r>
      <w:r>
        <w:rPr>
          <w:rFonts w:ascii="Times New Roman" w:hAnsi="Times New Roman"/>
          <w:noProof/>
          <w:spacing w:val="-6"/>
          <w:sz w:val="24"/>
        </w:rPr>
        <w:t>. Тези системни проверки допринасят за идентифицирането на пътниците, които представляват заплаха за сигурността или за които е издадена заповед за арест. През юли 2017 г. Европейският парламент и Съве</w:t>
      </w:r>
      <w:r>
        <w:rPr>
          <w:rFonts w:ascii="Times New Roman" w:hAnsi="Times New Roman"/>
          <w:noProof/>
          <w:spacing w:val="-6"/>
          <w:sz w:val="24"/>
        </w:rPr>
        <w:t xml:space="preserve">тът постигнаха политическо споразумение за </w:t>
      </w:r>
      <w:r>
        <w:rPr>
          <w:rFonts w:ascii="Times New Roman" w:hAnsi="Times New Roman"/>
          <w:b/>
          <w:noProof/>
          <w:spacing w:val="-6"/>
          <w:sz w:val="24"/>
        </w:rPr>
        <w:t>системата на ЕС за влизане/излизане</w:t>
      </w:r>
      <w:r>
        <w:rPr>
          <w:rFonts w:ascii="Times New Roman" w:hAnsi="Times New Roman"/>
          <w:noProof/>
          <w:spacing w:val="-6"/>
          <w:sz w:val="24"/>
        </w:rPr>
        <w:t xml:space="preserve"> съгласно предложението на Комисията от април 2016 г.</w:t>
      </w:r>
      <w:r>
        <w:rPr>
          <w:rFonts w:ascii="Times New Roman" w:hAnsi="Times New Roman"/>
          <w:noProof/>
          <w:spacing w:val="-6"/>
          <w:sz w:val="24"/>
          <w:vertAlign w:val="superscript"/>
        </w:rPr>
        <w:footnoteReference w:id="5"/>
      </w:r>
      <w:r>
        <w:rPr>
          <w:rFonts w:ascii="Times New Roman" w:hAnsi="Times New Roman"/>
          <w:noProof/>
          <w:spacing w:val="-6"/>
          <w:sz w:val="24"/>
        </w:rPr>
        <w:t xml:space="preserve"> В системата ще се регистрират данни за влизането и излизането на лица, които не са граждани на ЕС и които преминават външни</w:t>
      </w:r>
      <w:r>
        <w:rPr>
          <w:rFonts w:ascii="Times New Roman" w:hAnsi="Times New Roman"/>
          <w:noProof/>
          <w:spacing w:val="-6"/>
          <w:sz w:val="24"/>
        </w:rPr>
        <w:t>те граници на ЕС, като по този начин ще се допринесе за подобряване на управлението на външните граници и за повишаване на вътрешната сигурност чрез извършването на по-качествен и по-ефикасен контрол. Понастоящем със съзаконодателите се обсъжда предложение</w:t>
      </w:r>
      <w:r>
        <w:rPr>
          <w:rFonts w:ascii="Times New Roman" w:hAnsi="Times New Roman"/>
          <w:noProof/>
          <w:spacing w:val="-6"/>
          <w:sz w:val="24"/>
        </w:rPr>
        <w:t xml:space="preserve">то на Комисията от ноември 2016 г. за създаване на </w:t>
      </w:r>
      <w:r>
        <w:rPr>
          <w:rFonts w:ascii="Times New Roman" w:hAnsi="Times New Roman"/>
          <w:b/>
          <w:noProof/>
          <w:spacing w:val="-6"/>
          <w:sz w:val="24"/>
        </w:rPr>
        <w:t>система на ЕС за информация за пътуванията и разрешаването им</w:t>
      </w:r>
      <w:r>
        <w:rPr>
          <w:rFonts w:ascii="Times New Roman" w:hAnsi="Times New Roman"/>
          <w:noProof/>
          <w:spacing w:val="-6"/>
          <w:sz w:val="24"/>
        </w:rPr>
        <w:t xml:space="preserve"> (ETIAS)</w:t>
      </w:r>
      <w:r>
        <w:rPr>
          <w:rFonts w:ascii="Times New Roman" w:hAnsi="Times New Roman"/>
          <w:noProof/>
          <w:spacing w:val="-6"/>
          <w:sz w:val="24"/>
          <w:vertAlign w:val="superscript"/>
        </w:rPr>
        <w:footnoteReference w:id="6"/>
      </w:r>
      <w:r>
        <w:rPr>
          <w:rFonts w:ascii="Times New Roman" w:hAnsi="Times New Roman"/>
          <w:noProof/>
          <w:spacing w:val="-6"/>
          <w:sz w:val="24"/>
        </w:rPr>
        <w:t>. Системата ще събира информация за лица, които възнамеряват да пътуват до ЕС без виза, с цел извършването на проверки във връзка с нез</w:t>
      </w:r>
      <w:r>
        <w:rPr>
          <w:rFonts w:ascii="Times New Roman" w:hAnsi="Times New Roman"/>
          <w:noProof/>
          <w:spacing w:val="-6"/>
          <w:sz w:val="24"/>
        </w:rPr>
        <w:t>аконната миграция и проверки за сигурност и установяването на възможни рискове преди пристигането. Комисията продължава да работи със съзаконодателите за постигането на споразумение по това предложение преди края на годината</w:t>
      </w:r>
      <w:r>
        <w:rPr>
          <w:rFonts w:ascii="Times New Roman" w:hAnsi="Times New Roman"/>
          <w:noProof/>
          <w:spacing w:val="-6"/>
          <w:sz w:val="24"/>
          <w:vertAlign w:val="superscript"/>
        </w:rPr>
        <w:footnoteReference w:id="7"/>
      </w:r>
      <w:r>
        <w:rPr>
          <w:rFonts w:ascii="Times New Roman" w:hAnsi="Times New Roman"/>
          <w:noProof/>
          <w:spacing w:val="-6"/>
          <w:sz w:val="24"/>
        </w:rPr>
        <w:t>, в съответствие със съвместнат</w:t>
      </w:r>
      <w:r>
        <w:rPr>
          <w:rFonts w:ascii="Times New Roman" w:hAnsi="Times New Roman"/>
          <w:noProof/>
          <w:spacing w:val="-6"/>
          <w:sz w:val="24"/>
        </w:rPr>
        <w:t>а декларация относно законодателните приоритети на ЕС за 2017 г. Тъй като при работата с тези инструменти се разчита на сигурни документи за пътуване и сигурни документи за самоличност, Комисията работи и по мерките за изпълнение срещу измами с документи з</w:t>
      </w:r>
      <w:r>
        <w:rPr>
          <w:rFonts w:ascii="Times New Roman" w:hAnsi="Times New Roman"/>
          <w:noProof/>
          <w:spacing w:val="-6"/>
          <w:sz w:val="24"/>
        </w:rPr>
        <w:t xml:space="preserve">а пътуване и документи за самоличност, които бяха посочени в план за действие от декември 2016 г. </w:t>
      </w:r>
      <w:r>
        <w:rPr>
          <w:rFonts w:ascii="Times New Roman" w:hAnsi="Times New Roman"/>
          <w:noProof/>
          <w:spacing w:val="-6"/>
          <w:sz w:val="24"/>
          <w:vertAlign w:val="superscript"/>
        </w:rPr>
        <w:footnoteReference w:id="8"/>
      </w:r>
    </w:p>
    <w:p w:rsidR="00BA64F9" w:rsidRDefault="001F41ED">
      <w:pPr>
        <w:spacing w:after="240" w:line="240" w:lineRule="auto"/>
        <w:jc w:val="both"/>
        <w:rPr>
          <w:rFonts w:ascii="Times New Roman" w:eastAsia="Times New Roman" w:hAnsi="Times New Roman" w:cs="Times New Roman"/>
          <w:i/>
          <w:noProof/>
          <w:sz w:val="24"/>
          <w:szCs w:val="24"/>
        </w:rPr>
      </w:pPr>
      <w:r>
        <w:rPr>
          <w:rFonts w:ascii="Times New Roman" w:hAnsi="Times New Roman"/>
          <w:i/>
          <w:noProof/>
          <w:sz w:val="24"/>
        </w:rPr>
        <w:t>2. Подобряване на обмена на информация</w:t>
      </w:r>
    </w:p>
    <w:p w:rsidR="00BA64F9" w:rsidRDefault="001F41ED">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i/>
          <w:noProof/>
          <w:sz w:val="24"/>
          <w:szCs w:val="20"/>
        </w:rPr>
      </w:pPr>
      <w:r>
        <w:rPr>
          <w:rFonts w:ascii="Times New Roman" w:hAnsi="Times New Roman"/>
          <w:i/>
          <w:noProof/>
          <w:sz w:val="24"/>
        </w:rPr>
        <w:lastRenderedPageBreak/>
        <w:t>„Колко пъти през последните месеци научавахме за случаи, в които информацията е съществувала в база данни в някоя дър</w:t>
      </w:r>
      <w:r>
        <w:rPr>
          <w:rFonts w:ascii="Times New Roman" w:hAnsi="Times New Roman"/>
          <w:i/>
          <w:noProof/>
          <w:sz w:val="24"/>
        </w:rPr>
        <w:t>жава, но така и не е достигнала до органите в друга държава, които биха могли да се възползват от нея по предназначение?</w:t>
      </w:r>
    </w:p>
    <w:p w:rsidR="00BA64F9" w:rsidRDefault="001F41ED">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i/>
          <w:noProof/>
          <w:sz w:val="24"/>
          <w:szCs w:val="20"/>
        </w:rPr>
      </w:pPr>
      <w:r>
        <w:rPr>
          <w:rFonts w:ascii="Times New Roman" w:hAnsi="Times New Roman"/>
          <w:i/>
          <w:noProof/>
          <w:sz w:val="24"/>
        </w:rPr>
        <w:t xml:space="preserve">Сигурността на границите също предполага, че обменът на информация и на разузнавателни данни трябва да бъде приоритет. За тази цел </w:t>
      </w:r>
      <w:r>
        <w:rPr>
          <w:rFonts w:ascii="Times New Roman" w:hAnsi="Times New Roman"/>
          <w:b/>
          <w:i/>
          <w:noProof/>
          <w:sz w:val="24"/>
        </w:rPr>
        <w:t>ще у</w:t>
      </w:r>
      <w:r>
        <w:rPr>
          <w:rFonts w:ascii="Times New Roman" w:hAnsi="Times New Roman"/>
          <w:b/>
          <w:i/>
          <w:noProof/>
          <w:sz w:val="24"/>
        </w:rPr>
        <w:t>крепим Европол</w:t>
      </w:r>
      <w:r>
        <w:rPr>
          <w:rFonts w:ascii="Times New Roman" w:hAnsi="Times New Roman"/>
          <w:i/>
          <w:noProof/>
          <w:sz w:val="24"/>
        </w:rPr>
        <w:t xml:space="preserve"> — европейската агенция, действаща в подкрепа на националните правоприлагащи органи — като ѝ осигурим по-добър достъп до бази данни и повече ресурси. Звеното за борба срещу тероризма, което понастоящем разполага с персонал от 60 души, не може</w:t>
      </w:r>
      <w:r>
        <w:rPr>
          <w:rFonts w:ascii="Times New Roman" w:hAnsi="Times New Roman"/>
          <w:i/>
          <w:noProof/>
          <w:sz w:val="24"/>
        </w:rPr>
        <w:t xml:space="preserve"> да предоставя необходимата подкрепа 24 часа в денонощието и 7 дни в седмицата.“</w:t>
      </w:r>
    </w:p>
    <w:p w:rsidR="00BA64F9" w:rsidRDefault="001F41ED">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Председателят на Комисията Жан-Клод Юнкер, реч за състоянието на Съюза, 2016 г.</w:t>
      </w:r>
    </w:p>
    <w:p w:rsidR="00BA64F9" w:rsidRDefault="001F41ED">
      <w:pPr>
        <w:spacing w:after="240" w:line="240" w:lineRule="auto"/>
        <w:jc w:val="both"/>
        <w:rPr>
          <w:rFonts w:ascii="Times New Roman" w:eastAsia="Times New Roman" w:hAnsi="Times New Roman" w:cs="Times New Roman"/>
          <w:noProof/>
          <w:spacing w:val="-4"/>
          <w:sz w:val="24"/>
          <w:szCs w:val="24"/>
        </w:rPr>
      </w:pPr>
      <w:r>
        <w:rPr>
          <w:rFonts w:ascii="Times New Roman" w:hAnsi="Times New Roman"/>
          <w:noProof/>
          <w:spacing w:val="-4"/>
          <w:sz w:val="24"/>
        </w:rPr>
        <w:t xml:space="preserve">Данните са в основата на отбраната, непосредствено след външните граници. Работата за </w:t>
      </w:r>
      <w:r>
        <w:rPr>
          <w:rFonts w:ascii="Times New Roman" w:hAnsi="Times New Roman"/>
          <w:noProof/>
          <w:spacing w:val="-4"/>
          <w:sz w:val="24"/>
        </w:rPr>
        <w:t xml:space="preserve">подобряване на обмена на информация беше приоритет на Комисията през последната година, като бяха предприети действия за изпълнението на съобщението за по-надеждни и по-интелигентни информационни системи в областта на границите и сигурността от април 2016 </w:t>
      </w:r>
      <w:r>
        <w:rPr>
          <w:rFonts w:ascii="Times New Roman" w:hAnsi="Times New Roman"/>
          <w:noProof/>
          <w:spacing w:val="-4"/>
          <w:sz w:val="24"/>
        </w:rPr>
        <w:t>г.</w:t>
      </w:r>
      <w:r>
        <w:rPr>
          <w:rFonts w:ascii="Times New Roman" w:hAnsi="Times New Roman"/>
          <w:noProof/>
          <w:spacing w:val="-4"/>
          <w:sz w:val="24"/>
          <w:vertAlign w:val="superscript"/>
        </w:rPr>
        <w:footnoteReference w:id="9"/>
      </w:r>
      <w:r>
        <w:rPr>
          <w:rFonts w:ascii="Times New Roman" w:hAnsi="Times New Roman"/>
          <w:noProof/>
          <w:spacing w:val="-4"/>
          <w:sz w:val="24"/>
        </w:rPr>
        <w:t xml:space="preserve"> На първо място, </w:t>
      </w:r>
      <w:r>
        <w:rPr>
          <w:rFonts w:ascii="Times New Roman" w:hAnsi="Times New Roman"/>
          <w:b/>
          <w:noProof/>
          <w:spacing w:val="-4"/>
          <w:sz w:val="24"/>
        </w:rPr>
        <w:t>за да се извлече максимална полза от съществуващите информационни системи</w:t>
      </w:r>
      <w:r>
        <w:rPr>
          <w:rFonts w:ascii="Times New Roman" w:hAnsi="Times New Roman"/>
          <w:noProof/>
          <w:spacing w:val="-4"/>
          <w:sz w:val="24"/>
        </w:rPr>
        <w:t>, Комисията предложи през декември 2016 г. законодателство</w:t>
      </w:r>
      <w:r>
        <w:rPr>
          <w:rFonts w:ascii="Times New Roman" w:hAnsi="Times New Roman"/>
          <w:noProof/>
          <w:spacing w:val="-4"/>
          <w:sz w:val="24"/>
          <w:vertAlign w:val="superscript"/>
        </w:rPr>
        <w:footnoteReference w:id="10"/>
      </w:r>
      <w:r>
        <w:rPr>
          <w:rFonts w:ascii="Times New Roman" w:hAnsi="Times New Roman"/>
          <w:noProof/>
          <w:spacing w:val="-4"/>
          <w:sz w:val="24"/>
        </w:rPr>
        <w:t xml:space="preserve"> за укрепване на Шенгенската информационна система (ШИС) като най-успешния инструмент на ЕС в областта н</w:t>
      </w:r>
      <w:r>
        <w:rPr>
          <w:rFonts w:ascii="Times New Roman" w:hAnsi="Times New Roman"/>
          <w:noProof/>
          <w:spacing w:val="-4"/>
          <w:sz w:val="24"/>
        </w:rPr>
        <w:t>а правоприлагането, увеличи подпомагането за държавите членки във връзка с прилагането на Директивата на ЕС за резервационните данни на пътниците (PNR данни)</w:t>
      </w:r>
      <w:r>
        <w:rPr>
          <w:rFonts w:ascii="Times New Roman" w:hAnsi="Times New Roman"/>
          <w:noProof/>
          <w:spacing w:val="-4"/>
          <w:sz w:val="24"/>
          <w:vertAlign w:val="superscript"/>
        </w:rPr>
        <w:footnoteReference w:id="11"/>
      </w:r>
      <w:r>
        <w:rPr>
          <w:rFonts w:ascii="Times New Roman" w:hAnsi="Times New Roman"/>
          <w:noProof/>
          <w:spacing w:val="-4"/>
          <w:sz w:val="24"/>
        </w:rPr>
        <w:t>, включително чрез план за прилагане и допълнително финансиране в размер на 70 милиона евро, и про</w:t>
      </w:r>
      <w:r>
        <w:rPr>
          <w:rFonts w:ascii="Times New Roman" w:hAnsi="Times New Roman"/>
          <w:noProof/>
          <w:spacing w:val="-4"/>
          <w:sz w:val="24"/>
        </w:rPr>
        <w:t>дължи производствата за нарушение срещу държавите членки, които още не са изпълнили Рамката от Прюм</w:t>
      </w:r>
      <w:r>
        <w:rPr>
          <w:rFonts w:ascii="Times New Roman" w:hAnsi="Times New Roman"/>
          <w:noProof/>
          <w:spacing w:val="-4"/>
          <w:sz w:val="24"/>
          <w:vertAlign w:val="superscript"/>
        </w:rPr>
        <w:footnoteReference w:id="12"/>
      </w:r>
      <w:r>
        <w:rPr>
          <w:rFonts w:ascii="Times New Roman" w:hAnsi="Times New Roman"/>
          <w:noProof/>
          <w:spacing w:val="-4"/>
          <w:sz w:val="24"/>
        </w:rPr>
        <w:t xml:space="preserve"> за автоматизиран обмен на ДНК, пръстови отпечатъци и данни за регистрацията на превозни средства. Работата, насочена към по-добро използване на съществуващ</w:t>
      </w:r>
      <w:r>
        <w:rPr>
          <w:rFonts w:ascii="Times New Roman" w:hAnsi="Times New Roman"/>
          <w:noProof/>
          <w:spacing w:val="-4"/>
          <w:sz w:val="24"/>
        </w:rPr>
        <w:t>ите системи, дава резултати, както се вижда от значителното увеличаване на справките в Шенгенската информационна система и от броя на намерените съответствия в резултат на тези справки</w:t>
      </w:r>
      <w:r>
        <w:rPr>
          <w:rFonts w:ascii="Times New Roman" w:hAnsi="Times New Roman"/>
          <w:noProof/>
          <w:spacing w:val="-4"/>
          <w:sz w:val="24"/>
          <w:vertAlign w:val="superscript"/>
        </w:rPr>
        <w:footnoteReference w:id="13"/>
      </w:r>
      <w:r>
        <w:rPr>
          <w:rFonts w:ascii="Times New Roman" w:hAnsi="Times New Roman"/>
          <w:noProof/>
          <w:spacing w:val="-4"/>
          <w:sz w:val="24"/>
        </w:rPr>
        <w:t xml:space="preserve">. </w:t>
      </w:r>
    </w:p>
    <w:p w:rsidR="00BA64F9" w:rsidRDefault="001F41ED">
      <w:pPr>
        <w:spacing w:after="240" w:line="240" w:lineRule="auto"/>
        <w:jc w:val="both"/>
        <w:rPr>
          <w:rFonts w:ascii="Times New Roman" w:eastAsia="Times New Roman" w:hAnsi="Times New Roman" w:cs="Times New Roman"/>
          <w:noProof/>
          <w:spacing w:val="-4"/>
          <w:sz w:val="24"/>
          <w:szCs w:val="24"/>
        </w:rPr>
      </w:pPr>
      <w:r>
        <w:rPr>
          <w:rFonts w:ascii="Times New Roman" w:hAnsi="Times New Roman"/>
          <w:noProof/>
          <w:spacing w:val="-4"/>
          <w:sz w:val="24"/>
        </w:rPr>
        <w:t xml:space="preserve">На второ място, Комисията предприе действия за </w:t>
      </w:r>
      <w:r>
        <w:rPr>
          <w:rFonts w:ascii="Times New Roman" w:hAnsi="Times New Roman"/>
          <w:b/>
          <w:noProof/>
          <w:spacing w:val="-4"/>
          <w:sz w:val="24"/>
        </w:rPr>
        <w:t>отстраняване на пропу</w:t>
      </w:r>
      <w:r>
        <w:rPr>
          <w:rFonts w:ascii="Times New Roman" w:hAnsi="Times New Roman"/>
          <w:b/>
          <w:noProof/>
          <w:spacing w:val="-4"/>
          <w:sz w:val="24"/>
        </w:rPr>
        <w:t>ските в архитектурата на ЕС за управление на данните</w:t>
      </w:r>
      <w:r>
        <w:rPr>
          <w:rFonts w:ascii="Times New Roman" w:hAnsi="Times New Roman"/>
          <w:noProof/>
          <w:spacing w:val="-4"/>
          <w:sz w:val="24"/>
        </w:rPr>
        <w:t>. В допълнение към работата по системата на ЕС за влизане/излизане и по системата на ЕС за информация за пътуванията и разрешаването им (ETIAS), посочени по-горе, Комисията представи през юни 2017 г. допъ</w:t>
      </w:r>
      <w:r>
        <w:rPr>
          <w:rFonts w:ascii="Times New Roman" w:hAnsi="Times New Roman"/>
          <w:noProof/>
          <w:spacing w:val="-4"/>
          <w:sz w:val="24"/>
        </w:rPr>
        <w:t>лнително законодателно предложение</w:t>
      </w:r>
      <w:r>
        <w:rPr>
          <w:rFonts w:ascii="Times New Roman" w:hAnsi="Times New Roman"/>
          <w:noProof/>
          <w:spacing w:val="-4"/>
          <w:sz w:val="24"/>
          <w:vertAlign w:val="superscript"/>
        </w:rPr>
        <w:footnoteReference w:id="14"/>
      </w:r>
      <w:r>
        <w:rPr>
          <w:rFonts w:ascii="Times New Roman" w:hAnsi="Times New Roman"/>
          <w:noProof/>
          <w:spacing w:val="-4"/>
          <w:sz w:val="24"/>
        </w:rPr>
        <w:t xml:space="preserve"> за улесняване на обмена на данни от регистрите за съдимост на граждани на трети държави в ЕС чрез Европейската </w:t>
      </w:r>
      <w:r>
        <w:rPr>
          <w:rFonts w:ascii="Times New Roman" w:hAnsi="Times New Roman"/>
          <w:noProof/>
          <w:spacing w:val="-4"/>
          <w:sz w:val="24"/>
        </w:rPr>
        <w:lastRenderedPageBreak/>
        <w:t>информационна система за съдимост (ECRIS)</w:t>
      </w:r>
      <w:r>
        <w:rPr>
          <w:rFonts w:ascii="Times New Roman" w:hAnsi="Times New Roman"/>
          <w:noProof/>
          <w:spacing w:val="-4"/>
          <w:sz w:val="24"/>
          <w:vertAlign w:val="superscript"/>
        </w:rPr>
        <w:footnoteReference w:id="15"/>
      </w:r>
      <w:r>
        <w:rPr>
          <w:rFonts w:ascii="Times New Roman" w:hAnsi="Times New Roman"/>
          <w:noProof/>
          <w:spacing w:val="-4"/>
          <w:sz w:val="24"/>
        </w:rPr>
        <w:t>. Системата ще помогне за идентифицирането на осъдени граждани на т</w:t>
      </w:r>
      <w:r>
        <w:rPr>
          <w:rFonts w:ascii="Times New Roman" w:hAnsi="Times New Roman"/>
          <w:noProof/>
          <w:spacing w:val="-4"/>
          <w:sz w:val="24"/>
        </w:rPr>
        <w:t xml:space="preserve">рети държави и за посочването на държавите членки, които имат информация за тях. Чрез предлаганите мерки ще бъдат отстранени значими пропуски, свързани с информацията, и затова Комисията призовава съзаконодателите да постигнат бърз напредък по съответните </w:t>
      </w:r>
      <w:r>
        <w:rPr>
          <w:rFonts w:ascii="Times New Roman" w:hAnsi="Times New Roman"/>
          <w:noProof/>
          <w:spacing w:val="-4"/>
          <w:sz w:val="24"/>
        </w:rPr>
        <w:t>законодателни предложения.</w:t>
      </w:r>
    </w:p>
    <w:p w:rsidR="00BA64F9" w:rsidRDefault="001F41ED">
      <w:pPr>
        <w:spacing w:after="240" w:line="240" w:lineRule="auto"/>
        <w:jc w:val="both"/>
        <w:rPr>
          <w:rFonts w:ascii="Times New Roman" w:eastAsia="Times New Roman" w:hAnsi="Times New Roman" w:cs="Times New Roman"/>
          <w:noProof/>
          <w:spacing w:val="-4"/>
          <w:sz w:val="24"/>
          <w:szCs w:val="24"/>
        </w:rPr>
      </w:pPr>
      <w:r>
        <w:rPr>
          <w:rFonts w:ascii="Times New Roman" w:hAnsi="Times New Roman"/>
          <w:noProof/>
          <w:spacing w:val="-4"/>
          <w:sz w:val="24"/>
        </w:rPr>
        <w:t xml:space="preserve">На трето място, за да се гарантира, че граничните служители и правоприлагащите органи разполагат с необходимата информация, Комисията работи за постигането на </w:t>
      </w:r>
      <w:r>
        <w:rPr>
          <w:rFonts w:ascii="Times New Roman" w:hAnsi="Times New Roman"/>
          <w:b/>
          <w:noProof/>
          <w:spacing w:val="-4"/>
          <w:sz w:val="24"/>
        </w:rPr>
        <w:t>оперативна съвместимост на информационните системи</w:t>
      </w:r>
      <w:r>
        <w:rPr>
          <w:rFonts w:ascii="Times New Roman" w:hAnsi="Times New Roman"/>
          <w:noProof/>
          <w:spacing w:val="-4"/>
          <w:sz w:val="24"/>
        </w:rPr>
        <w:t>. Въз основа на конс</w:t>
      </w:r>
      <w:r>
        <w:rPr>
          <w:rFonts w:ascii="Times New Roman" w:hAnsi="Times New Roman"/>
          <w:noProof/>
          <w:spacing w:val="-4"/>
          <w:sz w:val="24"/>
        </w:rPr>
        <w:t>татациите на експертна група на високо равнище Комисията изготви през май 2017 г.</w:t>
      </w:r>
      <w:r>
        <w:rPr>
          <w:rFonts w:ascii="Times New Roman" w:hAnsi="Times New Roman"/>
          <w:noProof/>
          <w:spacing w:val="-4"/>
          <w:sz w:val="24"/>
          <w:vertAlign w:val="superscript"/>
        </w:rPr>
        <w:footnoteReference w:id="16"/>
      </w:r>
      <w:r>
        <w:rPr>
          <w:rFonts w:ascii="Times New Roman" w:hAnsi="Times New Roman"/>
          <w:noProof/>
          <w:spacing w:val="-4"/>
          <w:sz w:val="24"/>
        </w:rPr>
        <w:t xml:space="preserve"> нов подход за управление на данните за границите и сигурността, при който всички централизирани информационни системи на ЕС за сигурност, управление на границите и управлени</w:t>
      </w:r>
      <w:r>
        <w:rPr>
          <w:rFonts w:ascii="Times New Roman" w:hAnsi="Times New Roman"/>
          <w:noProof/>
          <w:spacing w:val="-4"/>
          <w:sz w:val="24"/>
        </w:rPr>
        <w:t>е на миграцията са съвместими, при пълно зачитане на основните права. Целта е по-бързо предоставяне на необходимата информация на полицейските служители на първа линия, граничните служители и имиграционните служители и премахване на т.нар. „слепи зони“, пр</w:t>
      </w:r>
      <w:r>
        <w:rPr>
          <w:rFonts w:ascii="Times New Roman" w:hAnsi="Times New Roman"/>
          <w:noProof/>
          <w:spacing w:val="-4"/>
          <w:sz w:val="24"/>
        </w:rPr>
        <w:t>и които е възможно заподозрени терористи да бъдат регистрирани в различни, несвързани бази данни под различни псевдоними. Като част от тази работа Комисията представи през юни 2017 г. законодателно предложение</w:t>
      </w:r>
      <w:r>
        <w:rPr>
          <w:rFonts w:ascii="Times New Roman" w:hAnsi="Times New Roman"/>
          <w:noProof/>
          <w:spacing w:val="-4"/>
          <w:sz w:val="24"/>
          <w:vertAlign w:val="superscript"/>
        </w:rPr>
        <w:footnoteReference w:id="17"/>
      </w:r>
      <w:r>
        <w:rPr>
          <w:rFonts w:ascii="Times New Roman" w:hAnsi="Times New Roman"/>
          <w:noProof/>
          <w:spacing w:val="-4"/>
          <w:sz w:val="24"/>
        </w:rPr>
        <w:t xml:space="preserve"> за засилване на мандата на eu-LISA</w:t>
      </w:r>
      <w:r>
        <w:rPr>
          <w:rFonts w:ascii="Times New Roman" w:hAnsi="Times New Roman"/>
          <w:noProof/>
          <w:spacing w:val="-4"/>
          <w:sz w:val="24"/>
          <w:vertAlign w:val="superscript"/>
        </w:rPr>
        <w:footnoteReference w:id="18"/>
      </w:r>
      <w:r>
        <w:rPr>
          <w:rFonts w:ascii="Times New Roman" w:hAnsi="Times New Roman"/>
          <w:noProof/>
          <w:spacing w:val="-4"/>
          <w:sz w:val="24"/>
        </w:rPr>
        <w:t>, за да мо</w:t>
      </w:r>
      <w:r>
        <w:rPr>
          <w:rFonts w:ascii="Times New Roman" w:hAnsi="Times New Roman"/>
          <w:noProof/>
          <w:spacing w:val="-4"/>
          <w:sz w:val="24"/>
        </w:rPr>
        <w:t xml:space="preserve">же агенцията да осигури техническото прилагане на новия подход. </w:t>
      </w:r>
    </w:p>
    <w:p w:rsidR="00BA64F9" w:rsidRDefault="001F41ED">
      <w:pPr>
        <w:spacing w:after="240" w:line="240" w:lineRule="auto"/>
        <w:jc w:val="both"/>
        <w:rPr>
          <w:rFonts w:ascii="Times New Roman" w:eastAsia="Times New Roman" w:hAnsi="Times New Roman" w:cs="Times New Roman"/>
          <w:noProof/>
          <w:spacing w:val="-6"/>
          <w:sz w:val="24"/>
          <w:szCs w:val="24"/>
        </w:rPr>
      </w:pPr>
      <w:r>
        <w:rPr>
          <w:rFonts w:ascii="Times New Roman" w:hAnsi="Times New Roman"/>
          <w:noProof/>
          <w:spacing w:val="-6"/>
          <w:sz w:val="24"/>
        </w:rPr>
        <w:t xml:space="preserve">През последната година централната роля на </w:t>
      </w:r>
      <w:r>
        <w:rPr>
          <w:rFonts w:ascii="Times New Roman" w:hAnsi="Times New Roman"/>
          <w:b/>
          <w:noProof/>
          <w:spacing w:val="-6"/>
          <w:sz w:val="24"/>
        </w:rPr>
        <w:t>Европол</w:t>
      </w:r>
      <w:r>
        <w:rPr>
          <w:rFonts w:ascii="Times New Roman" w:hAnsi="Times New Roman"/>
          <w:noProof/>
          <w:spacing w:val="-6"/>
          <w:sz w:val="24"/>
        </w:rPr>
        <w:t xml:space="preserve"> нарасна още повече, в резултат на което правоприлагащата агенция се превърна в истински център на ЕС за обмен на информация за тежки трансгр</w:t>
      </w:r>
      <w:r>
        <w:rPr>
          <w:rFonts w:ascii="Times New Roman" w:hAnsi="Times New Roman"/>
          <w:noProof/>
          <w:spacing w:val="-6"/>
          <w:sz w:val="24"/>
        </w:rPr>
        <w:t>анични престъпления и тероризъм.</w:t>
      </w:r>
      <w:r>
        <w:rPr>
          <w:rFonts w:ascii="Times New Roman" w:hAnsi="Times New Roman"/>
          <w:noProof/>
          <w:spacing w:val="-6"/>
          <w:sz w:val="24"/>
          <w:vertAlign w:val="superscript"/>
        </w:rPr>
        <w:footnoteReference w:id="19"/>
      </w:r>
      <w:r>
        <w:rPr>
          <w:rFonts w:ascii="Times New Roman" w:hAnsi="Times New Roman"/>
          <w:noProof/>
          <w:spacing w:val="-6"/>
          <w:sz w:val="24"/>
        </w:rPr>
        <w:t>Новият регламент за Европол</w:t>
      </w:r>
      <w:r>
        <w:rPr>
          <w:rFonts w:ascii="Times New Roman" w:hAnsi="Times New Roman"/>
          <w:noProof/>
          <w:spacing w:val="-6"/>
          <w:sz w:val="24"/>
          <w:vertAlign w:val="superscript"/>
        </w:rPr>
        <w:footnoteReference w:id="20"/>
      </w:r>
      <w:r>
        <w:rPr>
          <w:rFonts w:ascii="Times New Roman" w:hAnsi="Times New Roman"/>
          <w:noProof/>
          <w:spacing w:val="-6"/>
          <w:sz w:val="24"/>
        </w:rPr>
        <w:t>, който влезе в сила на 1 май 2017 г., осигурява на агенцията инструментите, чрез които тя да стане по-ефективна, ефикасна и подотчетна. По-специално, новата уредба за обработка на данните засилв</w:t>
      </w:r>
      <w:r>
        <w:rPr>
          <w:rFonts w:ascii="Times New Roman" w:hAnsi="Times New Roman"/>
          <w:noProof/>
          <w:spacing w:val="-6"/>
          <w:sz w:val="24"/>
        </w:rPr>
        <w:t>а капацитета на агенцията за изготвяне на криминални анализи в услуга на държавите членки, а подсилените разпоредби за защита на данните осигуряват независим и ефективен надзор в областта на защитата на данните. Продължава работата за интегриране на базите</w:t>
      </w:r>
      <w:r>
        <w:rPr>
          <w:rFonts w:ascii="Times New Roman" w:hAnsi="Times New Roman"/>
          <w:noProof/>
          <w:spacing w:val="-6"/>
          <w:sz w:val="24"/>
        </w:rPr>
        <w:t xml:space="preserve"> данни на ЕС в областта на правоприлагането в информационната система на Европол и за установяване на оперативна съвместимост между тях. Комисията представи предложения за подобряване на достъпа на Европол до Шенгенската информационна система, за засилване</w:t>
      </w:r>
      <w:r>
        <w:rPr>
          <w:rFonts w:ascii="Times New Roman" w:hAnsi="Times New Roman"/>
          <w:noProof/>
          <w:spacing w:val="-6"/>
          <w:sz w:val="24"/>
        </w:rPr>
        <w:t xml:space="preserve"> на управлението на Европейския център за борба с тероризма и за извличане на максимална полза от сътрудничеството с международните партньори</w:t>
      </w:r>
      <w:r>
        <w:rPr>
          <w:rFonts w:ascii="Times New Roman" w:hAnsi="Times New Roman"/>
          <w:noProof/>
          <w:spacing w:val="-6"/>
          <w:sz w:val="24"/>
          <w:vertAlign w:val="superscript"/>
        </w:rPr>
        <w:footnoteReference w:id="21"/>
      </w:r>
      <w:r>
        <w:rPr>
          <w:rFonts w:ascii="Times New Roman" w:hAnsi="Times New Roman"/>
          <w:noProof/>
          <w:spacing w:val="-6"/>
          <w:sz w:val="24"/>
        </w:rPr>
        <w:t>. Комисията насърчи също така взаимодействието между правоприлагащите и разузнавателните органи</w:t>
      </w:r>
      <w:r>
        <w:rPr>
          <w:rFonts w:ascii="Times New Roman" w:hAnsi="Times New Roman"/>
          <w:noProof/>
          <w:spacing w:val="-6"/>
          <w:sz w:val="24"/>
          <w:vertAlign w:val="superscript"/>
        </w:rPr>
        <w:footnoteReference w:id="22"/>
      </w:r>
      <w:r>
        <w:rPr>
          <w:rFonts w:ascii="Times New Roman" w:hAnsi="Times New Roman"/>
          <w:noProof/>
          <w:spacing w:val="-6"/>
          <w:sz w:val="24"/>
        </w:rPr>
        <w:t>, и Европейският ц</w:t>
      </w:r>
      <w:r>
        <w:rPr>
          <w:rFonts w:ascii="Times New Roman" w:hAnsi="Times New Roman"/>
          <w:noProof/>
          <w:spacing w:val="-6"/>
          <w:sz w:val="24"/>
        </w:rPr>
        <w:t xml:space="preserve">ентър за борба с тероризма установи контакти с </w:t>
      </w:r>
      <w:r>
        <w:rPr>
          <w:rFonts w:ascii="Times New Roman" w:hAnsi="Times New Roman"/>
          <w:noProof/>
          <w:spacing w:val="-6"/>
          <w:sz w:val="24"/>
        </w:rPr>
        <w:lastRenderedPageBreak/>
        <w:t>Групата за борба с тероризма</w:t>
      </w:r>
      <w:r>
        <w:rPr>
          <w:rFonts w:ascii="Times New Roman" w:hAnsi="Times New Roman"/>
          <w:noProof/>
          <w:spacing w:val="-6"/>
          <w:sz w:val="24"/>
          <w:vertAlign w:val="superscript"/>
        </w:rPr>
        <w:footnoteReference w:id="23"/>
      </w:r>
      <w:r>
        <w:rPr>
          <w:rFonts w:ascii="Times New Roman" w:hAnsi="Times New Roman"/>
          <w:noProof/>
          <w:spacing w:val="-6"/>
          <w:sz w:val="24"/>
        </w:rPr>
        <w:t xml:space="preserve">. Въз основа на задълбочена оценка на нуждите Европол получи 18 допълнителни щатни места, за да може да изпълнява новите си задачи през периода от 2017 г. до 2020 г., а от бюджета </w:t>
      </w:r>
      <w:r>
        <w:rPr>
          <w:rFonts w:ascii="Times New Roman" w:hAnsi="Times New Roman"/>
          <w:noProof/>
          <w:spacing w:val="-6"/>
          <w:sz w:val="24"/>
        </w:rPr>
        <w:t>на ЕС за 2017 г. бяха отпуснати още 31 щатни места, за да може агенцията да работи денонощно и да разполага с капацитет за разполагане на място. Така щатът на Европол достигна 550 места. В проекта за бюджет на ЕС за 2018 г.</w:t>
      </w:r>
      <w:r>
        <w:rPr>
          <w:rFonts w:ascii="Times New Roman" w:hAnsi="Times New Roman"/>
          <w:noProof/>
          <w:spacing w:val="-6"/>
          <w:sz w:val="24"/>
          <w:vertAlign w:val="superscript"/>
        </w:rPr>
        <w:footnoteReference w:id="24"/>
      </w:r>
      <w:r>
        <w:rPr>
          <w:rFonts w:ascii="Times New Roman" w:hAnsi="Times New Roman"/>
          <w:noProof/>
          <w:spacing w:val="-6"/>
          <w:sz w:val="24"/>
        </w:rPr>
        <w:t xml:space="preserve"> Комисията предложи Европол да б</w:t>
      </w:r>
      <w:r>
        <w:rPr>
          <w:rFonts w:ascii="Times New Roman" w:hAnsi="Times New Roman"/>
          <w:noProof/>
          <w:spacing w:val="-6"/>
          <w:sz w:val="24"/>
        </w:rPr>
        <w:t>ъде подсилена с още 16 щатни места, като целта е да се подкрепят нейните специализирани центрове</w:t>
      </w:r>
      <w:r>
        <w:rPr>
          <w:rFonts w:ascii="Times New Roman" w:hAnsi="Times New Roman"/>
          <w:noProof/>
          <w:spacing w:val="-6"/>
          <w:sz w:val="24"/>
          <w:vertAlign w:val="superscript"/>
        </w:rPr>
        <w:footnoteReference w:id="25"/>
      </w:r>
      <w:r>
        <w:rPr>
          <w:rFonts w:ascii="Times New Roman" w:hAnsi="Times New Roman"/>
          <w:noProof/>
          <w:spacing w:val="-6"/>
          <w:sz w:val="24"/>
        </w:rPr>
        <w:t>, звеното ѝ за сигнализиране за незаконно съдържание в интернет да може да оказва по-голяма помощ за премахване на онлайн съдържание, свързано с тероризъм, и д</w:t>
      </w:r>
      <w:r>
        <w:rPr>
          <w:rFonts w:ascii="Times New Roman" w:hAnsi="Times New Roman"/>
          <w:noProof/>
          <w:spacing w:val="-6"/>
          <w:sz w:val="24"/>
        </w:rPr>
        <w:t xml:space="preserve">а се увеличат усилията за борба с онлайн измамите. Европол докладва за постоянно увеличаване на данните, въвеждани в нейните бази данни. Продължава обаче да е необходимо държавите членки да участват пълноценно в Европейския център за борба с тероризма, да </w:t>
      </w:r>
      <w:r>
        <w:rPr>
          <w:rFonts w:ascii="Times New Roman" w:hAnsi="Times New Roman"/>
          <w:noProof/>
          <w:spacing w:val="-6"/>
          <w:sz w:val="24"/>
        </w:rPr>
        <w:t>предоставят цялата необходима информация на Европол за целите на изготвянето на съвместен анализ и да допринасят за оперативното сътрудничество с Европол, за да се използва целият потенциал на помощта, която агенцията може да окаже на националните органи.</w:t>
      </w:r>
    </w:p>
    <w:p w:rsidR="00BA64F9" w:rsidRDefault="001F41ED">
      <w:pPr>
        <w:spacing w:after="240" w:line="240" w:lineRule="auto"/>
        <w:jc w:val="both"/>
        <w:rPr>
          <w:rFonts w:ascii="Times New Roman" w:eastAsia="Times New Roman" w:hAnsi="Times New Roman" w:cs="Times New Roman"/>
          <w:i/>
          <w:noProof/>
          <w:sz w:val="24"/>
          <w:szCs w:val="24"/>
        </w:rPr>
      </w:pPr>
      <w:r>
        <w:rPr>
          <w:rFonts w:ascii="Times New Roman" w:hAnsi="Times New Roman"/>
          <w:i/>
          <w:noProof/>
          <w:sz w:val="24"/>
        </w:rPr>
        <w:t>3. Ограничаване на възможностите за действие на терористите</w:t>
      </w:r>
    </w:p>
    <w:p w:rsidR="00BA64F9" w:rsidRDefault="001F41ED">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i/>
          <w:noProof/>
          <w:sz w:val="24"/>
          <w:szCs w:val="20"/>
        </w:rPr>
      </w:pPr>
      <w:r>
        <w:rPr>
          <w:rFonts w:ascii="Times New Roman" w:hAnsi="Times New Roman"/>
          <w:i/>
          <w:noProof/>
          <w:sz w:val="24"/>
        </w:rPr>
        <w:t>„Ето защо Комисията определи сигурността като приоритет от самото начало. Ние квалифицирахме тероризма като престъпление, а чуждестранните бойци като престъпници в целия ЕС; взехме мерки по отноше</w:t>
      </w:r>
      <w:r>
        <w:rPr>
          <w:rFonts w:ascii="Times New Roman" w:hAnsi="Times New Roman"/>
          <w:i/>
          <w:noProof/>
          <w:sz w:val="24"/>
        </w:rPr>
        <w:t>ние на огнестрелните оръжия и финансирането на тероризма; (...).“</w:t>
      </w:r>
    </w:p>
    <w:p w:rsidR="00BA64F9" w:rsidRDefault="001F41ED">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Председателят на Комисията Жан-Клод Юнкер, реч за състоянието на Съюза, 2016 г.</w:t>
      </w:r>
    </w:p>
    <w:p w:rsidR="00BA64F9" w:rsidRDefault="001F41E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През последната година ЕС предприе допълнителни действия за ограничаване на възможностите за действие на терор</w:t>
      </w:r>
      <w:r>
        <w:rPr>
          <w:rFonts w:ascii="Times New Roman" w:hAnsi="Times New Roman"/>
          <w:noProof/>
          <w:sz w:val="24"/>
        </w:rPr>
        <w:t xml:space="preserve">истите. На 15 март 207 г. съзаконодателите приеха </w:t>
      </w:r>
      <w:r>
        <w:rPr>
          <w:rFonts w:ascii="Times New Roman" w:hAnsi="Times New Roman"/>
          <w:b/>
          <w:noProof/>
          <w:sz w:val="24"/>
        </w:rPr>
        <w:t>Директивата относно борбата с тероризма</w:t>
      </w:r>
      <w:r>
        <w:rPr>
          <w:rFonts w:ascii="Times New Roman" w:hAnsi="Times New Roman"/>
          <w:noProof/>
          <w:sz w:val="24"/>
          <w:vertAlign w:val="superscript"/>
        </w:rPr>
        <w:footnoteReference w:id="26"/>
      </w:r>
      <w:r>
        <w:rPr>
          <w:rFonts w:ascii="Times New Roman" w:hAnsi="Times New Roman"/>
          <w:noProof/>
          <w:sz w:val="24"/>
        </w:rPr>
        <w:t xml:space="preserve">, която допринася за предотвратяването на терористични нападения, криминализирайки деяния като финансирането на тероризма, получаването на обучение или пътуването за </w:t>
      </w:r>
      <w:r>
        <w:rPr>
          <w:rFonts w:ascii="Times New Roman" w:hAnsi="Times New Roman"/>
          <w:noProof/>
          <w:sz w:val="24"/>
        </w:rPr>
        <w:t>терористични цели, както и организирането или подпомагането на такива пътувания. Също така с Директивата се засилват правата на жертвите на тероризма и се предвижда набор от услуги, които да отговарят на специфичните им нужди. Държавите членки трябва да тр</w:t>
      </w:r>
      <w:r>
        <w:rPr>
          <w:rFonts w:ascii="Times New Roman" w:hAnsi="Times New Roman"/>
          <w:noProof/>
          <w:sz w:val="24"/>
        </w:rPr>
        <w:t xml:space="preserve">анспонират новите правила в националното си законодателство до 8 септември 2018 г. </w:t>
      </w:r>
    </w:p>
    <w:p w:rsidR="00BA64F9" w:rsidRDefault="001F41ED">
      <w:pPr>
        <w:spacing w:after="240" w:line="240" w:lineRule="auto"/>
        <w:jc w:val="both"/>
        <w:rPr>
          <w:rFonts w:ascii="Times New Roman" w:eastAsia="Times New Roman" w:hAnsi="Times New Roman" w:cs="Times New Roman"/>
          <w:noProof/>
          <w:spacing w:val="-6"/>
          <w:sz w:val="24"/>
          <w:szCs w:val="24"/>
        </w:rPr>
      </w:pPr>
      <w:r>
        <w:rPr>
          <w:rFonts w:ascii="Times New Roman" w:hAnsi="Times New Roman"/>
          <w:noProof/>
          <w:spacing w:val="-6"/>
          <w:sz w:val="24"/>
        </w:rPr>
        <w:t xml:space="preserve">На 17 май 2017 г. съзаконодателите приеха преразгледаната </w:t>
      </w:r>
      <w:r>
        <w:rPr>
          <w:rFonts w:ascii="Times New Roman" w:hAnsi="Times New Roman"/>
          <w:b/>
          <w:noProof/>
          <w:spacing w:val="-6"/>
          <w:sz w:val="24"/>
        </w:rPr>
        <w:t>Директива за огнестрелните оръжия</w:t>
      </w:r>
      <w:r>
        <w:rPr>
          <w:rFonts w:ascii="Times New Roman" w:hAnsi="Times New Roman"/>
          <w:noProof/>
          <w:spacing w:val="-6"/>
          <w:sz w:val="24"/>
          <w:vertAlign w:val="superscript"/>
        </w:rPr>
        <w:footnoteReference w:id="27"/>
      </w:r>
      <w:r>
        <w:rPr>
          <w:rFonts w:ascii="Times New Roman" w:hAnsi="Times New Roman"/>
          <w:noProof/>
          <w:spacing w:val="-6"/>
          <w:sz w:val="24"/>
        </w:rPr>
        <w:t xml:space="preserve"> във връзка с контрола върху придобиването и притежаването на оръжия. С предложе</w:t>
      </w:r>
      <w:r>
        <w:rPr>
          <w:rFonts w:ascii="Times New Roman" w:hAnsi="Times New Roman"/>
          <w:noProof/>
          <w:spacing w:val="-6"/>
          <w:sz w:val="24"/>
        </w:rPr>
        <w:t>нието значително се удължава списъкът на забранените оръжия, като се забранява широкото разпространение на най-опасните оръжия. Държавите членки трябва да въведат до 14 септември 2018 г. изисквания контрол върху придобиването и притежаването на огнестрелни</w:t>
      </w:r>
      <w:r>
        <w:rPr>
          <w:rFonts w:ascii="Times New Roman" w:hAnsi="Times New Roman"/>
          <w:noProof/>
          <w:spacing w:val="-6"/>
          <w:sz w:val="24"/>
        </w:rPr>
        <w:t xml:space="preserve"> оръжия, за да се гарантира, че престъпните групировки и терористите не могат да се възползват от разпокъсаността на правилата в Съюза. Успоредно с това продължиха </w:t>
      </w:r>
      <w:r>
        <w:rPr>
          <w:rFonts w:ascii="Times New Roman" w:hAnsi="Times New Roman"/>
          <w:noProof/>
          <w:spacing w:val="-6"/>
          <w:sz w:val="24"/>
        </w:rPr>
        <w:lastRenderedPageBreak/>
        <w:t>усилията за преустановяване на предлагането на незаконни оръжия за извършителите на престъпл</w:t>
      </w:r>
      <w:r>
        <w:rPr>
          <w:rFonts w:ascii="Times New Roman" w:hAnsi="Times New Roman"/>
          <w:noProof/>
          <w:spacing w:val="-6"/>
          <w:sz w:val="24"/>
        </w:rPr>
        <w:t>ения и терористите. В съответствие с призив на Комисията</w:t>
      </w:r>
      <w:r>
        <w:rPr>
          <w:rFonts w:ascii="Times New Roman" w:hAnsi="Times New Roman"/>
          <w:noProof/>
          <w:spacing w:val="-6"/>
          <w:sz w:val="24"/>
          <w:vertAlign w:val="superscript"/>
        </w:rPr>
        <w:footnoteReference w:id="28"/>
      </w:r>
      <w:r>
        <w:rPr>
          <w:rFonts w:ascii="Times New Roman" w:hAnsi="Times New Roman"/>
          <w:noProof/>
          <w:spacing w:val="-6"/>
          <w:sz w:val="24"/>
        </w:rPr>
        <w:t xml:space="preserve"> Съветът заключи на 18 май 2017 г., че </w:t>
      </w:r>
      <w:r>
        <w:rPr>
          <w:rFonts w:ascii="Times New Roman" w:hAnsi="Times New Roman"/>
          <w:b/>
          <w:noProof/>
          <w:spacing w:val="-6"/>
          <w:sz w:val="24"/>
        </w:rPr>
        <w:t>трафикът на незаконни огнестрелни оръжия</w:t>
      </w:r>
      <w:r>
        <w:rPr>
          <w:rFonts w:ascii="Times New Roman" w:hAnsi="Times New Roman"/>
          <w:noProof/>
          <w:spacing w:val="-6"/>
          <w:sz w:val="24"/>
        </w:rPr>
        <w:t xml:space="preserve"> се запазва като приоритет на ЕС в борбата с тежката и организираната престъпност през следващите четири години</w:t>
      </w:r>
      <w:r>
        <w:rPr>
          <w:rFonts w:ascii="Times New Roman" w:hAnsi="Times New Roman"/>
          <w:noProof/>
          <w:spacing w:val="-6"/>
          <w:sz w:val="24"/>
          <w:vertAlign w:val="superscript"/>
        </w:rPr>
        <w:footnoteReference w:id="29"/>
      </w:r>
      <w:r>
        <w:rPr>
          <w:rFonts w:ascii="Times New Roman" w:hAnsi="Times New Roman"/>
          <w:noProof/>
          <w:spacing w:val="-6"/>
          <w:sz w:val="24"/>
        </w:rPr>
        <w:t>. Също т</w:t>
      </w:r>
      <w:r>
        <w:rPr>
          <w:rFonts w:ascii="Times New Roman" w:hAnsi="Times New Roman"/>
          <w:noProof/>
          <w:spacing w:val="-6"/>
          <w:sz w:val="24"/>
        </w:rPr>
        <w:t>ака Комисията продължи да изпълнява плана за действие от декември 2015 г. за борба с незаконния трафик и използването на огнестрелни оръжия и взривни вещества</w:t>
      </w:r>
      <w:r>
        <w:rPr>
          <w:rFonts w:ascii="Times New Roman" w:hAnsi="Times New Roman"/>
          <w:noProof/>
          <w:spacing w:val="-6"/>
          <w:sz w:val="24"/>
          <w:vertAlign w:val="superscript"/>
        </w:rPr>
        <w:footnoteReference w:id="30"/>
      </w:r>
      <w:r>
        <w:rPr>
          <w:rFonts w:ascii="Times New Roman" w:hAnsi="Times New Roman"/>
          <w:noProof/>
          <w:spacing w:val="-6"/>
          <w:sz w:val="24"/>
        </w:rPr>
        <w:t>. В съответствие с изявлението</w:t>
      </w:r>
      <w:r>
        <w:rPr>
          <w:rFonts w:ascii="Times New Roman" w:hAnsi="Times New Roman"/>
          <w:noProof/>
          <w:spacing w:val="-6"/>
          <w:sz w:val="24"/>
          <w:vertAlign w:val="superscript"/>
        </w:rPr>
        <w:footnoteReference w:id="31"/>
      </w:r>
      <w:r>
        <w:rPr>
          <w:rFonts w:ascii="Times New Roman" w:hAnsi="Times New Roman"/>
          <w:noProof/>
          <w:spacing w:val="-6"/>
          <w:sz w:val="24"/>
        </w:rPr>
        <w:t xml:space="preserve"> за засилване на борбата с незаконния трафик на огнестрелни оръжия</w:t>
      </w:r>
      <w:r>
        <w:rPr>
          <w:rFonts w:ascii="Times New Roman" w:hAnsi="Times New Roman"/>
          <w:noProof/>
          <w:spacing w:val="-6"/>
          <w:sz w:val="24"/>
        </w:rPr>
        <w:t xml:space="preserve"> и боеприпаси на Западните Балкани, което беше договорено на министерския форум ЕС-Западни Балкани по въпросите на правосъдието и вътрешните работи на 16 декември 2016 г., понастоящем Европол подготвя разполагането на свои служители в Албания, Босна и Херц</w:t>
      </w:r>
      <w:r>
        <w:rPr>
          <w:rFonts w:ascii="Times New Roman" w:hAnsi="Times New Roman"/>
          <w:noProof/>
          <w:spacing w:val="-6"/>
          <w:sz w:val="24"/>
        </w:rPr>
        <w:t>еговина и Сърбия.</w:t>
      </w:r>
    </w:p>
    <w:p w:rsidR="00BA64F9" w:rsidRDefault="001F41ED">
      <w:pPr>
        <w:spacing w:after="240" w:line="240" w:lineRule="auto"/>
        <w:jc w:val="both"/>
        <w:rPr>
          <w:rFonts w:ascii="Times New Roman" w:eastAsia="Times New Roman" w:hAnsi="Times New Roman" w:cs="Times New Roman"/>
          <w:noProof/>
          <w:spacing w:val="-6"/>
          <w:sz w:val="24"/>
          <w:szCs w:val="24"/>
        </w:rPr>
      </w:pPr>
      <w:r>
        <w:rPr>
          <w:rFonts w:ascii="Times New Roman" w:hAnsi="Times New Roman"/>
          <w:noProof/>
          <w:spacing w:val="-6"/>
          <w:sz w:val="24"/>
        </w:rPr>
        <w:t>На 30 май 2017 г. Комисията стартира преразглеждането на Регламента на ЕС относно прекурсорите на взривни вещества</w:t>
      </w:r>
      <w:r>
        <w:rPr>
          <w:rFonts w:ascii="Times New Roman" w:hAnsi="Times New Roman"/>
          <w:noProof/>
          <w:spacing w:val="-6"/>
          <w:sz w:val="24"/>
          <w:vertAlign w:val="superscript"/>
        </w:rPr>
        <w:footnoteReference w:id="32"/>
      </w:r>
      <w:r>
        <w:rPr>
          <w:rFonts w:ascii="Times New Roman" w:hAnsi="Times New Roman"/>
          <w:noProof/>
          <w:spacing w:val="-6"/>
          <w:sz w:val="24"/>
        </w:rPr>
        <w:t xml:space="preserve"> в опит да засили ограниченията и контрола, прилагани по отношение на химическите вещества, които могат да се използват за производството на </w:t>
      </w:r>
      <w:r>
        <w:rPr>
          <w:rFonts w:ascii="Times New Roman" w:hAnsi="Times New Roman"/>
          <w:b/>
          <w:noProof/>
          <w:spacing w:val="-6"/>
          <w:sz w:val="24"/>
        </w:rPr>
        <w:t>взривни вещества в домашни условия</w:t>
      </w:r>
      <w:r>
        <w:rPr>
          <w:rFonts w:ascii="Times New Roman" w:hAnsi="Times New Roman"/>
          <w:noProof/>
          <w:spacing w:val="-6"/>
          <w:sz w:val="24"/>
        </w:rPr>
        <w:t>. В момента тече поредица от регионални семинари с участието на органи на държави</w:t>
      </w:r>
      <w:r>
        <w:rPr>
          <w:rFonts w:ascii="Times New Roman" w:hAnsi="Times New Roman"/>
          <w:noProof/>
          <w:spacing w:val="-6"/>
          <w:sz w:val="24"/>
        </w:rPr>
        <w:t>те членки, чиято цел е да се подобри изпълнението на национално равнище и да се осигури необходимият обмен на информация.</w:t>
      </w:r>
    </w:p>
    <w:p w:rsidR="00BA64F9" w:rsidRDefault="001F41ED">
      <w:pPr>
        <w:spacing w:after="240" w:line="240" w:lineRule="auto"/>
        <w:jc w:val="both"/>
        <w:rPr>
          <w:rFonts w:ascii="Times New Roman" w:hAnsi="Times New Roman" w:cs="Times New Roman"/>
          <w:noProof/>
          <w:spacing w:val="-4"/>
          <w:sz w:val="24"/>
          <w:szCs w:val="24"/>
        </w:rPr>
      </w:pPr>
      <w:r>
        <w:rPr>
          <w:rFonts w:ascii="Times New Roman" w:hAnsi="Times New Roman"/>
          <w:noProof/>
          <w:spacing w:val="-4"/>
          <w:sz w:val="24"/>
        </w:rPr>
        <w:t xml:space="preserve">От предишните и по-скорошните терористични нападения, например тези в Барселона и Манчестър, се вижда, че нападенията са насочени към </w:t>
      </w:r>
      <w:r>
        <w:rPr>
          <w:rFonts w:ascii="Times New Roman" w:hAnsi="Times New Roman"/>
          <w:b/>
          <w:noProof/>
          <w:spacing w:val="-4"/>
          <w:sz w:val="24"/>
        </w:rPr>
        <w:t>лесни мишени</w:t>
      </w:r>
      <w:r>
        <w:rPr>
          <w:rFonts w:ascii="Times New Roman" w:hAnsi="Times New Roman"/>
          <w:noProof/>
          <w:spacing w:val="-4"/>
          <w:sz w:val="24"/>
        </w:rPr>
        <w:t>, които са публични места като училища, хотели, плажове, търговски центрове, културни и спортни мероприятия, места с голямо струпване на хора и транспортни възли. Комисията увеличи усилията си в тази област, за да може да осигури форум за обмен</w:t>
      </w:r>
      <w:r>
        <w:rPr>
          <w:rFonts w:ascii="Times New Roman" w:hAnsi="Times New Roman"/>
          <w:noProof/>
          <w:spacing w:val="-4"/>
          <w:sz w:val="24"/>
        </w:rPr>
        <w:t xml:space="preserve"> на информация и най-добри практики между държавите членки. На 6 и 7 февруари 2017 г. беше организиран първият семинар на ЕС относно защитата на лесните мишени, на който бяха договорени няколко аспекта на политиката и действия с държавите членки. Също така</w:t>
      </w:r>
      <w:r>
        <w:rPr>
          <w:rFonts w:ascii="Times New Roman" w:hAnsi="Times New Roman"/>
          <w:noProof/>
          <w:spacing w:val="-4"/>
          <w:sz w:val="24"/>
        </w:rPr>
        <w:t xml:space="preserve"> Комисията създаде платформа, чрез която държавите членки могат да обменят документи, материали с насоки и контролен списък на уязвимите места в контекста на защитата на лесните мишени. На 29 юни 2017 г. се състоя финансирано от Комисията учение във връзка</w:t>
      </w:r>
      <w:r>
        <w:rPr>
          <w:rFonts w:ascii="Times New Roman" w:hAnsi="Times New Roman"/>
          <w:noProof/>
          <w:spacing w:val="-4"/>
          <w:sz w:val="24"/>
        </w:rPr>
        <w:t xml:space="preserve"> с кризисна ситуация с лесни мишени, в което участваха Белгия и Нидерландия и на което бяха изпитани различни подходи към защитата на лесните мишени.</w:t>
      </w:r>
    </w:p>
    <w:p w:rsidR="00BA64F9" w:rsidRDefault="001F41ED">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В областта на сигурността на транспорта ЕС разработи обща процедура за оценка на риска, чиято цел е да се </w:t>
      </w:r>
      <w:r>
        <w:rPr>
          <w:rFonts w:ascii="Times New Roman" w:hAnsi="Times New Roman"/>
          <w:noProof/>
          <w:sz w:val="24"/>
        </w:rPr>
        <w:t>повиши сигурността на гражданските полети, прелитащи над зони на конфликти, както и на товарните и гражданските полети от трети държави. Що се отнася до товарните и гражданските полети от трети държави, общата процедура ще бъде съпътствана от усилия за изг</w:t>
      </w:r>
      <w:r>
        <w:rPr>
          <w:rFonts w:ascii="Times New Roman" w:hAnsi="Times New Roman"/>
          <w:noProof/>
          <w:sz w:val="24"/>
        </w:rPr>
        <w:t xml:space="preserve">раждане на капацитет в третите държави. </w:t>
      </w:r>
    </w:p>
    <w:p w:rsidR="00BA64F9" w:rsidRDefault="001F41ED">
      <w:pPr>
        <w:spacing w:after="240" w:line="240" w:lineRule="auto"/>
        <w:jc w:val="both"/>
        <w:rPr>
          <w:rFonts w:ascii="Times New Roman" w:eastAsia="Times New Roman" w:hAnsi="Times New Roman" w:cs="Times New Roman"/>
          <w:noProof/>
          <w:spacing w:val="-4"/>
          <w:sz w:val="24"/>
          <w:szCs w:val="24"/>
        </w:rPr>
      </w:pPr>
      <w:r>
        <w:rPr>
          <w:rFonts w:ascii="Times New Roman" w:hAnsi="Times New Roman"/>
          <w:noProof/>
          <w:spacing w:val="-4"/>
          <w:sz w:val="24"/>
        </w:rPr>
        <w:t xml:space="preserve">През последната година продължи работата по </w:t>
      </w:r>
      <w:r>
        <w:rPr>
          <w:rFonts w:ascii="Times New Roman" w:hAnsi="Times New Roman"/>
          <w:b/>
          <w:noProof/>
          <w:spacing w:val="-4"/>
          <w:sz w:val="24"/>
        </w:rPr>
        <w:t>разкриване и предотвратяване на финансирането на терористични действия</w:t>
      </w:r>
      <w:r>
        <w:rPr>
          <w:rFonts w:ascii="Times New Roman" w:hAnsi="Times New Roman"/>
          <w:noProof/>
          <w:spacing w:val="-4"/>
          <w:sz w:val="24"/>
        </w:rPr>
        <w:t xml:space="preserve"> в контекста на плана за действие за борба с финансирането на тероризма</w:t>
      </w:r>
      <w:r>
        <w:rPr>
          <w:rFonts w:ascii="Times New Roman" w:hAnsi="Times New Roman"/>
          <w:noProof/>
          <w:spacing w:val="-4"/>
          <w:sz w:val="24"/>
          <w:vertAlign w:val="superscript"/>
        </w:rPr>
        <w:footnoteReference w:id="33"/>
      </w:r>
      <w:r>
        <w:rPr>
          <w:rFonts w:ascii="Times New Roman" w:hAnsi="Times New Roman"/>
          <w:noProof/>
          <w:spacing w:val="-4"/>
          <w:sz w:val="24"/>
        </w:rPr>
        <w:t>, най-вече въз основа на зако</w:t>
      </w:r>
      <w:r>
        <w:rPr>
          <w:rFonts w:ascii="Times New Roman" w:hAnsi="Times New Roman"/>
          <w:noProof/>
          <w:spacing w:val="-4"/>
          <w:sz w:val="24"/>
        </w:rPr>
        <w:t xml:space="preserve">нодателни предложения, </w:t>
      </w:r>
      <w:r>
        <w:rPr>
          <w:rFonts w:ascii="Times New Roman" w:hAnsi="Times New Roman"/>
          <w:noProof/>
          <w:spacing w:val="-4"/>
          <w:sz w:val="24"/>
        </w:rPr>
        <w:lastRenderedPageBreak/>
        <w:t>представени от Комисията</w:t>
      </w:r>
      <w:r>
        <w:rPr>
          <w:rFonts w:ascii="Times New Roman" w:hAnsi="Times New Roman"/>
          <w:noProof/>
          <w:spacing w:val="-4"/>
          <w:sz w:val="24"/>
          <w:vertAlign w:val="superscript"/>
        </w:rPr>
        <w:footnoteReference w:id="34"/>
      </w:r>
      <w:r>
        <w:rPr>
          <w:rFonts w:ascii="Times New Roman" w:hAnsi="Times New Roman"/>
          <w:noProof/>
          <w:spacing w:val="-4"/>
          <w:sz w:val="24"/>
        </w:rPr>
        <w:t>. През декември 2016 г.</w:t>
      </w:r>
      <w:r>
        <w:rPr>
          <w:rFonts w:ascii="Times New Roman" w:hAnsi="Times New Roman"/>
          <w:noProof/>
          <w:spacing w:val="-4"/>
          <w:sz w:val="24"/>
          <w:vertAlign w:val="superscript"/>
        </w:rPr>
        <w:footnoteReference w:id="35"/>
      </w:r>
      <w:r>
        <w:rPr>
          <w:rFonts w:ascii="Times New Roman" w:hAnsi="Times New Roman"/>
          <w:noProof/>
          <w:spacing w:val="-4"/>
          <w:sz w:val="24"/>
        </w:rPr>
        <w:t xml:space="preserve"> Комисията представи три законодателни предложения за завършване и укрепване на нормативната уредба на ЕС в областите на изпирането на пари</w:t>
      </w:r>
      <w:r>
        <w:rPr>
          <w:rFonts w:ascii="Times New Roman" w:hAnsi="Times New Roman"/>
          <w:noProof/>
          <w:spacing w:val="-4"/>
          <w:sz w:val="24"/>
          <w:vertAlign w:val="superscript"/>
        </w:rPr>
        <w:footnoteReference w:id="36"/>
      </w:r>
      <w:r>
        <w:rPr>
          <w:rFonts w:ascii="Times New Roman" w:hAnsi="Times New Roman"/>
          <w:noProof/>
          <w:spacing w:val="-4"/>
          <w:sz w:val="24"/>
        </w:rPr>
        <w:t>, незаконните парични потоци</w:t>
      </w:r>
      <w:r>
        <w:rPr>
          <w:rFonts w:ascii="Times New Roman" w:hAnsi="Times New Roman"/>
          <w:noProof/>
          <w:spacing w:val="-4"/>
          <w:sz w:val="24"/>
          <w:vertAlign w:val="superscript"/>
        </w:rPr>
        <w:footnoteReference w:id="37"/>
      </w:r>
      <w:r>
        <w:rPr>
          <w:rFonts w:ascii="Times New Roman" w:hAnsi="Times New Roman"/>
          <w:noProof/>
          <w:spacing w:val="-4"/>
          <w:sz w:val="24"/>
        </w:rPr>
        <w:t xml:space="preserve"> и обезпечаване</w:t>
      </w:r>
      <w:r>
        <w:rPr>
          <w:rFonts w:ascii="Times New Roman" w:hAnsi="Times New Roman"/>
          <w:noProof/>
          <w:spacing w:val="-4"/>
          <w:sz w:val="24"/>
        </w:rPr>
        <w:t>то и конфискацията на активи</w:t>
      </w:r>
      <w:r>
        <w:rPr>
          <w:rFonts w:ascii="Times New Roman" w:hAnsi="Times New Roman"/>
          <w:noProof/>
          <w:spacing w:val="-4"/>
          <w:sz w:val="24"/>
          <w:vertAlign w:val="superscript"/>
        </w:rPr>
        <w:footnoteReference w:id="38"/>
      </w:r>
      <w:r>
        <w:rPr>
          <w:rFonts w:ascii="Times New Roman" w:hAnsi="Times New Roman"/>
          <w:noProof/>
          <w:spacing w:val="-4"/>
          <w:sz w:val="24"/>
        </w:rPr>
        <w:t>. Още през юли 2016 г. Комисията предложи изменение на Четвъртата директива за борба с изпирането на пари, насочено към справяне с новите начини за финансиране на тероризма (например виртуални валути, предплатени карти) и повиш</w:t>
      </w:r>
      <w:r>
        <w:rPr>
          <w:rFonts w:ascii="Times New Roman" w:hAnsi="Times New Roman"/>
          <w:noProof/>
          <w:spacing w:val="-4"/>
          <w:sz w:val="24"/>
        </w:rPr>
        <w:t>аване на прозрачността за целите на борбата с изпирането на пари</w:t>
      </w:r>
      <w:r>
        <w:rPr>
          <w:rFonts w:ascii="Times New Roman" w:hAnsi="Times New Roman"/>
          <w:noProof/>
          <w:spacing w:val="-4"/>
          <w:sz w:val="24"/>
          <w:vertAlign w:val="superscript"/>
        </w:rPr>
        <w:footnoteReference w:id="39"/>
      </w:r>
      <w:r>
        <w:rPr>
          <w:rFonts w:ascii="Times New Roman" w:hAnsi="Times New Roman"/>
          <w:noProof/>
          <w:spacing w:val="-4"/>
          <w:sz w:val="24"/>
        </w:rPr>
        <w:t>. Последното предложение, свързано с борбата с финансирането на тероризма, датира от 13 юли 2017 г. Тогава Комисията предложи регламент за предотвратяване на вноса и съхранението в ЕС на култ</w:t>
      </w:r>
      <w:r>
        <w:rPr>
          <w:rFonts w:ascii="Times New Roman" w:hAnsi="Times New Roman"/>
          <w:noProof/>
          <w:spacing w:val="-4"/>
          <w:sz w:val="24"/>
        </w:rPr>
        <w:t>урни ценности, които са били незаконно изнесени от трета държава</w:t>
      </w:r>
      <w:r>
        <w:rPr>
          <w:rFonts w:ascii="Times New Roman" w:hAnsi="Times New Roman"/>
          <w:noProof/>
          <w:spacing w:val="-4"/>
          <w:sz w:val="24"/>
          <w:vertAlign w:val="superscript"/>
        </w:rPr>
        <w:footnoteReference w:id="40"/>
      </w:r>
      <w:r>
        <w:rPr>
          <w:rFonts w:ascii="Times New Roman" w:hAnsi="Times New Roman"/>
          <w:noProof/>
          <w:spacing w:val="-4"/>
          <w:sz w:val="24"/>
        </w:rPr>
        <w:t>. Комисията призовава съзаконодателите да напреднат бързо в работата си по тези важни предложения.</w:t>
      </w:r>
    </w:p>
    <w:p w:rsidR="00BA64F9" w:rsidRDefault="001F41ED">
      <w:pPr>
        <w:spacing w:after="240" w:line="240" w:lineRule="auto"/>
        <w:jc w:val="both"/>
        <w:rPr>
          <w:rFonts w:ascii="Times New Roman" w:eastAsia="Times New Roman" w:hAnsi="Times New Roman" w:cs="Times New Roman"/>
          <w:noProof/>
          <w:spacing w:val="-2"/>
          <w:sz w:val="24"/>
          <w:szCs w:val="20"/>
        </w:rPr>
      </w:pPr>
      <w:r>
        <w:rPr>
          <w:rFonts w:ascii="Times New Roman" w:hAnsi="Times New Roman"/>
          <w:noProof/>
          <w:spacing w:val="-2"/>
          <w:sz w:val="24"/>
        </w:rPr>
        <w:t xml:space="preserve">През май 2017 г. Комисията прие препоръка относно пропорционалните </w:t>
      </w:r>
      <w:r>
        <w:rPr>
          <w:rFonts w:ascii="Times New Roman" w:hAnsi="Times New Roman"/>
          <w:b/>
          <w:noProof/>
          <w:spacing w:val="-2"/>
          <w:sz w:val="24"/>
        </w:rPr>
        <w:t xml:space="preserve">полицейски проверки и </w:t>
      </w:r>
      <w:r>
        <w:rPr>
          <w:rFonts w:ascii="Times New Roman" w:hAnsi="Times New Roman"/>
          <w:b/>
          <w:noProof/>
          <w:spacing w:val="-2"/>
          <w:sz w:val="24"/>
        </w:rPr>
        <w:t>полицейското сътрудничество в Шенгенското пространство</w:t>
      </w:r>
      <w:r>
        <w:rPr>
          <w:rFonts w:ascii="Times New Roman" w:hAnsi="Times New Roman"/>
          <w:noProof/>
          <w:spacing w:val="-2"/>
          <w:sz w:val="24"/>
          <w:vertAlign w:val="superscript"/>
        </w:rPr>
        <w:footnoteReference w:id="41"/>
      </w:r>
      <w:r>
        <w:rPr>
          <w:rFonts w:ascii="Times New Roman" w:hAnsi="Times New Roman"/>
          <w:noProof/>
          <w:spacing w:val="-2"/>
          <w:sz w:val="24"/>
        </w:rPr>
        <w:t>, съдържаща мерки, които държавите от Шенген следва да предприемат, за да осигурят по-ефективно използване на съществуващите полицейски правомощия с цел отстраняване на заплахите за обществения ред и в</w:t>
      </w:r>
      <w:r>
        <w:rPr>
          <w:rFonts w:ascii="Times New Roman" w:hAnsi="Times New Roman"/>
          <w:noProof/>
          <w:spacing w:val="-2"/>
          <w:sz w:val="24"/>
        </w:rPr>
        <w:t>ътрешната сигурност. За да подпомогне изпълнението на препоръката, Комисията организира на 10 юли 2017 г. семинар с държавите членки, който бе последван от втори семинар на 8 септември 2017 г.</w:t>
      </w:r>
    </w:p>
    <w:p w:rsidR="00BA64F9" w:rsidRDefault="001F41ED">
      <w:pPr>
        <w:spacing w:after="240" w:line="240" w:lineRule="auto"/>
        <w:jc w:val="both"/>
        <w:rPr>
          <w:rFonts w:ascii="Times New Roman" w:eastAsia="Times New Roman" w:hAnsi="Times New Roman" w:cs="Times New Roman"/>
          <w:i/>
          <w:noProof/>
          <w:sz w:val="24"/>
          <w:szCs w:val="24"/>
        </w:rPr>
      </w:pPr>
      <w:r>
        <w:rPr>
          <w:rFonts w:ascii="Times New Roman" w:hAnsi="Times New Roman"/>
          <w:i/>
          <w:noProof/>
          <w:sz w:val="24"/>
        </w:rPr>
        <w:t>4. Предотвратяване на радикализацията</w:t>
      </w:r>
    </w:p>
    <w:p w:rsidR="00BA64F9" w:rsidRDefault="001F41ED">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„Ето защо Комисията опред</w:t>
      </w:r>
      <w:r>
        <w:rPr>
          <w:rFonts w:ascii="Times New Roman" w:hAnsi="Times New Roman"/>
          <w:i/>
          <w:noProof/>
          <w:sz w:val="24"/>
        </w:rPr>
        <w:t>ели сигурността като приоритет от самото начало. (...); работихме с интернет компаниите за премахване на онлайн терористичната пропаганда и се борихме срещу радикализацията в европейските училища и затвори.“</w:t>
      </w:r>
    </w:p>
    <w:p w:rsidR="00BA64F9" w:rsidRDefault="001F41ED">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Председателят на Комисията Жан-Клод Юнкер, реч з</w:t>
      </w:r>
      <w:r>
        <w:rPr>
          <w:rFonts w:ascii="Times New Roman" w:hAnsi="Times New Roman"/>
          <w:noProof/>
          <w:sz w:val="24"/>
        </w:rPr>
        <w:t>а състоянието на Съюза, 2016 г.</w:t>
      </w:r>
    </w:p>
    <w:p w:rsidR="00BA64F9" w:rsidRDefault="001F41E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Най-ефективната политика за борба с тероризма е да се предотврати лицата да бъдат привлечени от послания за насилие и терор. През последната година Комисията увеличи подкрепата си за дейностите в тази посока, предприемани от</w:t>
      </w:r>
      <w:r>
        <w:rPr>
          <w:rFonts w:ascii="Times New Roman" w:hAnsi="Times New Roman"/>
          <w:noProof/>
          <w:sz w:val="24"/>
        </w:rPr>
        <w:t xml:space="preserve"> държавите членки на национално и местно равнище, като изпълни действията, набелязани в съобщението </w:t>
      </w:r>
      <w:r>
        <w:rPr>
          <w:rFonts w:ascii="Times New Roman" w:hAnsi="Times New Roman"/>
          <w:noProof/>
          <w:sz w:val="24"/>
        </w:rPr>
        <w:lastRenderedPageBreak/>
        <w:t>от юни 2016 г. относно подпомагането на предотвратяването на радикализацията, водеща до насилнически екстремизъм</w:t>
      </w:r>
      <w:r>
        <w:rPr>
          <w:rFonts w:ascii="Times New Roman" w:hAnsi="Times New Roman"/>
          <w:noProof/>
          <w:sz w:val="24"/>
          <w:vertAlign w:val="superscript"/>
        </w:rPr>
        <w:footnoteReference w:id="42"/>
      </w:r>
      <w:r>
        <w:rPr>
          <w:rFonts w:ascii="Times New Roman" w:hAnsi="Times New Roman"/>
          <w:noProof/>
          <w:sz w:val="24"/>
        </w:rPr>
        <w:t>.</w:t>
      </w:r>
    </w:p>
    <w:p w:rsidR="00BA64F9" w:rsidRDefault="001F41ED">
      <w:pPr>
        <w:spacing w:after="240" w:line="240" w:lineRule="auto"/>
        <w:jc w:val="both"/>
        <w:rPr>
          <w:rFonts w:ascii="Times New Roman" w:hAnsi="Times New Roman" w:cs="Times New Roman"/>
          <w:noProof/>
          <w:spacing w:val="-2"/>
          <w:sz w:val="24"/>
          <w:szCs w:val="24"/>
        </w:rPr>
      </w:pPr>
      <w:r>
        <w:rPr>
          <w:rFonts w:ascii="Times New Roman" w:hAnsi="Times New Roman"/>
          <w:noProof/>
          <w:spacing w:val="-2"/>
          <w:sz w:val="24"/>
        </w:rPr>
        <w:t xml:space="preserve">За да противодейства на </w:t>
      </w:r>
      <w:r>
        <w:rPr>
          <w:rFonts w:ascii="Times New Roman" w:hAnsi="Times New Roman"/>
          <w:b/>
          <w:noProof/>
          <w:spacing w:val="-2"/>
          <w:sz w:val="24"/>
        </w:rPr>
        <w:t>радикализацията о</w:t>
      </w:r>
      <w:r>
        <w:rPr>
          <w:rFonts w:ascii="Times New Roman" w:hAnsi="Times New Roman"/>
          <w:b/>
          <w:noProof/>
          <w:spacing w:val="-2"/>
          <w:sz w:val="24"/>
        </w:rPr>
        <w:t>нлайн</w:t>
      </w:r>
      <w:r>
        <w:rPr>
          <w:rFonts w:ascii="Times New Roman" w:hAnsi="Times New Roman"/>
          <w:noProof/>
          <w:spacing w:val="-2"/>
          <w:sz w:val="24"/>
        </w:rPr>
        <w:t>, през последната година Комисията продължи да работи с интернет платформи, за да преустанови използването на интернет от терористите и да защити потребителите на онлайн съдържание. Интернет форумът на ЕС има две основни цели: намаляване на достъпа до</w:t>
      </w:r>
      <w:r>
        <w:rPr>
          <w:rFonts w:ascii="Times New Roman" w:hAnsi="Times New Roman"/>
          <w:noProof/>
          <w:spacing w:val="-2"/>
          <w:sz w:val="24"/>
        </w:rPr>
        <w:t xml:space="preserve"> онлайн съдържание с терористичен характер и даване на възможност на партньорите от гражданското общество да увеличат въздействащите алтернативни послания онлайн. В контекста на първата цел звеното за сигнализиране за незаконно съдържание в интернет към Ев</w:t>
      </w:r>
      <w:r>
        <w:rPr>
          <w:rFonts w:ascii="Times New Roman" w:hAnsi="Times New Roman"/>
          <w:noProof/>
          <w:spacing w:val="-2"/>
          <w:sz w:val="24"/>
        </w:rPr>
        <w:t xml:space="preserve">ропол продължава да играе важна роля за сигнализиране на интернет компаниите за наличието на съдържание с терористичен характер. Само за малко повече от две години е било сигнализирано за над 35 000 случая на съдържание с терористичен характер, като между </w:t>
      </w:r>
      <w:r>
        <w:rPr>
          <w:rFonts w:ascii="Times New Roman" w:hAnsi="Times New Roman"/>
          <w:noProof/>
          <w:spacing w:val="-2"/>
          <w:sz w:val="24"/>
        </w:rPr>
        <w:t>80 и 90 % от това съдържание е било премахнато. Ясно е обаче, че ответните действия не са достатъчни за ефективното прекратяване на разпространението на терористични материали онлайн. Ето защо на втората среща</w:t>
      </w:r>
      <w:r>
        <w:rPr>
          <w:noProof/>
          <w:spacing w:val="-2"/>
        </w:rPr>
        <w:t xml:space="preserve"> </w:t>
      </w:r>
      <w:r>
        <w:rPr>
          <w:rFonts w:ascii="Times New Roman" w:hAnsi="Times New Roman"/>
          <w:noProof/>
          <w:spacing w:val="-2"/>
          <w:sz w:val="24"/>
        </w:rPr>
        <w:t>на високо равнище на интернет форума на ЕС пре</w:t>
      </w:r>
      <w:r>
        <w:rPr>
          <w:rFonts w:ascii="Times New Roman" w:hAnsi="Times New Roman"/>
          <w:noProof/>
          <w:spacing w:val="-2"/>
          <w:sz w:val="24"/>
        </w:rPr>
        <w:t>з декември 2016 г. Комисията приветства ангажимента на четири от най-големите компании да създадат база данни с кодове за сегментиране, за да се предотврати преместването на материали с терористично съдържание от една платформа на друга. Вследствие на приз</w:t>
      </w:r>
      <w:r>
        <w:rPr>
          <w:rFonts w:ascii="Times New Roman" w:hAnsi="Times New Roman"/>
          <w:noProof/>
          <w:spacing w:val="-2"/>
          <w:sz w:val="24"/>
        </w:rPr>
        <w:t xml:space="preserve">ивите в изявлението от срещата на върха на Г-7 в Таормина, в плана за действие на Г-20 относно борбата с тероризма и в заключенията на Европейския съвет от заседанието му през юни 2017 г. членовете на интернет форума на ЕС изготвиха на 17 юли 2017 г. план </w:t>
      </w:r>
      <w:r>
        <w:rPr>
          <w:rFonts w:ascii="Times New Roman" w:hAnsi="Times New Roman"/>
          <w:noProof/>
          <w:spacing w:val="-2"/>
          <w:sz w:val="24"/>
        </w:rPr>
        <w:t>за действие за борба с терористичното съдържание онлайн. Този план съдържа мерки за ускоряване на автоматичното откриване на незаконно терористично съдържание онлайн, за обмен на свързани с това технологии и инструменти с по-малки компании, за постигане на</w:t>
      </w:r>
      <w:r>
        <w:rPr>
          <w:rFonts w:ascii="Times New Roman" w:hAnsi="Times New Roman"/>
          <w:noProof/>
          <w:spacing w:val="-2"/>
          <w:sz w:val="24"/>
        </w:rPr>
        <w:t xml:space="preserve"> пълно въвеждане и използване на базата данни с кодове за сегментиране и за предоставяне на гражданското общество на възможности за отправянето на алтернативни послания. Както беше обявено на интернет форума на ЕС през декември 2016 г.,</w:t>
      </w:r>
      <w:r>
        <w:rPr>
          <w:rFonts w:ascii="Times New Roman" w:hAnsi="Times New Roman"/>
          <w:noProof/>
          <w:spacing w:val="-2"/>
        </w:rPr>
        <w:t xml:space="preserve"> </w:t>
      </w:r>
      <w:r>
        <w:rPr>
          <w:rFonts w:ascii="Times New Roman" w:hAnsi="Times New Roman"/>
          <w:noProof/>
          <w:spacing w:val="-2"/>
          <w:sz w:val="24"/>
        </w:rPr>
        <w:t>програмата за овлас</w:t>
      </w:r>
      <w:r>
        <w:rPr>
          <w:rFonts w:ascii="Times New Roman" w:hAnsi="Times New Roman"/>
          <w:noProof/>
          <w:spacing w:val="-2"/>
          <w:sz w:val="24"/>
        </w:rPr>
        <w:t>тяване на гражданското общество вече е в ход — тя разполага с финансиране в размер на 10 милиона евро от Комисията, а целта ѝ е да допринесе за увеличаване на въздействащите алтернативни послания онлайн.</w:t>
      </w:r>
      <w:r>
        <w:rPr>
          <w:rFonts w:ascii="Times New Roman" w:hAnsi="Times New Roman"/>
          <w:noProof/>
          <w:spacing w:val="-2"/>
        </w:rPr>
        <w:t xml:space="preserve"> </w:t>
      </w:r>
    </w:p>
    <w:p w:rsidR="00BA64F9" w:rsidRDefault="001F41ED">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В по-общ план Комисията продължи през последната го</w:t>
      </w:r>
      <w:r>
        <w:rPr>
          <w:rFonts w:ascii="Times New Roman" w:hAnsi="Times New Roman"/>
          <w:noProof/>
          <w:sz w:val="24"/>
        </w:rPr>
        <w:t xml:space="preserve">дина да оказва </w:t>
      </w:r>
      <w:r>
        <w:rPr>
          <w:rFonts w:ascii="Times New Roman" w:hAnsi="Times New Roman"/>
          <w:b/>
          <w:noProof/>
          <w:sz w:val="24"/>
        </w:rPr>
        <w:t>подкрепа за предотвратяването на радикализацията и борбата с нея на национално и местно равнище</w:t>
      </w:r>
      <w:r>
        <w:rPr>
          <w:rFonts w:ascii="Times New Roman" w:hAnsi="Times New Roman"/>
          <w:noProof/>
          <w:sz w:val="24"/>
        </w:rPr>
        <w:t>, по-специално чрез мрежата за осведоменост по въпросите на радикализацията (RAN), която</w:t>
      </w:r>
      <w:r>
        <w:rPr>
          <w:rFonts w:ascii="Times New Roman" w:hAnsi="Times New Roman"/>
          <w:b/>
          <w:noProof/>
          <w:sz w:val="24"/>
        </w:rPr>
        <w:t xml:space="preserve"> </w:t>
      </w:r>
      <w:r>
        <w:rPr>
          <w:rFonts w:ascii="Times New Roman" w:hAnsi="Times New Roman"/>
          <w:noProof/>
          <w:sz w:val="24"/>
        </w:rPr>
        <w:t>работи с местни представители на общностно равнище. Мрежа</w:t>
      </w:r>
      <w:r>
        <w:rPr>
          <w:rFonts w:ascii="Times New Roman" w:hAnsi="Times New Roman"/>
          <w:noProof/>
          <w:sz w:val="24"/>
        </w:rPr>
        <w:t>та предлагаше обучение и консултации на държавите членки и изготви редица добри практики, насоки, наръчници и препоръки</w:t>
      </w:r>
      <w:r>
        <w:rPr>
          <w:rFonts w:ascii="Times New Roman" w:hAnsi="Times New Roman"/>
          <w:noProof/>
          <w:sz w:val="24"/>
          <w:vertAlign w:val="superscript"/>
        </w:rPr>
        <w:footnoteReference w:id="43"/>
      </w:r>
      <w:r>
        <w:rPr>
          <w:rFonts w:ascii="Times New Roman" w:hAnsi="Times New Roman"/>
          <w:noProof/>
          <w:sz w:val="24"/>
        </w:rPr>
        <w:t>. Сред обхванатите теми и въпроси са поляризацията, радикализацията в затворите и програмите за излизане от екстремизма, мерките за подп</w:t>
      </w:r>
      <w:r>
        <w:rPr>
          <w:rFonts w:ascii="Times New Roman" w:hAnsi="Times New Roman"/>
          <w:noProof/>
          <w:sz w:val="24"/>
        </w:rPr>
        <w:t>омагане на семейството, работата с младежите и образованието, полицейската дейност в близост до общността, комуникацията и информационните кампании, ангажираността и овластяването на младите хора, мерките, които се предприемат по отношение на завръщащите с</w:t>
      </w:r>
      <w:r>
        <w:rPr>
          <w:rFonts w:ascii="Times New Roman" w:hAnsi="Times New Roman"/>
          <w:noProof/>
          <w:sz w:val="24"/>
        </w:rPr>
        <w:t xml:space="preserve">е чуждестранни бойци терористи. </w:t>
      </w:r>
    </w:p>
    <w:p w:rsidR="00BA64F9" w:rsidRDefault="001F41E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На 27 юли 2017 г. Комисията създаде експертна група на високо равнище по въпросите на радикализацията</w:t>
      </w:r>
      <w:r>
        <w:rPr>
          <w:rFonts w:ascii="Times New Roman" w:hAnsi="Times New Roman"/>
          <w:noProof/>
          <w:sz w:val="24"/>
          <w:vertAlign w:val="superscript"/>
        </w:rPr>
        <w:footnoteReference w:id="44"/>
      </w:r>
      <w:r>
        <w:rPr>
          <w:rFonts w:ascii="Times New Roman" w:hAnsi="Times New Roman"/>
          <w:noProof/>
          <w:sz w:val="24"/>
        </w:rPr>
        <w:t>, в която участват основните заинтересовани страни на европейско и национално равнище. Сред задачите на групата фигурират разработването на набор от ръководни принципи и препоръки за бъдещата работа в тази област както на равнището на Съюза, така и на наци</w:t>
      </w:r>
      <w:r>
        <w:rPr>
          <w:rFonts w:ascii="Times New Roman" w:hAnsi="Times New Roman"/>
          <w:noProof/>
          <w:sz w:val="24"/>
        </w:rPr>
        <w:t xml:space="preserve">онално равнище, и анализирането на нуждата от механизми за по-структурирано сътрудничество за целите на предотвратяване на радикализацията на равнището на ЕС. </w:t>
      </w:r>
    </w:p>
    <w:p w:rsidR="00BA64F9" w:rsidRDefault="001F41ED">
      <w:pPr>
        <w:spacing w:after="240" w:line="240" w:lineRule="auto"/>
        <w:jc w:val="both"/>
        <w:rPr>
          <w:rFonts w:ascii="Times New Roman" w:eastAsia="Times New Roman" w:hAnsi="Times New Roman" w:cs="Times New Roman"/>
          <w:i/>
          <w:noProof/>
          <w:sz w:val="24"/>
          <w:szCs w:val="24"/>
        </w:rPr>
      </w:pPr>
      <w:r>
        <w:rPr>
          <w:rFonts w:ascii="Times New Roman" w:hAnsi="Times New Roman"/>
          <w:i/>
          <w:noProof/>
          <w:sz w:val="24"/>
        </w:rPr>
        <w:t xml:space="preserve">5. Текуща работа </w:t>
      </w:r>
    </w:p>
    <w:p w:rsidR="00BA64F9" w:rsidRDefault="001F41E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В </w:t>
      </w:r>
      <w:r>
        <w:rPr>
          <w:rFonts w:ascii="Times New Roman" w:hAnsi="Times New Roman"/>
          <w:b/>
          <w:noProof/>
          <w:sz w:val="24"/>
        </w:rPr>
        <w:t>подробната оценка на политиката на ЕС в областта на сигурността</w:t>
      </w:r>
      <w:r>
        <w:rPr>
          <w:rFonts w:ascii="Times New Roman" w:hAnsi="Times New Roman"/>
          <w:noProof/>
          <w:sz w:val="24"/>
          <w:vertAlign w:val="superscript"/>
        </w:rPr>
        <w:footnoteReference w:id="45"/>
      </w:r>
      <w:r>
        <w:rPr>
          <w:rFonts w:ascii="Times New Roman" w:hAnsi="Times New Roman"/>
          <w:noProof/>
          <w:sz w:val="24"/>
        </w:rPr>
        <w:t xml:space="preserve"> са набеляза</w:t>
      </w:r>
      <w:r>
        <w:rPr>
          <w:rFonts w:ascii="Times New Roman" w:hAnsi="Times New Roman"/>
          <w:noProof/>
          <w:sz w:val="24"/>
        </w:rPr>
        <w:t>ни предизвителства и пропуски пред ефективното сътрудничество в контекста на Съюза за сигурност и е посочена необходимостта от доразвиване и адаптиране на действащите политики и инструменти с цел да се предприемат действия в отговор на бързо променящите се</w:t>
      </w:r>
      <w:r>
        <w:rPr>
          <w:rFonts w:ascii="Times New Roman" w:hAnsi="Times New Roman"/>
          <w:noProof/>
          <w:sz w:val="24"/>
        </w:rPr>
        <w:t xml:space="preserve"> заплахи и предизвикателства за сигурността. </w:t>
      </w:r>
    </w:p>
    <w:p w:rsidR="00BA64F9" w:rsidRDefault="001F41E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Работата по постигането на </w:t>
      </w:r>
      <w:r>
        <w:rPr>
          <w:rFonts w:ascii="Times New Roman" w:hAnsi="Times New Roman"/>
          <w:b/>
          <w:noProof/>
          <w:sz w:val="24"/>
        </w:rPr>
        <w:t>оперативна съвместимост на информационните системи</w:t>
      </w:r>
      <w:r>
        <w:rPr>
          <w:rFonts w:ascii="Times New Roman" w:hAnsi="Times New Roman"/>
          <w:noProof/>
          <w:sz w:val="24"/>
        </w:rPr>
        <w:t xml:space="preserve"> напредва приоритетно вследствие на заключенията на Съвета от юни 2017 г. относно оперативната съвместимост и заключенията на Европей</w:t>
      </w:r>
      <w:r>
        <w:rPr>
          <w:rFonts w:ascii="Times New Roman" w:hAnsi="Times New Roman"/>
          <w:noProof/>
          <w:sz w:val="24"/>
        </w:rPr>
        <w:t>ския съвет от юни 2017 г. През юли 2017 г. Комисията публикува оценка на въздействието от етапа на създаване. Понастоящем тече широка обществена консултация, която ще продължи до средата на октомври 2017 г. На тази основа Комисията ще представи законодател</w:t>
      </w:r>
      <w:r>
        <w:rPr>
          <w:rFonts w:ascii="Times New Roman" w:hAnsi="Times New Roman"/>
          <w:noProof/>
          <w:sz w:val="24"/>
        </w:rPr>
        <w:t>но предложение във възможно най-кратък срок.</w:t>
      </w:r>
    </w:p>
    <w:p w:rsidR="00BA64F9" w:rsidRDefault="001F41ED">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b/>
          <w:noProof/>
          <w:sz w:val="24"/>
        </w:rPr>
        <w:t>Борбата с радикализацията</w:t>
      </w:r>
      <w:r>
        <w:rPr>
          <w:noProof/>
        </w:rPr>
        <w:t xml:space="preserve"> </w:t>
      </w:r>
      <w:r>
        <w:rPr>
          <w:rFonts w:ascii="Times New Roman" w:hAnsi="Times New Roman"/>
          <w:noProof/>
          <w:sz w:val="24"/>
        </w:rPr>
        <w:t>също продължава да бъде приоритет. Комисията ускорява работата си в тази област, по-специално чрез експертната група на високо равнище по въпросите на радикализацията. Групата ще предст</w:t>
      </w:r>
      <w:r>
        <w:rPr>
          <w:rFonts w:ascii="Times New Roman" w:hAnsi="Times New Roman"/>
          <w:noProof/>
          <w:sz w:val="24"/>
        </w:rPr>
        <w:t xml:space="preserve">ави междинните си констатации преди края на 2017 г. Що се отнася до </w:t>
      </w:r>
      <w:r>
        <w:rPr>
          <w:rFonts w:ascii="Times New Roman" w:hAnsi="Times New Roman"/>
          <w:b/>
          <w:noProof/>
          <w:sz w:val="24"/>
        </w:rPr>
        <w:t>предотвратяването на радикализацията онлайн</w:t>
      </w:r>
      <w:r>
        <w:rPr>
          <w:rFonts w:ascii="Times New Roman" w:hAnsi="Times New Roman"/>
          <w:noProof/>
          <w:sz w:val="24"/>
        </w:rPr>
        <w:t xml:space="preserve">, високопоставени служители от интернет форума на ЕС ще направят през септември 2017 г. преглед на изпълнението на плана за действие, приет през </w:t>
      </w:r>
      <w:r>
        <w:rPr>
          <w:rFonts w:ascii="Times New Roman" w:hAnsi="Times New Roman"/>
          <w:noProof/>
          <w:sz w:val="24"/>
        </w:rPr>
        <w:t>юли 2017 г., за да подготвят третия интернет форум на ЕС през декември 2017 г.</w:t>
      </w:r>
      <w:r>
        <w:rPr>
          <w:rFonts w:ascii="Times New Roman" w:hAnsi="Times New Roman"/>
          <w:noProof/>
        </w:rPr>
        <w:t xml:space="preserve"> </w:t>
      </w:r>
      <w:r>
        <w:rPr>
          <w:rFonts w:ascii="Times New Roman" w:hAnsi="Times New Roman"/>
          <w:noProof/>
          <w:sz w:val="24"/>
        </w:rPr>
        <w:t>Освен това Комисията ще работи в тясно сътрудничество с новосъздадения глобален интернет форум за борба с тероризма, който допълва усилията, предприемани по линия на интернет фо</w:t>
      </w:r>
      <w:r>
        <w:rPr>
          <w:rFonts w:ascii="Times New Roman" w:hAnsi="Times New Roman"/>
          <w:noProof/>
          <w:sz w:val="24"/>
        </w:rPr>
        <w:t>рума на ЕС.</w:t>
      </w:r>
    </w:p>
    <w:p w:rsidR="00BA64F9" w:rsidRDefault="001F41ED">
      <w:pPr>
        <w:spacing w:after="240" w:line="240" w:lineRule="auto"/>
        <w:jc w:val="both"/>
        <w:rPr>
          <w:rFonts w:ascii="Times New Roman" w:hAnsi="Times New Roman" w:cs="Times New Roman"/>
          <w:noProof/>
          <w:spacing w:val="-2"/>
          <w:sz w:val="24"/>
          <w:szCs w:val="24"/>
        </w:rPr>
      </w:pPr>
      <w:r>
        <w:rPr>
          <w:rFonts w:ascii="Times New Roman" w:hAnsi="Times New Roman"/>
          <w:noProof/>
          <w:spacing w:val="-2"/>
          <w:sz w:val="24"/>
        </w:rPr>
        <w:t xml:space="preserve">В работата си по изготвянето на европейски </w:t>
      </w:r>
      <w:r>
        <w:rPr>
          <w:rFonts w:ascii="Times New Roman" w:hAnsi="Times New Roman"/>
          <w:b/>
          <w:noProof/>
          <w:spacing w:val="-2"/>
          <w:sz w:val="24"/>
        </w:rPr>
        <w:t>действия в отговор на финансирането на тероризма</w:t>
      </w:r>
      <w:r>
        <w:rPr>
          <w:rFonts w:ascii="Times New Roman" w:hAnsi="Times New Roman"/>
          <w:noProof/>
          <w:spacing w:val="-2"/>
          <w:sz w:val="24"/>
        </w:rPr>
        <w:t xml:space="preserve"> Комисията изпълнява действията, посочени в плана за действие от 2 февруари 2016 г.</w:t>
      </w:r>
      <w:r>
        <w:rPr>
          <w:rFonts w:ascii="Times New Roman" w:hAnsi="Times New Roman"/>
          <w:noProof/>
          <w:spacing w:val="-2"/>
          <w:sz w:val="24"/>
          <w:vertAlign w:val="superscript"/>
        </w:rPr>
        <w:footnoteReference w:id="46"/>
      </w:r>
      <w:r>
        <w:rPr>
          <w:rFonts w:ascii="Times New Roman" w:hAnsi="Times New Roman"/>
          <w:noProof/>
          <w:spacing w:val="-2"/>
          <w:sz w:val="24"/>
        </w:rPr>
        <w:t xml:space="preserve"> Това включва анализа на мерки за подобряване на достъпа до централни</w:t>
      </w:r>
      <w:r>
        <w:rPr>
          <w:rFonts w:ascii="Times New Roman" w:hAnsi="Times New Roman"/>
          <w:noProof/>
          <w:spacing w:val="-2"/>
          <w:sz w:val="24"/>
        </w:rPr>
        <w:t>те регистри на банковите сметки и за ограничаване на плащанията в брой</w:t>
      </w:r>
      <w:r>
        <w:rPr>
          <w:rFonts w:ascii="Times New Roman" w:hAnsi="Times New Roman"/>
          <w:noProof/>
          <w:spacing w:val="-2"/>
          <w:sz w:val="24"/>
          <w:vertAlign w:val="superscript"/>
        </w:rPr>
        <w:footnoteReference w:id="47"/>
      </w:r>
      <w:r>
        <w:rPr>
          <w:rFonts w:ascii="Times New Roman" w:hAnsi="Times New Roman"/>
          <w:noProof/>
          <w:spacing w:val="-2"/>
          <w:sz w:val="24"/>
        </w:rPr>
        <w:t>. Друг ключов аспект на тази работа е извършването на оценка на евентуална европейска система за проследяване на операции, свързани с тероризма, която би могла да допълни действащото сп</w:t>
      </w:r>
      <w:r>
        <w:rPr>
          <w:rFonts w:ascii="Times New Roman" w:hAnsi="Times New Roman"/>
          <w:noProof/>
          <w:spacing w:val="-2"/>
          <w:sz w:val="24"/>
        </w:rPr>
        <w:t>оразумение между ЕС и САЩ относно програмата за проследяване на финансирането на тероризма (ППФТ)</w:t>
      </w:r>
      <w:r>
        <w:rPr>
          <w:rFonts w:ascii="Times New Roman" w:hAnsi="Times New Roman"/>
          <w:noProof/>
          <w:spacing w:val="-2"/>
          <w:sz w:val="24"/>
          <w:vertAlign w:val="superscript"/>
        </w:rPr>
        <w:footnoteReference w:id="48"/>
      </w:r>
      <w:r>
        <w:rPr>
          <w:rFonts w:ascii="Times New Roman" w:hAnsi="Times New Roman"/>
          <w:noProof/>
          <w:spacing w:val="-2"/>
          <w:sz w:val="24"/>
        </w:rPr>
        <w:t xml:space="preserve">, като проследява операции, които не попадат в </w:t>
      </w:r>
      <w:r>
        <w:rPr>
          <w:rFonts w:ascii="Times New Roman" w:hAnsi="Times New Roman"/>
          <w:noProof/>
          <w:spacing w:val="-2"/>
          <w:sz w:val="24"/>
        </w:rPr>
        <w:lastRenderedPageBreak/>
        <w:t>обхвата на посоченото споразумение. В третия доклад за напредъка по създаването на ефективен и истински Съюз на</w:t>
      </w:r>
      <w:r>
        <w:rPr>
          <w:rFonts w:ascii="Times New Roman" w:hAnsi="Times New Roman"/>
          <w:noProof/>
          <w:spacing w:val="-2"/>
          <w:sz w:val="24"/>
        </w:rPr>
        <w:t xml:space="preserve"> сигурност от декември 2016 г.</w:t>
      </w:r>
      <w:r>
        <w:rPr>
          <w:rFonts w:ascii="Times New Roman" w:eastAsiaTheme="minorEastAsia" w:hAnsi="Times New Roman"/>
          <w:noProof/>
          <w:spacing w:val="-2"/>
          <w:sz w:val="24"/>
          <w:vertAlign w:val="superscript"/>
        </w:rPr>
        <w:footnoteReference w:id="49"/>
      </w:r>
      <w:r>
        <w:rPr>
          <w:rFonts w:ascii="Times New Roman" w:hAnsi="Times New Roman"/>
          <w:noProof/>
          <w:spacing w:val="-2"/>
          <w:sz w:val="24"/>
        </w:rPr>
        <w:t xml:space="preserve"> Комисията представи първоначален анализ на евентуалното създаване на европейска система за проследяване на финансирането на тероризма и обяви, че ще продължи своята оценка. Публикуваната на 27 юни 2017 г. наднационална оценка на Комисията на рисковете, св</w:t>
      </w:r>
      <w:r>
        <w:rPr>
          <w:rFonts w:ascii="Times New Roman" w:hAnsi="Times New Roman"/>
          <w:noProof/>
          <w:spacing w:val="-2"/>
          <w:sz w:val="24"/>
        </w:rPr>
        <w:t>ързани с финансирането на тероризма</w:t>
      </w:r>
      <w:r>
        <w:rPr>
          <w:rFonts w:ascii="Times New Roman" w:eastAsiaTheme="minorEastAsia" w:hAnsi="Times New Roman"/>
          <w:noProof/>
          <w:spacing w:val="-2"/>
          <w:sz w:val="24"/>
          <w:vertAlign w:val="superscript"/>
        </w:rPr>
        <w:footnoteReference w:id="50"/>
      </w:r>
      <w:r>
        <w:rPr>
          <w:rFonts w:ascii="Times New Roman" w:hAnsi="Times New Roman"/>
          <w:noProof/>
          <w:spacing w:val="-2"/>
          <w:sz w:val="24"/>
        </w:rPr>
        <w:t>, потвърди, че терористите и престъпниците се опитват да използват финансовия сектор за своите дейности, например чрез измами, за които използват потребителски кредити и заеми в нисък размер. Звената за финансово разузна</w:t>
      </w:r>
      <w:r>
        <w:rPr>
          <w:rFonts w:ascii="Times New Roman" w:hAnsi="Times New Roman"/>
          <w:noProof/>
          <w:spacing w:val="-2"/>
          <w:sz w:val="24"/>
        </w:rPr>
        <w:t>ване (ЗФР) имат централна роля за преодоляване на предизвикателствата, свързани с изпирането на пари и финансирането на тероризма. Те отговарят за получаването и анализирането на информацията и разпространяват резултатите от своя анализ до компетентните ор</w:t>
      </w:r>
      <w:r>
        <w:rPr>
          <w:rFonts w:ascii="Times New Roman" w:hAnsi="Times New Roman"/>
          <w:noProof/>
          <w:spacing w:val="-2"/>
          <w:sz w:val="24"/>
        </w:rPr>
        <w:t>гани. Въпреки това, както се посочва в доклад от декември 2016 г.</w:t>
      </w:r>
      <w:r>
        <w:rPr>
          <w:rFonts w:ascii="Times New Roman" w:hAnsi="Times New Roman"/>
          <w:noProof/>
          <w:spacing w:val="-2"/>
          <w:sz w:val="24"/>
          <w:vertAlign w:val="superscript"/>
        </w:rPr>
        <w:footnoteReference w:id="51"/>
      </w:r>
      <w:r>
        <w:rPr>
          <w:rFonts w:ascii="Times New Roman" w:hAnsi="Times New Roman"/>
          <w:noProof/>
          <w:spacing w:val="-2"/>
          <w:sz w:val="24"/>
        </w:rPr>
        <w:t>, съществуват значителни разлики в статута, правомощията за достъп, обмена и използването на информация, организацията и нивото на самостоятелност на ЗФР, които могат да се отразят отрицател</w:t>
      </w:r>
      <w:r>
        <w:rPr>
          <w:rFonts w:ascii="Times New Roman" w:hAnsi="Times New Roman"/>
          <w:noProof/>
          <w:spacing w:val="-2"/>
          <w:sz w:val="24"/>
        </w:rPr>
        <w:t>но на способността им да си сътрудничат помежду си и с други съответни органи. В работния документ на службите на Комисията от юни 2017 г. относно подобряването на сътрудничеството между звената за финансово разузнаване</w:t>
      </w:r>
      <w:r>
        <w:rPr>
          <w:rFonts w:ascii="Times New Roman" w:hAnsi="Times New Roman"/>
          <w:noProof/>
          <w:spacing w:val="-2"/>
          <w:sz w:val="24"/>
          <w:vertAlign w:val="superscript"/>
        </w:rPr>
        <w:footnoteReference w:id="52"/>
      </w:r>
      <w:r>
        <w:rPr>
          <w:rFonts w:ascii="Times New Roman" w:hAnsi="Times New Roman"/>
          <w:noProof/>
          <w:spacing w:val="-2"/>
          <w:sz w:val="24"/>
        </w:rPr>
        <w:t xml:space="preserve"> са набелязани както регулаторни, та</w:t>
      </w:r>
      <w:r>
        <w:rPr>
          <w:rFonts w:ascii="Times New Roman" w:hAnsi="Times New Roman"/>
          <w:noProof/>
          <w:spacing w:val="-2"/>
          <w:sz w:val="24"/>
        </w:rPr>
        <w:t>ка и нерегулаторни мерки, които биха помогнали за преодоляване на установените трудности. Комисията ще направи допълнителна оценка на тези мерки, като проведе обсъждания с експерти от националните ЗФР, правоприлагащите органи и съдебните органи. Тя ще пред</w:t>
      </w:r>
      <w:r>
        <w:rPr>
          <w:rFonts w:ascii="Times New Roman" w:hAnsi="Times New Roman"/>
          <w:noProof/>
          <w:spacing w:val="-2"/>
          <w:sz w:val="24"/>
        </w:rPr>
        <w:t>стави констатациите си в някой от следващите доклади за напредъка по отношение на Съюза на сигурност.</w:t>
      </w:r>
    </w:p>
    <w:p w:rsidR="00BA64F9" w:rsidRDefault="001F41ED">
      <w:pPr>
        <w:autoSpaceDE w:val="0"/>
        <w:autoSpaceDN w:val="0"/>
        <w:adjustRightInd w:val="0"/>
        <w:spacing w:after="240" w:line="240" w:lineRule="auto"/>
        <w:jc w:val="both"/>
        <w:rPr>
          <w:rFonts w:ascii="Times New Roman" w:hAnsi="Times New Roman" w:cs="Times New Roman"/>
          <w:noProof/>
          <w:spacing w:val="-6"/>
          <w:sz w:val="24"/>
          <w:szCs w:val="24"/>
        </w:rPr>
      </w:pPr>
      <w:r>
        <w:rPr>
          <w:rFonts w:ascii="Times New Roman" w:hAnsi="Times New Roman"/>
          <w:noProof/>
          <w:spacing w:val="-6"/>
          <w:sz w:val="24"/>
        </w:rPr>
        <w:t xml:space="preserve">Необходимо е да продължи работата по ограничаване на достъпа до опасни вещества, които терористичните мрежи могат да използват като </w:t>
      </w:r>
      <w:r>
        <w:rPr>
          <w:rFonts w:ascii="Times New Roman" w:hAnsi="Times New Roman"/>
          <w:b/>
          <w:noProof/>
          <w:spacing w:val="-6"/>
          <w:sz w:val="24"/>
        </w:rPr>
        <w:t>взривни вещества</w:t>
      </w:r>
      <w:r>
        <w:rPr>
          <w:rFonts w:ascii="Times New Roman" w:hAnsi="Times New Roman"/>
          <w:noProof/>
          <w:spacing w:val="-6"/>
          <w:sz w:val="24"/>
        </w:rPr>
        <w:t xml:space="preserve">. </w:t>
      </w:r>
      <w:r>
        <w:rPr>
          <w:rFonts w:ascii="Times New Roman" w:hAnsi="Times New Roman"/>
          <w:noProof/>
          <w:spacing w:val="-6"/>
          <w:sz w:val="24"/>
        </w:rPr>
        <w:t>Взривните вещества, произведени в домашни условия, са най-често срещаният вид взривни вещества, използвани в неотдавнашните нападения, по-специално триацетон трипероксид</w:t>
      </w:r>
      <w:r>
        <w:rPr>
          <w:rFonts w:ascii="Times New Roman" w:hAnsi="Times New Roman"/>
          <w:noProof/>
          <w:spacing w:val="-6"/>
          <w:sz w:val="24"/>
          <w:vertAlign w:val="superscript"/>
        </w:rPr>
        <w:footnoteReference w:id="53"/>
      </w:r>
      <w:r>
        <w:rPr>
          <w:rFonts w:ascii="Times New Roman" w:hAnsi="Times New Roman"/>
          <w:noProof/>
          <w:spacing w:val="-6"/>
          <w:sz w:val="24"/>
        </w:rPr>
        <w:t>. Както бе обявено в неотдавнашния доклад относно прилагането на Регламента относно пр</w:t>
      </w:r>
      <w:r>
        <w:rPr>
          <w:rFonts w:ascii="Times New Roman" w:hAnsi="Times New Roman"/>
          <w:noProof/>
          <w:spacing w:val="-6"/>
          <w:sz w:val="24"/>
        </w:rPr>
        <w:t>екурсорите на взривни вещества</w:t>
      </w:r>
      <w:r>
        <w:rPr>
          <w:rFonts w:ascii="Times New Roman" w:hAnsi="Times New Roman"/>
          <w:noProof/>
          <w:spacing w:val="-6"/>
          <w:sz w:val="24"/>
          <w:vertAlign w:val="superscript"/>
        </w:rPr>
        <w:footnoteReference w:id="54"/>
      </w:r>
      <w:r>
        <w:rPr>
          <w:rFonts w:ascii="Times New Roman" w:hAnsi="Times New Roman"/>
          <w:noProof/>
          <w:spacing w:val="-6"/>
          <w:sz w:val="24"/>
        </w:rPr>
        <w:t>, Комисията е в процес на проучване на евентуални допълнителни и засилени мерки, за да се попречи на терористите да се снабдяват с взривни вещества.</w:t>
      </w:r>
    </w:p>
    <w:p w:rsidR="00BA64F9" w:rsidRDefault="001F41ED">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С оглед на засилването на </w:t>
      </w:r>
      <w:r>
        <w:rPr>
          <w:rFonts w:ascii="Times New Roman" w:hAnsi="Times New Roman"/>
          <w:b/>
          <w:noProof/>
          <w:sz w:val="24"/>
        </w:rPr>
        <w:t>защитата на лесните мишени</w:t>
      </w:r>
      <w:r>
        <w:rPr>
          <w:rFonts w:ascii="Times New Roman" w:hAnsi="Times New Roman"/>
          <w:noProof/>
          <w:sz w:val="24"/>
        </w:rPr>
        <w:t xml:space="preserve"> новосъздадената група з</w:t>
      </w:r>
      <w:r>
        <w:rPr>
          <w:rFonts w:ascii="Times New Roman" w:hAnsi="Times New Roman"/>
          <w:noProof/>
          <w:sz w:val="24"/>
        </w:rPr>
        <w:t>а политиката на ЕС за защита на лесните мишени ще проведе първото си заседание на 18 и 19 септември 2017 г., подпомогната от две подгрупи, съставени от практикуващи специалисти и стопански субекти, сред които има и частни заинтересовани страни. В рамките н</w:t>
      </w:r>
      <w:r>
        <w:rPr>
          <w:rFonts w:ascii="Times New Roman" w:hAnsi="Times New Roman"/>
          <w:noProof/>
          <w:sz w:val="24"/>
        </w:rPr>
        <w:t>а групата на практикуващите специалисти беше създадена мрежа за защита на лесните мишени, изложени на висок риск, чиято първа среща ще се проведе от 24 до 26 октомври 2017 г. в Испания.</w:t>
      </w:r>
    </w:p>
    <w:p w:rsidR="00BA64F9" w:rsidRDefault="001F41ED">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Както беше обявено през януари 2017 г.</w:t>
      </w:r>
      <w:r>
        <w:rPr>
          <w:rFonts w:ascii="Times New Roman" w:hAnsi="Times New Roman"/>
          <w:noProof/>
          <w:sz w:val="24"/>
          <w:vertAlign w:val="superscript"/>
        </w:rPr>
        <w:footnoteReference w:id="55"/>
      </w:r>
      <w:r>
        <w:rPr>
          <w:rFonts w:ascii="Times New Roman" w:hAnsi="Times New Roman"/>
          <w:noProof/>
          <w:sz w:val="24"/>
        </w:rPr>
        <w:t>, Комисията е в процес на разра</w:t>
      </w:r>
      <w:r>
        <w:rPr>
          <w:rFonts w:ascii="Times New Roman" w:hAnsi="Times New Roman"/>
          <w:noProof/>
          <w:sz w:val="24"/>
        </w:rPr>
        <w:t xml:space="preserve">ботването на насоки за това как националните закони за </w:t>
      </w:r>
      <w:r>
        <w:rPr>
          <w:rFonts w:ascii="Times New Roman" w:hAnsi="Times New Roman"/>
          <w:b/>
          <w:noProof/>
          <w:sz w:val="24"/>
        </w:rPr>
        <w:t>съхраняването на данни</w:t>
      </w:r>
      <w:r>
        <w:rPr>
          <w:rFonts w:ascii="Times New Roman" w:hAnsi="Times New Roman"/>
          <w:noProof/>
          <w:sz w:val="24"/>
        </w:rPr>
        <w:t xml:space="preserve"> могат да бъдат съставени в съответствие с решенията на Съда на Европейския съюз.</w:t>
      </w:r>
    </w:p>
    <w:p w:rsidR="00BA64F9" w:rsidRDefault="001F41ED">
      <w:pPr>
        <w:spacing w:after="240" w:line="240" w:lineRule="auto"/>
        <w:jc w:val="both"/>
        <w:rPr>
          <w:rFonts w:ascii="Times New Roman" w:eastAsia="Times New Roman" w:hAnsi="Times New Roman" w:cs="Times New Roman"/>
          <w:b/>
          <w:noProof/>
          <w:sz w:val="24"/>
          <w:szCs w:val="24"/>
        </w:rPr>
      </w:pPr>
      <w:r>
        <w:rPr>
          <w:rFonts w:ascii="Times New Roman" w:hAnsi="Times New Roman"/>
          <w:b/>
          <w:noProof/>
          <w:sz w:val="24"/>
        </w:rPr>
        <w:t xml:space="preserve">III. </w:t>
      </w:r>
      <w:r>
        <w:rPr>
          <w:noProof/>
        </w:rPr>
        <w:tab/>
      </w:r>
      <w:r>
        <w:rPr>
          <w:rFonts w:ascii="Times New Roman" w:hAnsi="Times New Roman"/>
          <w:b/>
          <w:noProof/>
          <w:sz w:val="24"/>
        </w:rPr>
        <w:t>ИЗПЪЛНЕНИЕ НА ДРУГИ ПРИОРИТЕТНИ ДОСИЕТА В ОБЛАСТТА НА СИГУРНОСТТА</w:t>
      </w:r>
    </w:p>
    <w:p w:rsidR="00BA64F9" w:rsidRDefault="001F41ED">
      <w:pPr>
        <w:spacing w:after="24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 xml:space="preserve">1. Законодателни </w:t>
      </w:r>
      <w:r>
        <w:rPr>
          <w:rFonts w:ascii="Times New Roman" w:hAnsi="Times New Roman"/>
          <w:i/>
          <w:noProof/>
          <w:sz w:val="24"/>
        </w:rPr>
        <w:t>инициативи</w:t>
      </w:r>
    </w:p>
    <w:p w:rsidR="00BA64F9" w:rsidRDefault="001F41ED">
      <w:pPr>
        <w:spacing w:after="240" w:line="240" w:lineRule="auto"/>
        <w:jc w:val="both"/>
        <w:rPr>
          <w:rFonts w:ascii="Times New Roman" w:hAnsi="Times New Roman" w:cs="Times New Roman"/>
          <w:noProof/>
          <w:sz w:val="24"/>
          <w:szCs w:val="24"/>
        </w:rPr>
      </w:pPr>
      <w:r>
        <w:rPr>
          <w:rFonts w:ascii="Times New Roman" w:hAnsi="Times New Roman"/>
          <w:noProof/>
          <w:sz w:val="24"/>
        </w:rPr>
        <w:t>Продължава работата по законодателните предложения на Комисията</w:t>
      </w:r>
      <w:r>
        <w:rPr>
          <w:rFonts w:ascii="Times New Roman" w:hAnsi="Times New Roman"/>
          <w:noProof/>
          <w:sz w:val="24"/>
          <w:vertAlign w:val="superscript"/>
        </w:rPr>
        <w:footnoteReference w:id="56"/>
      </w:r>
      <w:r>
        <w:rPr>
          <w:rFonts w:ascii="Times New Roman" w:hAnsi="Times New Roman"/>
          <w:noProof/>
          <w:sz w:val="24"/>
        </w:rPr>
        <w:t xml:space="preserve">, насочени към </w:t>
      </w:r>
      <w:r>
        <w:rPr>
          <w:rFonts w:ascii="Times New Roman" w:hAnsi="Times New Roman"/>
          <w:b/>
          <w:noProof/>
          <w:sz w:val="24"/>
        </w:rPr>
        <w:t>укрепването на Шенгенската информационна система</w:t>
      </w:r>
      <w:r>
        <w:rPr>
          <w:rFonts w:ascii="Times New Roman" w:hAnsi="Times New Roman"/>
          <w:noProof/>
          <w:sz w:val="24"/>
        </w:rPr>
        <w:t xml:space="preserve"> (ШИС). Последното обсъждане на равнище работна група в Съвета се проведе на 26 юли 2017 г. и естонското председателст</w:t>
      </w:r>
      <w:r>
        <w:rPr>
          <w:rFonts w:ascii="Times New Roman" w:hAnsi="Times New Roman"/>
          <w:noProof/>
          <w:sz w:val="24"/>
        </w:rPr>
        <w:t xml:space="preserve">во на Съвета си е поставило за цел да постигне мандат за преговори до октомври 2017 г. В Европейския парламент докладчиците представиха своя проектодоклад през юни 2017 г. и се очаква комисията по граждански свободи, правосъдие и вътрешни работи (LIBE) да </w:t>
      </w:r>
      <w:r>
        <w:rPr>
          <w:rFonts w:ascii="Times New Roman" w:hAnsi="Times New Roman"/>
          <w:noProof/>
          <w:sz w:val="24"/>
        </w:rPr>
        <w:t>гласува мандата за преговори на 11-12 октомври 2017 г. Комисията призовава съзаконодателите да постигнат споразумение по тези важни предложения преди края на 2017 г. като част от програмата за оперативна съвместимост, определена в седмия доклад за напредък</w:t>
      </w:r>
      <w:r>
        <w:rPr>
          <w:rFonts w:ascii="Times New Roman" w:hAnsi="Times New Roman"/>
          <w:noProof/>
          <w:sz w:val="24"/>
        </w:rPr>
        <w:t>а по създаването на ефективен и истински Съюз на сигурност</w:t>
      </w:r>
      <w:r>
        <w:rPr>
          <w:rFonts w:ascii="Times New Roman" w:hAnsi="Times New Roman"/>
          <w:noProof/>
          <w:sz w:val="24"/>
          <w:vertAlign w:val="superscript"/>
        </w:rPr>
        <w:footnoteReference w:id="57"/>
      </w:r>
      <w:r>
        <w:rPr>
          <w:rFonts w:ascii="Times New Roman" w:hAnsi="Times New Roman"/>
          <w:noProof/>
          <w:sz w:val="24"/>
        </w:rPr>
        <w:t>.</w:t>
      </w:r>
    </w:p>
    <w:p w:rsidR="00BA64F9" w:rsidRDefault="001F41ED">
      <w:pPr>
        <w:spacing w:after="24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2. Незаконодателни инициативи</w:t>
      </w:r>
    </w:p>
    <w:p w:rsidR="00BA64F9" w:rsidRDefault="001F41ED">
      <w:pPr>
        <w:spacing w:after="240" w:line="240" w:lineRule="auto"/>
        <w:jc w:val="both"/>
        <w:rPr>
          <w:rFonts w:ascii="Times New Roman" w:eastAsia="Times New Roman" w:hAnsi="Times New Roman" w:cs="Times New Roman"/>
          <w:iCs/>
          <w:noProof/>
          <w:sz w:val="24"/>
          <w:szCs w:val="24"/>
        </w:rPr>
      </w:pPr>
      <w:r>
        <w:rPr>
          <w:rFonts w:ascii="Times New Roman" w:hAnsi="Times New Roman"/>
          <w:noProof/>
          <w:sz w:val="24"/>
        </w:rPr>
        <w:t xml:space="preserve">В областта на </w:t>
      </w:r>
      <w:r>
        <w:rPr>
          <w:rFonts w:ascii="Times New Roman" w:hAnsi="Times New Roman"/>
          <w:b/>
          <w:noProof/>
          <w:sz w:val="24"/>
        </w:rPr>
        <w:t>сигурността на транспорта</w:t>
      </w:r>
      <w:r>
        <w:rPr>
          <w:rFonts w:ascii="Times New Roman" w:hAnsi="Times New Roman"/>
          <w:noProof/>
          <w:sz w:val="24"/>
        </w:rPr>
        <w:t xml:space="preserve"> и с цел допълване на работата, извършвана съвместно с държавите членки на равнище ЕС за повишаване на сигурността на гражданс</w:t>
      </w:r>
      <w:r>
        <w:rPr>
          <w:rFonts w:ascii="Times New Roman" w:hAnsi="Times New Roman"/>
          <w:noProof/>
          <w:sz w:val="24"/>
        </w:rPr>
        <w:t xml:space="preserve">кото въздухоплаване, Комисията започна работа по оценяването на риска и за други начини на транспорт, за да установи пропуските и набележи възможните мерки за смекчаване на установените рискове. На среща, проведена на 15 юни 2017 г., службите на Комисията </w:t>
      </w:r>
      <w:r>
        <w:rPr>
          <w:rFonts w:ascii="Times New Roman" w:hAnsi="Times New Roman"/>
          <w:noProof/>
          <w:sz w:val="24"/>
        </w:rPr>
        <w:t>обсъдиха с държавите членки заплахите за железопътния транспорт и начини за засилване на сътрудничеството, което ще допринесе за справянето с тази заплаха. Следващото заседание ще се състои през октомври 2017 г.</w:t>
      </w:r>
    </w:p>
    <w:p w:rsidR="00BA64F9" w:rsidRDefault="001F41ED">
      <w:pPr>
        <w:spacing w:after="240" w:line="240" w:lineRule="auto"/>
        <w:jc w:val="both"/>
        <w:rPr>
          <w:rFonts w:ascii="Times New Roman" w:eastAsia="Times New Roman" w:hAnsi="Times New Roman" w:cs="Times New Roman"/>
          <w:iCs/>
          <w:noProof/>
          <w:sz w:val="24"/>
          <w:szCs w:val="24"/>
        </w:rPr>
      </w:pPr>
      <w:r>
        <w:rPr>
          <w:rFonts w:ascii="Times New Roman" w:hAnsi="Times New Roman"/>
          <w:noProof/>
          <w:sz w:val="24"/>
        </w:rPr>
        <w:t xml:space="preserve">В контекста на </w:t>
      </w:r>
      <w:r>
        <w:rPr>
          <w:rFonts w:ascii="Times New Roman" w:hAnsi="Times New Roman"/>
          <w:b/>
          <w:noProof/>
          <w:sz w:val="24"/>
        </w:rPr>
        <w:t>борбата с киберпрестъпността</w:t>
      </w:r>
      <w:r>
        <w:rPr>
          <w:rFonts w:ascii="Times New Roman" w:hAnsi="Times New Roman"/>
          <w:noProof/>
          <w:sz w:val="24"/>
        </w:rPr>
        <w:t xml:space="preserve"> </w:t>
      </w:r>
      <w:r>
        <w:rPr>
          <w:rFonts w:ascii="Times New Roman" w:hAnsi="Times New Roman"/>
          <w:noProof/>
          <w:sz w:val="24"/>
        </w:rPr>
        <w:t xml:space="preserve">първата годишнина на </w:t>
      </w:r>
      <w:r>
        <w:rPr>
          <w:rFonts w:ascii="Times New Roman" w:hAnsi="Times New Roman"/>
          <w:b/>
          <w:noProof/>
          <w:sz w:val="24"/>
        </w:rPr>
        <w:t>инициативата</w:t>
      </w:r>
      <w:r>
        <w:rPr>
          <w:rFonts w:ascii="Times New Roman" w:hAnsi="Times New Roman"/>
          <w:noProof/>
          <w:sz w:val="24"/>
        </w:rPr>
        <w:t xml:space="preserve"> </w:t>
      </w:r>
      <w:r>
        <w:rPr>
          <w:rFonts w:ascii="Times New Roman" w:hAnsi="Times New Roman"/>
          <w:b/>
          <w:i/>
          <w:noProof/>
          <w:sz w:val="24"/>
        </w:rPr>
        <w:t>No More Ransom</w:t>
      </w:r>
      <w:r>
        <w:rPr>
          <w:rFonts w:ascii="Times New Roman" w:hAnsi="Times New Roman"/>
          <w:noProof/>
          <w:sz w:val="24"/>
        </w:rPr>
        <w:t xml:space="preserve"> („Стоп на изнудването“) на 25 юли 2017 г. беше отбелязана чрез включването в нея на нови партньори, инструменти и езици</w:t>
      </w:r>
      <w:r>
        <w:rPr>
          <w:rFonts w:ascii="Times New Roman" w:hAnsi="Times New Roman"/>
          <w:noProof/>
          <w:sz w:val="24"/>
          <w:vertAlign w:val="superscript"/>
        </w:rPr>
        <w:footnoteReference w:id="58"/>
      </w:r>
      <w:r>
        <w:rPr>
          <w:rFonts w:ascii="Times New Roman" w:hAnsi="Times New Roman"/>
          <w:noProof/>
          <w:sz w:val="24"/>
        </w:rPr>
        <w:t xml:space="preserve">. </w:t>
      </w:r>
      <w:r>
        <w:rPr>
          <w:rFonts w:ascii="Times New Roman" w:hAnsi="Times New Roman"/>
          <w:i/>
          <w:noProof/>
          <w:sz w:val="24"/>
        </w:rPr>
        <w:t>No More Ransom</w:t>
      </w:r>
      <w:r>
        <w:rPr>
          <w:rFonts w:ascii="Times New Roman" w:hAnsi="Times New Roman"/>
          <w:noProof/>
          <w:sz w:val="24"/>
        </w:rPr>
        <w:t xml:space="preserve">, която стартира през 2016 г., представлява публично-частна инициатива </w:t>
      </w:r>
      <w:r>
        <w:rPr>
          <w:rFonts w:ascii="Times New Roman" w:hAnsi="Times New Roman"/>
          <w:noProof/>
          <w:sz w:val="24"/>
        </w:rPr>
        <w:t>за борба със софтуерите за изнудване, подкрепяна от Европол. Тя съдейства на жертвите на софтуери за изнудване, като им предоставя на разположение на своя портал над 50 различни декриптиращи инструмента, понастоящем на 26 различни езика. От стартирането на</w:t>
      </w:r>
      <w:r>
        <w:rPr>
          <w:rFonts w:ascii="Times New Roman" w:hAnsi="Times New Roman"/>
          <w:noProof/>
          <w:sz w:val="24"/>
        </w:rPr>
        <w:t xml:space="preserve"> инициативата досега са били извършени повече от 28 000 успешни декриптирания, което е лишило киберпрестъпниците приходи в размер на около 8 милиона евро под формата на откуп. Инициативата предлага новаторски модел на сътрудничество, при който се използва </w:t>
      </w:r>
      <w:r>
        <w:rPr>
          <w:rFonts w:ascii="Times New Roman" w:hAnsi="Times New Roman"/>
          <w:noProof/>
          <w:sz w:val="24"/>
        </w:rPr>
        <w:t xml:space="preserve">ефективно и конкретно публично-частно пратньорство за борба с киберпрестъпността. Инициативата се разрасна и понастоящем в нея участват повече от 100 партньори, включително седем асоциирани и 98 </w:t>
      </w:r>
      <w:r>
        <w:rPr>
          <w:rFonts w:ascii="Times New Roman" w:hAnsi="Times New Roman"/>
          <w:noProof/>
          <w:sz w:val="24"/>
        </w:rPr>
        <w:lastRenderedPageBreak/>
        <w:t>подпомагащи партньори (34 правоприлагащи агенции и 64 организ</w:t>
      </w:r>
      <w:r>
        <w:rPr>
          <w:rFonts w:ascii="Times New Roman" w:hAnsi="Times New Roman"/>
          <w:noProof/>
          <w:sz w:val="24"/>
        </w:rPr>
        <w:t>ации от частния и публичния сектор).</w:t>
      </w:r>
    </w:p>
    <w:p w:rsidR="00BA64F9" w:rsidRDefault="001F41ED">
      <w:pPr>
        <w:spacing w:after="240" w:line="240" w:lineRule="auto"/>
        <w:jc w:val="both"/>
        <w:rPr>
          <w:rFonts w:ascii="Times New Roman" w:eastAsia="Times New Roman" w:hAnsi="Times New Roman" w:cs="Times New Roman"/>
          <w:iCs/>
          <w:noProof/>
          <w:sz w:val="24"/>
          <w:szCs w:val="24"/>
        </w:rPr>
      </w:pPr>
      <w:r>
        <w:rPr>
          <w:rFonts w:ascii="Times New Roman" w:hAnsi="Times New Roman"/>
          <w:noProof/>
          <w:sz w:val="24"/>
        </w:rPr>
        <w:t xml:space="preserve">След месеци на подготовка и координация на международно равнище успешно </w:t>
      </w:r>
      <w:r>
        <w:rPr>
          <w:rFonts w:ascii="Times New Roman" w:hAnsi="Times New Roman"/>
          <w:b/>
          <w:noProof/>
          <w:sz w:val="24"/>
        </w:rPr>
        <w:t>бяха свалени два от най-големите престъпни пазари от даркнет</w:t>
      </w:r>
      <w:r>
        <w:rPr>
          <w:rFonts w:ascii="Times New Roman" w:hAnsi="Times New Roman"/>
          <w:noProof/>
          <w:sz w:val="24"/>
        </w:rPr>
        <w:t xml:space="preserve"> — </w:t>
      </w:r>
      <w:r>
        <w:rPr>
          <w:rFonts w:ascii="Times New Roman" w:hAnsi="Times New Roman"/>
          <w:b/>
          <w:i/>
          <w:noProof/>
          <w:sz w:val="24"/>
        </w:rPr>
        <w:t>AlphaBay</w:t>
      </w:r>
      <w:r>
        <w:rPr>
          <w:rFonts w:ascii="Times New Roman" w:hAnsi="Times New Roman"/>
          <w:b/>
          <w:noProof/>
          <w:sz w:val="24"/>
        </w:rPr>
        <w:t xml:space="preserve"> и </w:t>
      </w:r>
      <w:r>
        <w:rPr>
          <w:rFonts w:ascii="Times New Roman" w:hAnsi="Times New Roman"/>
          <w:b/>
          <w:i/>
          <w:noProof/>
          <w:sz w:val="24"/>
        </w:rPr>
        <w:t>Hansa</w:t>
      </w:r>
      <w:r>
        <w:rPr>
          <w:rFonts w:ascii="Times New Roman" w:hAnsi="Times New Roman"/>
          <w:noProof/>
          <w:sz w:val="24"/>
          <w:vertAlign w:val="superscript"/>
        </w:rPr>
        <w:footnoteReference w:id="59"/>
      </w:r>
      <w:r>
        <w:rPr>
          <w:rFonts w:ascii="Times New Roman" w:hAnsi="Times New Roman"/>
          <w:noProof/>
          <w:sz w:val="24"/>
        </w:rPr>
        <w:t>. Очаква се в резултат на това да бъдат предприети стотици нови раз</w:t>
      </w:r>
      <w:r>
        <w:rPr>
          <w:rFonts w:ascii="Times New Roman" w:hAnsi="Times New Roman"/>
          <w:noProof/>
          <w:sz w:val="24"/>
        </w:rPr>
        <w:t>следвания в Европа. При две мащабни полицейски операции, ръководени от американското Федерално бюро за разследвания, американската Агенция за контрол върху разпространението на наркотици и нидерландската национална полиция с подкрепата на Европол, беше бло</w:t>
      </w:r>
      <w:r>
        <w:rPr>
          <w:rFonts w:ascii="Times New Roman" w:hAnsi="Times New Roman"/>
          <w:noProof/>
          <w:sz w:val="24"/>
        </w:rPr>
        <w:t>кирана инфраструктура на сивата престъпна икономика, която се е занимавала с търговията на над 350 000 незаконни стоки, сред които наркотици, огнестрелни оръжия и зловреден софтуер за извършването на киберпрестъпления. Съгласуваните полицейски акции в ЕС и</w:t>
      </w:r>
      <w:r>
        <w:rPr>
          <w:rFonts w:ascii="Times New Roman" w:hAnsi="Times New Roman"/>
          <w:noProof/>
          <w:sz w:val="24"/>
        </w:rPr>
        <w:t xml:space="preserve"> САЩ са сред най-професионалните операции в борбата с престъпните дейности онлайн.</w:t>
      </w:r>
    </w:p>
    <w:p w:rsidR="00BA64F9" w:rsidRDefault="001F41ED">
      <w:pPr>
        <w:spacing w:after="240" w:line="240" w:lineRule="auto"/>
        <w:jc w:val="both"/>
        <w:rPr>
          <w:rFonts w:ascii="Times New Roman" w:eastAsia="Times New Roman" w:hAnsi="Times New Roman" w:cs="Times New Roman"/>
          <w:i/>
          <w:noProof/>
          <w:sz w:val="24"/>
          <w:szCs w:val="20"/>
        </w:rPr>
      </w:pPr>
      <w:r>
        <w:rPr>
          <w:rFonts w:ascii="Times New Roman" w:hAnsi="Times New Roman"/>
          <w:i/>
          <w:noProof/>
          <w:sz w:val="24"/>
        </w:rPr>
        <w:t xml:space="preserve">3. Външно измерение </w:t>
      </w:r>
    </w:p>
    <w:p w:rsidR="00BA64F9" w:rsidRDefault="001F41ED">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На 26 юли 2017 г. Съдът на Европейския съюз даде становището си относно съвместимостта на </w:t>
      </w:r>
      <w:r>
        <w:rPr>
          <w:rFonts w:ascii="Times New Roman" w:hAnsi="Times New Roman"/>
          <w:b/>
          <w:noProof/>
          <w:sz w:val="24"/>
        </w:rPr>
        <w:t xml:space="preserve">споразумението между ЕС и Канада относно предаването и </w:t>
      </w:r>
      <w:r>
        <w:rPr>
          <w:rFonts w:ascii="Times New Roman" w:hAnsi="Times New Roman"/>
          <w:b/>
          <w:noProof/>
          <w:sz w:val="24"/>
        </w:rPr>
        <w:t>обработката на резервационни данни на пътниците (PNR данни)</w:t>
      </w:r>
      <w:r>
        <w:rPr>
          <w:rFonts w:ascii="Times New Roman" w:hAnsi="Times New Roman"/>
          <w:noProof/>
          <w:sz w:val="24"/>
        </w:rPr>
        <w:t xml:space="preserve"> с Договорите</w:t>
      </w:r>
      <w:r>
        <w:rPr>
          <w:rFonts w:ascii="Times New Roman" w:hAnsi="Times New Roman"/>
          <w:noProof/>
          <w:sz w:val="24"/>
          <w:vertAlign w:val="superscript"/>
        </w:rPr>
        <w:footnoteReference w:id="60"/>
      </w:r>
      <w:r>
        <w:rPr>
          <w:rFonts w:ascii="Times New Roman" w:hAnsi="Times New Roman"/>
          <w:noProof/>
          <w:sz w:val="24"/>
        </w:rPr>
        <w:t>. Според становището на Съда, което е в отговор на искане на Европейския парламент, предвиденото споразумение не може да бъде сключено в сегашния си вид, тъй като някои от разпоредбит</w:t>
      </w:r>
      <w:r>
        <w:rPr>
          <w:rFonts w:ascii="Times New Roman" w:hAnsi="Times New Roman"/>
          <w:noProof/>
          <w:sz w:val="24"/>
        </w:rPr>
        <w:t>е му са несъвместими с основните права, признати от ЕС, по-специално правото на защита на личните данни и правото на зачитане на личния живот. Въпреки че според Съда предаването на PNR данни от ЕС на Канада и намесата в основните права, която съставлява то</w:t>
      </w:r>
      <w:r>
        <w:rPr>
          <w:rFonts w:ascii="Times New Roman" w:hAnsi="Times New Roman"/>
          <w:noProof/>
          <w:sz w:val="24"/>
        </w:rPr>
        <w:t>ва предаване, са обосновани, за да се гарантира общественият ред в контекста на борбата с терористичните престъпления и тежките международни престъпления, той отбеляза, че няколко от разпоредбите на предвиденото споразумение не се ограничават до строго нео</w:t>
      </w:r>
      <w:r>
        <w:rPr>
          <w:rFonts w:ascii="Times New Roman" w:hAnsi="Times New Roman"/>
          <w:noProof/>
          <w:sz w:val="24"/>
        </w:rPr>
        <w:t>бходимото и не предвиждат ясни и достатъчно точни правила.</w:t>
      </w:r>
    </w:p>
    <w:p w:rsidR="00BA64F9" w:rsidRDefault="001F41ED">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Като се има предвид, че използването на PNR данни е важен инструмент в борбата с тероризма и тежките международни престъпления, Комисията ще предприеме необходимите действия, за да може предаването</w:t>
      </w:r>
      <w:r>
        <w:rPr>
          <w:rFonts w:ascii="Times New Roman" w:hAnsi="Times New Roman"/>
          <w:noProof/>
          <w:sz w:val="24"/>
        </w:rPr>
        <w:t xml:space="preserve"> на PNR данни да продължи при пълното зачитане на основните права в съответствие със становището на Съда. Понастоящем Комисията приключва своя анализ на становището на Съда и скоро ще поиска от Съвета мандат за започването на преговори с Канада с цел прера</w:t>
      </w:r>
      <w:r>
        <w:rPr>
          <w:rFonts w:ascii="Times New Roman" w:hAnsi="Times New Roman"/>
          <w:noProof/>
          <w:sz w:val="24"/>
        </w:rPr>
        <w:t xml:space="preserve">зглеждане на съществуващото споразумение, така че то да бъде бързо приведено в съответствие с изискванията, изложени в становището на Съда. </w:t>
      </w:r>
    </w:p>
    <w:p w:rsidR="00BA64F9" w:rsidRDefault="001F41ED">
      <w:pPr>
        <w:spacing w:after="240" w:line="240" w:lineRule="auto"/>
        <w:jc w:val="both"/>
        <w:rPr>
          <w:rFonts w:ascii="Times New Roman" w:eastAsia="Calibri" w:hAnsi="Times New Roman" w:cs="Times New Roman"/>
          <w:b/>
          <w:noProof/>
          <w:sz w:val="24"/>
          <w:szCs w:val="24"/>
        </w:rPr>
      </w:pPr>
      <w:r>
        <w:rPr>
          <w:rFonts w:ascii="Times New Roman" w:hAnsi="Times New Roman"/>
          <w:b/>
          <w:noProof/>
          <w:sz w:val="24"/>
        </w:rPr>
        <w:t>V.</w:t>
      </w:r>
      <w:r>
        <w:rPr>
          <w:noProof/>
        </w:rPr>
        <w:tab/>
      </w:r>
      <w:r>
        <w:rPr>
          <w:rFonts w:ascii="Times New Roman" w:hAnsi="Times New Roman"/>
          <w:b/>
          <w:noProof/>
          <w:sz w:val="24"/>
        </w:rPr>
        <w:t>ЗАКЛЮЧЕНИЕ</w:t>
      </w:r>
    </w:p>
    <w:p w:rsidR="00BA64F9" w:rsidRDefault="001F41ED">
      <w:pPr>
        <w:autoSpaceDE w:val="0"/>
        <w:autoSpaceDN w:val="0"/>
        <w:adjustRightInd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Настоящият доклад представя постигнатия през последната година напредък в създаването на Съюз на сигу</w:t>
      </w:r>
      <w:r>
        <w:rPr>
          <w:rFonts w:ascii="Times New Roman" w:hAnsi="Times New Roman"/>
          <w:noProof/>
          <w:sz w:val="24"/>
        </w:rPr>
        <w:t>рност. Той показва как са изпълнени всички свързани със сигурността приоритети, набелязани в речта за състоянието на Съюза през 2016 г. и в работната програма на Комисията за 2017 г. Работата по изпълнението предоставя основата за по-нататъшни съвместни де</w:t>
      </w:r>
      <w:r>
        <w:rPr>
          <w:rFonts w:ascii="Times New Roman" w:hAnsi="Times New Roman"/>
          <w:noProof/>
          <w:sz w:val="24"/>
        </w:rPr>
        <w:t xml:space="preserve">йствия с Европейския парламент и Съвета през предстоящата година за преодоляване на настоящите заплахи и предизвикателства пред </w:t>
      </w:r>
      <w:r>
        <w:rPr>
          <w:rFonts w:ascii="Times New Roman" w:hAnsi="Times New Roman"/>
          <w:noProof/>
          <w:sz w:val="24"/>
        </w:rPr>
        <w:lastRenderedPageBreak/>
        <w:t>сигурността и в съответствие с приоритетите, които ще бъдат определени в речта за състоянието на Съюза през 2017 г.</w:t>
      </w:r>
    </w:p>
    <w:p w:rsidR="00BA64F9" w:rsidRDefault="001F41ED">
      <w:pPr>
        <w:autoSpaceDE w:val="0"/>
        <w:autoSpaceDN w:val="0"/>
        <w:adjustRightInd w:val="0"/>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Следващият д</w:t>
      </w:r>
      <w:r>
        <w:rPr>
          <w:rFonts w:ascii="Times New Roman" w:hAnsi="Times New Roman"/>
          <w:noProof/>
          <w:sz w:val="24"/>
        </w:rPr>
        <w:t>оклад за напредъка по създаването на Съюз на сигурност ще бъде представен през октомври 2017 г.</w:t>
      </w:r>
    </w:p>
    <w:sectPr w:rsidR="00BA64F9">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1ED" w:rsidRDefault="001F41ED">
      <w:pPr>
        <w:spacing w:after="0" w:line="240" w:lineRule="auto"/>
      </w:pPr>
      <w:r>
        <w:separator/>
      </w:r>
    </w:p>
  </w:endnote>
  <w:endnote w:type="continuationSeparator" w:id="0">
    <w:p w:rsidR="001F41ED" w:rsidRDefault="001F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3A" w:rsidRPr="0084063A" w:rsidRDefault="0084063A" w:rsidP="00840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3A" w:rsidRPr="0084063A" w:rsidRDefault="0084063A" w:rsidP="0084063A">
    <w:pPr>
      <w:pStyle w:val="FooterCoverPage"/>
      <w:rPr>
        <w:rFonts w:ascii="Arial" w:hAnsi="Arial" w:cs="Arial"/>
        <w:b/>
        <w:sz w:val="48"/>
      </w:rPr>
    </w:pPr>
    <w:r w:rsidRPr="0084063A">
      <w:rPr>
        <w:rFonts w:ascii="Arial" w:hAnsi="Arial" w:cs="Arial"/>
        <w:b/>
        <w:sz w:val="48"/>
      </w:rPr>
      <w:t>BG</w:t>
    </w:r>
    <w:r w:rsidRPr="0084063A">
      <w:rPr>
        <w:rFonts w:ascii="Arial" w:hAnsi="Arial" w:cs="Arial"/>
        <w:b/>
        <w:sz w:val="48"/>
      </w:rPr>
      <w:tab/>
    </w:r>
    <w:r w:rsidRPr="0084063A">
      <w:rPr>
        <w:rFonts w:ascii="Arial" w:hAnsi="Arial" w:cs="Arial"/>
        <w:b/>
        <w:sz w:val="48"/>
      </w:rPr>
      <w:tab/>
    </w:r>
    <w:fldSimple w:instr=" DOCVARIABLE &quot;LW_Confidence&quot; \* MERGEFORMAT ">
      <w:r>
        <w:t xml:space="preserve"> </w:t>
      </w:r>
    </w:fldSimple>
    <w:r w:rsidRPr="0084063A">
      <w:tab/>
    </w:r>
    <w:r w:rsidRPr="0084063A">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3A" w:rsidRPr="0084063A" w:rsidRDefault="0084063A" w:rsidP="0084063A">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F9" w:rsidRDefault="00BA64F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909886"/>
      <w:docPartObj>
        <w:docPartGallery w:val="Page Numbers (Bottom of Page)"/>
        <w:docPartUnique/>
      </w:docPartObj>
    </w:sdtPr>
    <w:sdtEndPr>
      <w:rPr>
        <w:noProof/>
      </w:rPr>
    </w:sdtEndPr>
    <w:sdtContent>
      <w:p w:rsidR="00BA64F9" w:rsidRDefault="001F41ED">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84063A">
          <w:rPr>
            <w:rFonts w:ascii="Times New Roman" w:hAnsi="Times New Roman" w:cs="Times New Roman"/>
            <w:noProof/>
          </w:rPr>
          <w:t>14</w:t>
        </w:r>
        <w:r>
          <w:rPr>
            <w:rFonts w:ascii="Times New Roman" w:hAnsi="Times New Roman" w:cs="Times New Roman"/>
            <w:noProof/>
          </w:rPr>
          <w:fldChar w:fldCharType="end"/>
        </w:r>
      </w:p>
    </w:sdtContent>
  </w:sdt>
  <w:p w:rsidR="00BA64F9" w:rsidRDefault="00BA64F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F9" w:rsidRDefault="00BA6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1ED" w:rsidRDefault="001F41ED">
      <w:pPr>
        <w:spacing w:after="0" w:line="240" w:lineRule="auto"/>
      </w:pPr>
      <w:r>
        <w:separator/>
      </w:r>
    </w:p>
  </w:footnote>
  <w:footnote w:type="continuationSeparator" w:id="0">
    <w:p w:rsidR="001F41ED" w:rsidRDefault="001F41ED">
      <w:pPr>
        <w:spacing w:after="0" w:line="240" w:lineRule="auto"/>
      </w:pPr>
      <w:r>
        <w:continuationSeparator/>
      </w:r>
    </w:p>
  </w:footnote>
  <w:footnote w:id="1">
    <w:p w:rsidR="00BA64F9" w:rsidRDefault="001F41ED">
      <w:pPr>
        <w:pStyle w:val="FootnoteText"/>
        <w:ind w:left="357" w:hanging="357"/>
        <w:jc w:val="both"/>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w:t>
      </w:r>
      <w:r>
        <w:tab/>
      </w:r>
      <w:hyperlink r:id="rId1">
        <w:r>
          <w:rPr>
            <w:rStyle w:val="Hyperlink"/>
            <w:rFonts w:ascii="Times New Roman" w:hAnsi="Times New Roman"/>
          </w:rPr>
          <w:t>https://publications.europa.eu/bg/publication-detail/-/publication/c9ff4ff6-9a81-11e6-9bca-01aa7</w:t>
        </w:r>
        <w:r>
          <w:rPr>
            <w:rStyle w:val="Hyperlink"/>
            <w:rFonts w:ascii="Times New Roman" w:hAnsi="Times New Roman"/>
          </w:rPr>
          <w:t>5ed71a1/language-bg/format-PDF/source-40640288</w:t>
        </w:r>
      </w:hyperlink>
      <w:r>
        <w:rPr>
          <w:rFonts w:ascii="Times New Roman" w:hAnsi="Times New Roman"/>
        </w:rPr>
        <w:t>.</w:t>
      </w:r>
    </w:p>
  </w:footnote>
  <w:footnote w:id="2">
    <w:p w:rsidR="00BA64F9" w:rsidRDefault="001F41ED">
      <w:pPr>
        <w:pStyle w:val="FootnoteText"/>
        <w:ind w:left="357" w:hanging="357"/>
        <w:jc w:val="both"/>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w:t>
      </w:r>
      <w:r>
        <w:tab/>
      </w:r>
      <w:hyperlink r:id="rId2">
        <w:r>
          <w:rPr>
            <w:rStyle w:val="Hyperlink"/>
            <w:rFonts w:ascii="Times New Roman" w:hAnsi="Times New Roman"/>
          </w:rPr>
          <w:t>https://ec.europa.eu/info/files/commission-work-programme-2</w:t>
        </w:r>
        <w:r>
          <w:rPr>
            <w:rStyle w:val="Hyperlink"/>
            <w:rFonts w:ascii="Times New Roman" w:hAnsi="Times New Roman"/>
          </w:rPr>
          <w:t>017-delivering-europe-protects-empowers-and-defends-com-2016-710_bg</w:t>
        </w:r>
      </w:hyperlink>
      <w:r>
        <w:rPr>
          <w:rFonts w:ascii="Times New Roman" w:hAnsi="Times New Roman"/>
        </w:rPr>
        <w:t>.</w:t>
      </w:r>
    </w:p>
  </w:footnote>
  <w:footnote w:id="3">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COM(2015) 185 final (28.4.2015 г.).</w:t>
      </w:r>
    </w:p>
  </w:footnote>
  <w:footnote w:id="4">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Регламент (ЕС) 2017/458 (15.3.2017 г.). Вж. също шестия доклад за напредъка по създаването на ефективен и истински Съюз на сигурност (COM(2017) 2</w:t>
      </w:r>
      <w:r>
        <w:rPr>
          <w:rFonts w:ascii="Times New Roman" w:hAnsi="Times New Roman"/>
        </w:rPr>
        <w:t>13 final, 12.4.2017 г.).</w:t>
      </w:r>
    </w:p>
  </w:footnote>
  <w:footnote w:id="5">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194 final (6.4.2016 г.). Вж. също деветия доклад за напредъка към постигането на ефективен и истински Съюз на сигурност (COM(2017) 407 final, 26.7.2017 г.).</w:t>
      </w:r>
    </w:p>
  </w:footnote>
  <w:footnote w:id="6">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731 final (16.11.2016 г.). Вж. също втория докла</w:t>
      </w:r>
      <w:r>
        <w:rPr>
          <w:rFonts w:ascii="Times New Roman" w:hAnsi="Times New Roman"/>
        </w:rPr>
        <w:t>д за напредъка по създаването на ефективен и истински Съюз на сигурност (COM(2016) 732 final, 16.11.2016 г.).</w:t>
      </w:r>
    </w:p>
  </w:footnote>
  <w:footnote w:id="7">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Съветът прие позиция за воденето на преговори на 9 юни 2017 г., а гласуването в комисията по граждански свободи, правосъдие и вътрешни работи (</w:t>
      </w:r>
      <w:r>
        <w:rPr>
          <w:rFonts w:ascii="Times New Roman" w:hAnsi="Times New Roman"/>
        </w:rPr>
        <w:t>LIBE) на Европейския парламент относно нейната позиция за водене на преговори е предвидено за 26 септември 2017 г.</w:t>
      </w:r>
    </w:p>
  </w:footnote>
  <w:footnote w:id="8">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790 final (8.12.2016 г.).</w:t>
      </w:r>
    </w:p>
  </w:footnote>
  <w:footnote w:id="9">
    <w:p w:rsidR="00BA64F9" w:rsidRDefault="001F41ED">
      <w:pPr>
        <w:pStyle w:val="FootnoteText"/>
        <w:ind w:left="357" w:hanging="357"/>
        <w:jc w:val="both"/>
        <w:rPr>
          <w:rFonts w:ascii="Times New Roman" w:hAnsi="Times New Roman" w:cs="Times New Roman"/>
          <w:spacing w:val="-6"/>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pacing w:val="-6"/>
        </w:rPr>
        <w:t>COM(2016) 205 final (6.4.2016 г.). Вж. седмия доклад за напредъка по създаването на ефективен и ист</w:t>
      </w:r>
      <w:r>
        <w:rPr>
          <w:rFonts w:ascii="Times New Roman" w:hAnsi="Times New Roman"/>
          <w:spacing w:val="-6"/>
        </w:rPr>
        <w:t>ински Съюз на сигурност (COM(2017) 261 final, 16.5.2017 г.) за подробен преглед на актуалното състояние.</w:t>
      </w:r>
    </w:p>
  </w:footnote>
  <w:footnote w:id="10">
    <w:p w:rsidR="00BA64F9" w:rsidRDefault="001F41ED">
      <w:pPr>
        <w:pStyle w:val="FootnoteText"/>
        <w:ind w:left="357" w:hanging="357"/>
        <w:jc w:val="both"/>
        <w:rPr>
          <w:rFonts w:ascii="Times New Roman" w:hAnsi="Times New Roman" w:cs="Times New Roman"/>
          <w:spacing w:val="-6"/>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pacing w:val="-6"/>
        </w:rPr>
        <w:t>COM(2016) 881 final (21.12.2016 г.), COM(2016) 882 final (21.12.2016 г.), COM(2016) 883 final (21.12.2016 г.). Вж. третия доклад за напредъка по съз</w:t>
      </w:r>
      <w:r>
        <w:rPr>
          <w:rFonts w:ascii="Times New Roman" w:hAnsi="Times New Roman"/>
          <w:spacing w:val="-6"/>
        </w:rPr>
        <w:t>даването на ефективен и истински Съюз на сигурност (COM(2016) 831 final, 21.12.2016 г.) за описание на законодателните предложения. Вж. също раздел IV.1 по-долу.</w:t>
      </w:r>
    </w:p>
  </w:footnote>
  <w:footnote w:id="11">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Директива (ЕС) 2016/681 (27.4.2016 г.).</w:t>
      </w:r>
    </w:p>
  </w:footnote>
  <w:footnote w:id="12">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Решения на Съвета 2008/615/ПВР и 2008/616/ПВР (2</w:t>
      </w:r>
      <w:r>
        <w:rPr>
          <w:rFonts w:ascii="Times New Roman" w:hAnsi="Times New Roman"/>
        </w:rPr>
        <w:t>3.6.2008 г.).</w:t>
      </w:r>
    </w:p>
  </w:footnote>
  <w:footnote w:id="13">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Годишните статистически данни за Шенгенската информационна система показват, че през 2016 г. компетентните органи на държавите членки са извършили в системата проверки за лица и вещи почти четири милиарда пъти, което представлява увеличени</w:t>
      </w:r>
      <w:r>
        <w:rPr>
          <w:rFonts w:ascii="Times New Roman" w:hAnsi="Times New Roman"/>
        </w:rPr>
        <w:t xml:space="preserve">е с 40 % спрямо 2015 г.  Съответно броят на намерените съответствия е нараснал от около 150 000 през 2015 г. до над 200 000 през 2016 г. Що се отнася до сигналите, създадени от държави членки, към 30 юни 2017 г. в системата е имало общо 73 465 075 сигнала </w:t>
      </w:r>
      <w:r>
        <w:rPr>
          <w:rFonts w:ascii="Times New Roman" w:hAnsi="Times New Roman"/>
        </w:rPr>
        <w:t>(884 169 сигнала за лица), което представлява нарастване с 11 % спрямо 30 юни 2016 г. (увеличение с 9 % при сигналите за лица).</w:t>
      </w:r>
    </w:p>
  </w:footnote>
  <w:footnote w:id="14">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344 final (29.6.2017 г.).</w:t>
      </w:r>
    </w:p>
  </w:footnote>
  <w:footnote w:id="15">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Първоначалното предложение (COM(2016) 7 final, 19.1.2016 г.) е част от съвместната </w:t>
      </w:r>
      <w:r>
        <w:rPr>
          <w:rFonts w:ascii="Times New Roman" w:hAnsi="Times New Roman"/>
        </w:rPr>
        <w:t>декларация относно законодателните приоритети на ЕС за 2017 г.</w:t>
      </w:r>
    </w:p>
  </w:footnote>
  <w:footnote w:id="16">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Вж. седмия доклад за напредъка по създаването на ефективен и истински Съюз на сигурност (COM(2017) 261 final, 16.5.2017 г.).</w:t>
      </w:r>
    </w:p>
  </w:footnote>
  <w:footnote w:id="17">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352 final (29.6.2017 г.). Вж. осмия доклад за напред</w:t>
      </w:r>
      <w:r>
        <w:rPr>
          <w:rFonts w:ascii="Times New Roman" w:hAnsi="Times New Roman"/>
        </w:rPr>
        <w:t xml:space="preserve">ъка по създаването на ефективен и истински Съюз на сигурност (COM(2017) 354 final, 29.6.2017 г.). </w:t>
      </w:r>
    </w:p>
  </w:footnote>
  <w:footnote w:id="18">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Европейска агенция за оперативното управление на широкомащабни информационни системи в пространството на свобода, сигурност и правосъдие.</w:t>
      </w:r>
    </w:p>
  </w:footnote>
  <w:footnote w:id="19">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Европол съста</w:t>
      </w:r>
      <w:r>
        <w:rPr>
          <w:rFonts w:ascii="Times New Roman" w:hAnsi="Times New Roman"/>
        </w:rPr>
        <w:t>ви през 2016 г. над 46 000 нови досиета, което представлява увеличение с 16 % в сравнение с 2015 г. На 1 януари 2017 г. съдържанието на информационната система на Европол е било с 34 % повече в сравнение с 1 януари 2016 г., а общият брой на търсенията в та</w:t>
      </w:r>
      <w:r>
        <w:rPr>
          <w:rFonts w:ascii="Times New Roman" w:hAnsi="Times New Roman"/>
        </w:rPr>
        <w:t xml:space="preserve">зи система е нараснал със 127 % през 2016 г. спрямо 2015 г. </w:t>
      </w:r>
    </w:p>
  </w:footnote>
  <w:footnote w:id="20">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Регламент (EС) 2016/794 (11.5.2016 г.).</w:t>
      </w:r>
    </w:p>
  </w:footnote>
  <w:footnote w:id="21">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602 final (14.9.2016 г.).</w:t>
      </w:r>
    </w:p>
  </w:footnote>
  <w:footnote w:id="22">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602 final (14.9.2016 г.).</w:t>
      </w:r>
    </w:p>
  </w:footnote>
  <w:footnote w:id="23">
    <w:p w:rsidR="00BA64F9" w:rsidRDefault="001F41ED">
      <w:pPr>
        <w:pStyle w:val="FootnoteText"/>
        <w:ind w:left="357" w:hanging="357"/>
        <w:jc w:val="both"/>
        <w:rPr>
          <w:rFonts w:ascii="Times New Roman" w:hAnsi="Times New Roman" w:cs="Times New Roman"/>
          <w:spacing w:val="-4"/>
        </w:rPr>
      </w:pPr>
      <w:r>
        <w:rPr>
          <w:rStyle w:val="FootnoteReference"/>
          <w:rFonts w:ascii="Times New Roman" w:hAnsi="Times New Roman"/>
          <w:spacing w:val="-4"/>
        </w:rPr>
        <w:footnoteRef/>
      </w:r>
      <w:r>
        <w:rPr>
          <w:rFonts w:ascii="Times New Roman" w:hAnsi="Times New Roman"/>
          <w:spacing w:val="-4"/>
        </w:rPr>
        <w:t xml:space="preserve"> </w:t>
      </w:r>
      <w:r>
        <w:rPr>
          <w:spacing w:val="-4"/>
        </w:rPr>
        <w:tab/>
      </w:r>
      <w:r>
        <w:rPr>
          <w:rFonts w:ascii="Times New Roman" w:hAnsi="Times New Roman"/>
          <w:spacing w:val="-4"/>
        </w:rPr>
        <w:t>Групата за борба с тероризма е неформална група извън рамките на ЕС, ко</w:t>
      </w:r>
      <w:r>
        <w:rPr>
          <w:rFonts w:ascii="Times New Roman" w:hAnsi="Times New Roman"/>
          <w:spacing w:val="-4"/>
        </w:rPr>
        <w:t>ято обединява службите за сигурност на държавите – членки на ЕС, Норвегия и Швейцария с цел подпомагане на сътрудничеството и оперативния обмен на разузнавателна информация. Тя изготвя също така съвместни оценки на терористичната заплаха въз основа на разу</w:t>
      </w:r>
      <w:r>
        <w:rPr>
          <w:rFonts w:ascii="Times New Roman" w:hAnsi="Times New Roman"/>
          <w:spacing w:val="-4"/>
        </w:rPr>
        <w:t>знавателна информация от националните служби и си сътрудничи с Центъра за разузнавателни данни и анализ на ситуацията (EU INTCEN).</w:t>
      </w:r>
    </w:p>
  </w:footnote>
  <w:footnote w:id="24">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SEC(2017) 250 final (30.5.2017 г.).</w:t>
      </w:r>
    </w:p>
  </w:footnote>
  <w:footnote w:id="25">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Европейският център за борба с тероризма, Европейският център за борба с киберпрест</w:t>
      </w:r>
      <w:r>
        <w:rPr>
          <w:rFonts w:ascii="Times New Roman" w:hAnsi="Times New Roman"/>
        </w:rPr>
        <w:t>ъпността и Европейският център за борба с контрабандата на мигранти.</w:t>
      </w:r>
    </w:p>
  </w:footnote>
  <w:footnote w:id="26">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Директива (ЕС) 2017/541 (15.3.2017 г.).</w:t>
      </w:r>
    </w:p>
  </w:footnote>
  <w:footnote w:id="27">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Директива (EС) 2017/853 (17.5.2017 г.).</w:t>
      </w:r>
    </w:p>
  </w:footnote>
  <w:footnote w:id="28">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Вж. шестия доклад за напредъка по създаването на ефективен и истински Съюз на сигурност (COM(2017)</w:t>
      </w:r>
      <w:r>
        <w:rPr>
          <w:rFonts w:ascii="Times New Roman" w:hAnsi="Times New Roman"/>
        </w:rPr>
        <w:t xml:space="preserve"> 213 final, 12.4.2017 г.).</w:t>
      </w:r>
    </w:p>
  </w:footnote>
  <w:footnote w:id="29">
    <w:p w:rsidR="00BA64F9" w:rsidRDefault="001F41ED">
      <w:pPr>
        <w:pStyle w:val="FootnoteText"/>
        <w:ind w:left="357" w:hanging="357"/>
        <w:jc w:val="both"/>
        <w:rPr>
          <w:rFonts w:ascii="Times New Roman" w:hAnsi="Times New Roman" w:cs="Times New Roman"/>
          <w:spacing w:val="-4"/>
        </w:rPr>
      </w:pPr>
      <w:r>
        <w:rPr>
          <w:rStyle w:val="FootnoteReference"/>
          <w:rFonts w:ascii="Times New Roman" w:hAnsi="Times New Roman"/>
          <w:spacing w:val="-4"/>
        </w:rPr>
        <w:footnoteRef/>
      </w:r>
      <w:r>
        <w:rPr>
          <w:rFonts w:ascii="Times New Roman" w:hAnsi="Times New Roman"/>
          <w:spacing w:val="-4"/>
        </w:rPr>
        <w:t xml:space="preserve"> </w:t>
      </w:r>
      <w:r>
        <w:rPr>
          <w:spacing w:val="-4"/>
        </w:rPr>
        <w:tab/>
      </w:r>
      <w:r>
        <w:rPr>
          <w:rFonts w:ascii="Times New Roman" w:hAnsi="Times New Roman"/>
          <w:spacing w:val="-4"/>
        </w:rPr>
        <w:t>Заключения на Съвета за определяне на приоритетите на ЕС в борбата срещу организираната и тежката международна престъпност за периода 2018—2021 г. (Документ на Съвета 9450/17, 19.5.2017 г.).</w:t>
      </w:r>
    </w:p>
  </w:footnote>
  <w:footnote w:id="30">
    <w:p w:rsidR="00BA64F9" w:rsidRDefault="001F41ED">
      <w:pPr>
        <w:pStyle w:val="FootnoteText"/>
        <w:ind w:left="357" w:hanging="357"/>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COM(2015) 624 final (2.12.2015 </w:t>
      </w:r>
      <w:r>
        <w:rPr>
          <w:rFonts w:ascii="Times New Roman" w:hAnsi="Times New Roman"/>
        </w:rPr>
        <w:t>г.).</w:t>
      </w:r>
    </w:p>
  </w:footnote>
  <w:footnote w:id="31">
    <w:p w:rsidR="00BA64F9" w:rsidRDefault="001F41ED">
      <w:pPr>
        <w:pStyle w:val="FootnoteText"/>
        <w:ind w:left="357" w:hanging="357"/>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hyperlink r:id="rId3">
        <w:r>
          <w:rPr>
            <w:rStyle w:val="Hyperlink"/>
            <w:rFonts w:ascii="Times New Roman" w:hAnsi="Times New Roman"/>
          </w:rPr>
          <w:t>http://europa.eu/rapid/press-release_STATEMENT-16-4445_en.htm</w:t>
        </w:r>
      </w:hyperlink>
      <w:r>
        <w:rPr>
          <w:rFonts w:ascii="Times New Roman" w:hAnsi="Times New Roman"/>
        </w:rPr>
        <w:t>.</w:t>
      </w:r>
    </w:p>
  </w:footnote>
  <w:footnote w:id="32">
    <w:p w:rsidR="00BA64F9" w:rsidRDefault="001F41ED">
      <w:pPr>
        <w:pStyle w:val="FootnoteText"/>
        <w:ind w:left="357" w:hanging="357"/>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OВ L 39, 9.2.2013 г., стр. 1.</w:t>
      </w:r>
    </w:p>
  </w:footnote>
  <w:footnote w:id="33">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50 final (2.2.2016 г.).</w:t>
      </w:r>
    </w:p>
  </w:footnote>
  <w:footnote w:id="34">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Вж. осмия доклад за напредъка п</w:t>
      </w:r>
      <w:r>
        <w:rPr>
          <w:rFonts w:ascii="Times New Roman" w:hAnsi="Times New Roman"/>
        </w:rPr>
        <w:t>о създаването на ефективен и истински Съюз на сигурност (COM(2017) 354 final, 29.6.2017 г.) и приложение 2 към него за преглед на актуалното състояние на изпълнението на плана за действие за засилване на борбата с финансирането на тероризма.</w:t>
      </w:r>
    </w:p>
  </w:footnote>
  <w:footnote w:id="35">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Вж. третия </w:t>
      </w:r>
      <w:r>
        <w:rPr>
          <w:rFonts w:ascii="Times New Roman" w:hAnsi="Times New Roman"/>
        </w:rPr>
        <w:t>доклад за напредъка по създаването на ефективен и истински Съюз на сигурност (COM(2016) 831 final, 21.12.2016 г.) за подробно описание на законодателните предложения.</w:t>
      </w:r>
    </w:p>
  </w:footnote>
  <w:footnote w:id="36">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Предложение за директива за хармонизиране на определението и наказателните санкции за </w:t>
      </w:r>
      <w:r>
        <w:rPr>
          <w:rFonts w:ascii="Times New Roman" w:hAnsi="Times New Roman"/>
        </w:rPr>
        <w:t>изпирането на пари, COM(2016) 826 final (21.12.2016 г.).</w:t>
      </w:r>
    </w:p>
  </w:footnote>
  <w:footnote w:id="37">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Предложение за регламент за разкриване на незаконни парични плащания, COM(2016) 825 final (21.12.2016 г.).</w:t>
      </w:r>
    </w:p>
  </w:footnote>
  <w:footnote w:id="38">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Предложение за регламент относно взаимното признаване на решенията за обезпечаване и к</w:t>
      </w:r>
      <w:r>
        <w:rPr>
          <w:rFonts w:ascii="Times New Roman" w:hAnsi="Times New Roman"/>
        </w:rPr>
        <w:t>онфискация на активи от престъпления, COM(2016) 819 final (21.12.2016 г.).</w:t>
      </w:r>
    </w:p>
  </w:footnote>
  <w:footnote w:id="39">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450 final (5.7.2016 г.). Вж. деветия доклад за напредъка към постигането на ефективен и истински Съюз на сигурност (COM(2017) 407 final, 26.7.2017 г.) за описание на за</w:t>
      </w:r>
      <w:r>
        <w:rPr>
          <w:rFonts w:ascii="Times New Roman" w:hAnsi="Times New Roman"/>
        </w:rPr>
        <w:t>конодателното предложение. Това е част от съвместната декларация относно законодателните приоритети на ЕС за 2017 г. и следователно съзаконодателите би трябвало да постигнат споразумение преди края на годината. В момента текат тристранни срещи.</w:t>
      </w:r>
    </w:p>
  </w:footnote>
  <w:footnote w:id="40">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w:t>
      </w:r>
      <w:r>
        <w:rPr>
          <w:rFonts w:ascii="Times New Roman" w:hAnsi="Times New Roman"/>
        </w:rPr>
        <w:t>) 375 final (13.7.2017 г.).</w:t>
      </w:r>
    </w:p>
  </w:footnote>
  <w:footnote w:id="41">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C(2017) 3349 final (12.5.2017 г.).</w:t>
      </w:r>
    </w:p>
  </w:footnote>
  <w:footnote w:id="42">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379 final (14.6.2016 г.). Вж. осмия доклад за напредъка по създаването на ефективен и истински Съюз на сигурност (COM(2017) 354 final, 29.6.2017 г.) и приложение 2 към него за п</w:t>
      </w:r>
      <w:r>
        <w:rPr>
          <w:rFonts w:ascii="Times New Roman" w:hAnsi="Times New Roman"/>
        </w:rPr>
        <w:t>реглед на актуалното състояние на изпълнението на действията, набелязани в съобщението от юни 2016 г.</w:t>
      </w:r>
    </w:p>
  </w:footnote>
  <w:footnote w:id="43">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На 19 юни 2017 г. мрежата представи ръководство, озаглавено „Възможни действия спрямо завръщащи се чуждестранни бойци“, което има за цел да помогне на </w:t>
      </w:r>
      <w:r>
        <w:rPr>
          <w:rFonts w:ascii="Times New Roman" w:hAnsi="Times New Roman"/>
        </w:rPr>
        <w:t>държавите членки да се справят с предизвикателствата, поставяни от завръщащи се чуждестранни бойци терористи.</w:t>
      </w:r>
    </w:p>
  </w:footnote>
  <w:footnote w:id="44">
    <w:p w:rsidR="00BA64F9" w:rsidRDefault="001F41ED">
      <w:pPr>
        <w:pStyle w:val="FootnoteText"/>
        <w:ind w:left="357" w:hanging="357"/>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C(2017) 5149 final (27.7.2017 г.).</w:t>
      </w:r>
    </w:p>
  </w:footnote>
  <w:footnote w:id="45">
    <w:p w:rsidR="00BA64F9" w:rsidRDefault="001F41ED">
      <w:pPr>
        <w:pStyle w:val="FootnoteText"/>
        <w:ind w:left="357" w:hanging="357"/>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SWD(2017) 278 final (26.7.2017 г.), стр. 8—11.</w:t>
      </w:r>
    </w:p>
  </w:footnote>
  <w:footnote w:id="46">
    <w:p w:rsidR="00BA64F9" w:rsidRDefault="001F41ED">
      <w:pPr>
        <w:pStyle w:val="FootnoteText"/>
        <w:ind w:left="357" w:hanging="357"/>
        <w:jc w:val="both"/>
        <w:rPr>
          <w:rFonts w:ascii="Times New Roman" w:hAnsi="Times New Roman" w:cs="Times New Roman"/>
          <w:lang w:val="pt-PT"/>
        </w:rPr>
      </w:pPr>
      <w:r>
        <w:rPr>
          <w:rStyle w:val="FootnoteReference"/>
          <w:rFonts w:ascii="Times New Roman" w:hAnsi="Times New Roman"/>
        </w:rPr>
        <w:footnoteRef/>
      </w:r>
      <w:r>
        <w:tab/>
      </w:r>
      <w:r>
        <w:rPr>
          <w:rFonts w:ascii="Times New Roman" w:hAnsi="Times New Roman"/>
        </w:rPr>
        <w:t>COM (2017) 50 final (2.2.2016 г.).</w:t>
      </w:r>
    </w:p>
  </w:footnote>
  <w:footnote w:id="47">
    <w:p w:rsidR="00BA64F9" w:rsidRDefault="001F41ED">
      <w:pPr>
        <w:pStyle w:val="FootnoteText"/>
        <w:ind w:left="357" w:hanging="357"/>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http://ec.europa.eu/smart-regulation/roadmaps/docs/plan_2016_028_cash_restrictions_en.pdf.</w:t>
      </w:r>
    </w:p>
  </w:footnote>
  <w:footnote w:id="48">
    <w:p w:rsidR="00BA64F9" w:rsidRDefault="001F41ED">
      <w:pPr>
        <w:pStyle w:val="FootnoteText"/>
        <w:ind w:left="357" w:hanging="357"/>
        <w:jc w:val="both"/>
        <w:rPr>
          <w:rFonts w:ascii="Times New Roman" w:hAnsi="Times New Roman" w:cs="Times New Roman"/>
          <w:spacing w:val="-2"/>
        </w:rPr>
      </w:pPr>
      <w:r>
        <w:rPr>
          <w:rStyle w:val="FootnoteReference"/>
          <w:rFonts w:ascii="Times New Roman" w:hAnsi="Times New Roman"/>
          <w:spacing w:val="-2"/>
        </w:rPr>
        <w:footnoteRef/>
      </w:r>
      <w:r>
        <w:rPr>
          <w:rFonts w:ascii="Times New Roman" w:hAnsi="Times New Roman"/>
          <w:spacing w:val="-2"/>
        </w:rPr>
        <w:t xml:space="preserve"> </w:t>
      </w:r>
      <w:r>
        <w:rPr>
          <w:spacing w:val="-2"/>
        </w:rPr>
        <w:tab/>
      </w:r>
      <w:r>
        <w:rPr>
          <w:rFonts w:ascii="Times New Roman" w:hAnsi="Times New Roman"/>
          <w:spacing w:val="-2"/>
        </w:rPr>
        <w:t xml:space="preserve">OВ L 195/5-14 (27.7.2010 г.). Чрез Програмата за проследяване на финансирането на тероризма (ППФТ) се събира значителен обем разузнавателна информация, която </w:t>
      </w:r>
      <w:r>
        <w:rPr>
          <w:rFonts w:ascii="Times New Roman" w:hAnsi="Times New Roman"/>
          <w:spacing w:val="-2"/>
        </w:rPr>
        <w:t xml:space="preserve">е помогнала за разкриването на терористични заговори и проследяването на техните автори. Свързаното с нея споразумение относно обмена на финансова информация гарантира защитата на личния живот на гражданите на ЕС и предоставя на правоприлагащите органи на </w:t>
      </w:r>
      <w:r>
        <w:rPr>
          <w:rFonts w:ascii="Times New Roman" w:hAnsi="Times New Roman"/>
          <w:spacing w:val="-2"/>
        </w:rPr>
        <w:t>САЩ и ЕС мощен инструмент за борба с тероризма.</w:t>
      </w:r>
    </w:p>
  </w:footnote>
  <w:footnote w:id="49">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COM(2016) 831 final (21.12.2016 г.). </w:t>
      </w:r>
    </w:p>
  </w:footnote>
  <w:footnote w:id="50">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340 final (26.6.2017г.).</w:t>
      </w:r>
    </w:p>
  </w:footnote>
  <w:footnote w:id="51">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w:t>
      </w:r>
      <w:r>
        <w:rPr>
          <w:rFonts w:ascii="Times New Roman" w:hAnsi="Times New Roman"/>
          <w:color w:val="000000"/>
        </w:rPr>
        <w:t>Mapping Exercise and Gap Analysis on FIUs' Powers and Obstacles for Obtaining and Exchanging Information“ („Проучване и анали</w:t>
      </w:r>
      <w:r>
        <w:rPr>
          <w:rFonts w:ascii="Times New Roman" w:hAnsi="Times New Roman"/>
          <w:color w:val="000000"/>
        </w:rPr>
        <w:t>з на пропуските по отношение на правомощията на ЗФР в ЕС и на пречките за получаване и обмен на информация“), подготвен от проектен екип от държавите членки в</w:t>
      </w:r>
      <w:r>
        <w:rPr>
          <w:rFonts w:ascii="Times New Roman" w:hAnsi="Times New Roman"/>
          <w:color w:val="000000"/>
          <w:lang w:val="it-IT"/>
        </w:rPr>
        <w:t> </w:t>
      </w:r>
      <w:r>
        <w:rPr>
          <w:rFonts w:ascii="Times New Roman" w:hAnsi="Times New Roman"/>
          <w:color w:val="000000"/>
        </w:rPr>
        <w:t>контекста</w:t>
      </w:r>
      <w:r>
        <w:rPr>
          <w:rFonts w:ascii="Times New Roman" w:hAnsi="Times New Roman"/>
          <w:color w:val="000000"/>
          <w:lang w:val="it-IT"/>
        </w:rPr>
        <w:t> </w:t>
      </w:r>
      <w:r>
        <w:rPr>
          <w:rFonts w:ascii="Times New Roman" w:hAnsi="Times New Roman"/>
          <w:color w:val="000000"/>
        </w:rPr>
        <w:t>на</w:t>
      </w:r>
      <w:r>
        <w:rPr>
          <w:rFonts w:ascii="Times New Roman" w:hAnsi="Times New Roman"/>
          <w:color w:val="000000"/>
          <w:lang w:val="it-IT"/>
        </w:rPr>
        <w:t> </w:t>
      </w:r>
      <w:r>
        <w:rPr>
          <w:rFonts w:ascii="Times New Roman" w:hAnsi="Times New Roman"/>
          <w:color w:val="000000"/>
        </w:rPr>
        <w:t>платформата</w:t>
      </w:r>
      <w:r>
        <w:rPr>
          <w:rFonts w:ascii="Times New Roman" w:hAnsi="Times New Roman"/>
          <w:color w:val="000000"/>
          <w:lang w:val="it-IT"/>
        </w:rPr>
        <w:t> </w:t>
      </w:r>
      <w:r>
        <w:rPr>
          <w:rFonts w:ascii="Times New Roman" w:hAnsi="Times New Roman"/>
          <w:color w:val="000000"/>
        </w:rPr>
        <w:t>на</w:t>
      </w:r>
      <w:r>
        <w:rPr>
          <w:rFonts w:ascii="Times New Roman" w:hAnsi="Times New Roman"/>
          <w:color w:val="000000"/>
          <w:lang w:val="it-IT"/>
        </w:rPr>
        <w:t> </w:t>
      </w:r>
      <w:r>
        <w:rPr>
          <w:rFonts w:ascii="Times New Roman" w:hAnsi="Times New Roman"/>
          <w:color w:val="000000"/>
        </w:rPr>
        <w:t>ЗФР</w:t>
      </w:r>
      <w:r>
        <w:rPr>
          <w:rFonts w:ascii="Times New Roman" w:hAnsi="Times New Roman"/>
          <w:color w:val="000000"/>
          <w:lang w:val="it-IT"/>
        </w:rPr>
        <w:t> </w:t>
      </w:r>
      <w:r>
        <w:rPr>
          <w:rFonts w:ascii="Times New Roman" w:hAnsi="Times New Roman"/>
          <w:color w:val="000000"/>
        </w:rPr>
        <w:t>в</w:t>
      </w:r>
      <w:r>
        <w:rPr>
          <w:rFonts w:ascii="Times New Roman" w:hAnsi="Times New Roman"/>
          <w:color w:val="000000"/>
          <w:lang w:val="it-IT"/>
        </w:rPr>
        <w:t> </w:t>
      </w:r>
      <w:r>
        <w:rPr>
          <w:rFonts w:ascii="Times New Roman" w:hAnsi="Times New Roman"/>
          <w:color w:val="000000"/>
        </w:rPr>
        <w:t>ЕС (</w:t>
      </w:r>
      <w:hyperlink r:id="rId4">
        <w:r>
          <w:rPr>
            <w:rStyle w:val="Hyperlink"/>
            <w:rFonts w:ascii="Times New Roman" w:hAnsi="Times New Roman"/>
          </w:rPr>
          <w:t>http://ec.europa.eu/transparency/regexpert/index.cfm?do=groupDetail.groupDetailDoc&amp;id=33583&amp;no=2</w:t>
        </w:r>
      </w:hyperlink>
      <w:r>
        <w:rPr>
          <w:rStyle w:val="Hyperlink"/>
          <w:rFonts w:ascii="Times New Roman" w:hAnsi="Times New Roman"/>
        </w:rPr>
        <w:t>).</w:t>
      </w:r>
      <w:r>
        <w:rPr>
          <w:rFonts w:ascii="Times New Roman" w:hAnsi="Times New Roman"/>
          <w:color w:val="000000"/>
        </w:rPr>
        <w:t xml:space="preserve"> </w:t>
      </w:r>
    </w:p>
  </w:footnote>
  <w:footnote w:id="52">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SWD(2017) 275 final (26 юни 2017 г.).</w:t>
      </w:r>
    </w:p>
  </w:footnote>
  <w:footnote w:id="53">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 xml:space="preserve">Доклад за ситуацията и тенденциите в развитието на </w:t>
      </w:r>
      <w:r>
        <w:rPr>
          <w:rFonts w:ascii="Times New Roman" w:hAnsi="Times New Roman"/>
        </w:rPr>
        <w:t>тероризма 2017 г., Европол.</w:t>
      </w:r>
    </w:p>
  </w:footnote>
  <w:footnote w:id="54">
    <w:p w:rsidR="00BA64F9" w:rsidRDefault="001F41ED">
      <w:pPr>
        <w:pStyle w:val="FootnoteText"/>
        <w:ind w:left="357" w:hanging="357"/>
        <w:jc w:val="both"/>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rPr>
          <w:rFonts w:ascii="Times New Roman" w:hAnsi="Times New Roman"/>
        </w:rPr>
        <w:t xml:space="preserve"> </w:t>
      </w:r>
      <w:r>
        <w:tab/>
      </w:r>
      <w:r>
        <w:rPr>
          <w:rFonts w:ascii="Times New Roman" w:hAnsi="Times New Roman"/>
        </w:rPr>
        <w:t>COM(2017) 103 final (28.2.2017 г.).</w:t>
      </w:r>
    </w:p>
  </w:footnote>
  <w:footnote w:id="55">
    <w:p w:rsidR="00BA64F9" w:rsidRDefault="001F41ED">
      <w:pPr>
        <w:pStyle w:val="FootnoteText"/>
        <w:ind w:left="357" w:hanging="357"/>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41 final (25.1.2017 г.).</w:t>
      </w:r>
    </w:p>
  </w:footnote>
  <w:footnote w:id="56">
    <w:p w:rsidR="00BA64F9" w:rsidRDefault="001F41ED">
      <w:pPr>
        <w:pStyle w:val="FootnoteText"/>
        <w:ind w:left="357" w:hanging="357"/>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881 final (21.12.2016 г.), COM(2016) 882 final (21.12.2016 г.), COM(2016) 883 final (21.12.2016 г.).</w:t>
      </w:r>
    </w:p>
  </w:footnote>
  <w:footnote w:id="57">
    <w:p w:rsidR="00BA64F9" w:rsidRDefault="001F41ED">
      <w:pPr>
        <w:pStyle w:val="FootnoteText"/>
        <w:ind w:left="357" w:hanging="357"/>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COM(2017) 261 final (16.5.2017 </w:t>
      </w:r>
      <w:r>
        <w:rPr>
          <w:rFonts w:ascii="Times New Roman" w:hAnsi="Times New Roman"/>
        </w:rPr>
        <w:t>г.).</w:t>
      </w:r>
    </w:p>
  </w:footnote>
  <w:footnote w:id="58">
    <w:p w:rsidR="00BA64F9" w:rsidRDefault="001F41ED">
      <w:pPr>
        <w:pStyle w:val="FootnoteText"/>
        <w:ind w:left="357" w:hanging="357"/>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hyperlink r:id="rId5">
        <w:r>
          <w:rPr>
            <w:rStyle w:val="Hyperlink"/>
            <w:rFonts w:ascii="Times New Roman" w:hAnsi="Times New Roman"/>
          </w:rPr>
          <w:t>https://www.europol.europa.eu/newsroom/news/over-28-000-devices-decrypted-and-10</w:t>
        </w:r>
        <w:r>
          <w:rPr>
            <w:rStyle w:val="Hyperlink"/>
            <w:rFonts w:ascii="Times New Roman" w:hAnsi="Times New Roman"/>
          </w:rPr>
          <w:t>0-global-partners-%E2%80%93-no-more-ransom-celebrates-its-first-year</w:t>
        </w:r>
      </w:hyperlink>
      <w:r>
        <w:rPr>
          <w:rFonts w:ascii="Times New Roman" w:hAnsi="Times New Roman"/>
        </w:rPr>
        <w:t>.</w:t>
      </w:r>
    </w:p>
  </w:footnote>
  <w:footnote w:id="59">
    <w:p w:rsidR="00BA64F9" w:rsidRDefault="001F41ED">
      <w:pPr>
        <w:pStyle w:val="FootnoteText"/>
        <w:ind w:left="357" w:hanging="357"/>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hyperlink r:id="rId6">
        <w:r>
          <w:rPr>
            <w:rStyle w:val="Hyperlink"/>
            <w:rFonts w:ascii="Times New Roman" w:hAnsi="Times New Roman"/>
          </w:rPr>
          <w:t>https://www.europol.europa.eu/newsroom</w:t>
        </w:r>
        <w:r>
          <w:rPr>
            <w:rStyle w:val="Hyperlink"/>
            <w:rFonts w:ascii="Times New Roman" w:hAnsi="Times New Roman"/>
          </w:rPr>
          <w:t>/news/massive-blow-to-criminal-dark-web-activities-after-globally-coordinated-operation</w:t>
        </w:r>
      </w:hyperlink>
      <w:r>
        <w:rPr>
          <w:rFonts w:ascii="Times New Roman" w:hAnsi="Times New Roman"/>
        </w:rPr>
        <w:t>.</w:t>
      </w:r>
    </w:p>
  </w:footnote>
  <w:footnote w:id="60">
    <w:p w:rsidR="00BA64F9" w:rsidRDefault="001F41ED">
      <w:pPr>
        <w:pStyle w:val="FootnoteText"/>
        <w:ind w:left="357" w:hanging="357"/>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hyperlink r:id="rId7">
        <w:r>
          <w:rPr>
            <w:rStyle w:val="Hyperlink"/>
            <w:rFonts w:ascii="Times New Roman" w:hAnsi="Times New Roman"/>
          </w:rPr>
          <w:t>https://curia.europa.eu/jcms/upload/docs/application/pdf/2017-07/</w:t>
        </w:r>
        <w:r>
          <w:rPr>
            <w:rStyle w:val="Hyperlink"/>
            <w:rFonts w:ascii="Times New Roman" w:hAnsi="Times New Roman"/>
          </w:rPr>
          <w:t>cp170084bg.pdf</w:t>
        </w:r>
      </w:hyperlink>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3A" w:rsidRPr="0084063A" w:rsidRDefault="0084063A" w:rsidP="008406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3A" w:rsidRPr="0084063A" w:rsidRDefault="0084063A" w:rsidP="0084063A">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3A" w:rsidRPr="0084063A" w:rsidRDefault="0084063A" w:rsidP="0084063A">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F9" w:rsidRDefault="00BA64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F9" w:rsidRDefault="00BA64F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F9" w:rsidRDefault="00BA64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AC46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896D0B"/>
    <w:multiLevelType w:val="multilevel"/>
    <w:tmpl w:val="0D06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BC18BC"/>
    <w:multiLevelType w:val="hybridMultilevel"/>
    <w:tmpl w:val="7C72B12C"/>
    <w:lvl w:ilvl="0" w:tplc="2B0A74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C614AA6"/>
    <w:multiLevelType w:val="hybridMultilevel"/>
    <w:tmpl w:val="0AD86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4161E06261DC47F9B69547CEEEE36091"/>
    <w:docVar w:name="LW_CROSSREFERENCE" w:val="&lt;UNUSED&gt;"/>
    <w:docVar w:name="LW_DocType" w:val="NORMAL"/>
    <w:docVar w:name="LW_EMISSION" w:val="7.9.2017"/>
    <w:docVar w:name="LW_EMISSION_ISODATE" w:val="2017-09-07"/>
    <w:docVar w:name="LW_EMISSION_LOCATION" w:val="BRX"/>
    <w:docVar w:name="LW_EMISSION_PREFIX" w:val="\u1041?\u1088?\u1102?\u1082?\u1089?\u1077?\u1083?, "/>
    <w:docVar w:name="LW_EMISSION_SUFFIX" w:val=" \u1075?."/>
    <w:docVar w:name="LW_ID_DOCTYPE_NONLW" w:val="CP-035"/>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466"/>
    <w:docVar w:name="LW_REF.INTERNE" w:val="&lt;UNUSED&gt;"/>
    <w:docVar w:name="LW_SOUS.TITRE.OBJ.CP" w:val="&lt;UNUSED&gt;"/>
    <w:docVar w:name="LW_SUPERTITRE" w:val="&lt;UNUSED&gt;"/>
    <w:docVar w:name="LW_TITRE.OBJ.CP" w:val="\u1044?\u1077?\u1089?\u1077?\u1090?\u1080? \u1076?\u1086?\u1082?\u1083?\u1072?\u1076? \u1079?\u1072? \u1085?\u1072?\u1087?\u1088?\u1077?\u1076?\u1098?\u1082?\u1072? \u1087?\u1086? \u1089?\u1098?\u1079?\u1076?\u1072?\u1074?\u1072?\u1085?\u1077?\u1090?\u1086? \u1085?\u1072? \u1077?\u1092?\u1077?\u1082?\u1090?\u1080?\u1074?\u1077?\u1085? \u1080? \u1080?\u1089?\u1090?\u1080?\u1085?\u1089?\u1082?\u1080? \u1057?\u1098?\u1102?\u1079? \u1085?\u1072? \u1089?\u1080?\u1075?\u1091?\u1088?\u1085?\u1086?\u1089?\u1090?"/>
    <w:docVar w:name="LW_TYPE.DOC.CP" w:val="\u1057?\u1066?\u1054?\u1041?\u1065?\u1045?\u1053?\u1048?\u1045? \u1053?\u1040? \u1050?\u1054?\u1052?\u1048?\u1057?\u1048?\u1071?\u1058?\u1040? \u1044?\u1054? \u1045?\u1042?\u1056?\u1054?\u1055?\u1045?\u1049?\u1057?\u1050?\u1048?\u1071? \u1055?\u1040?\u1056?\u1051?\u1040?\u1052?\u1045?\u1053?\u1058?, \u1045?\u1042?\u1056?\u1054?\u1055?\u1045?\u1049?\u1057?\u1050?\u1048?\u1071? \u1057?\u1066?\u1042?\u1045?\u1058? \u1048? \u1057?\u1066?\u1042?\u1045?\u1058?\u1040?"/>
  </w:docVars>
  <w:rsids>
    <w:rsidRoot w:val="00BA64F9"/>
    <w:rsid w:val="001F41ED"/>
    <w:rsid w:val="0084063A"/>
    <w:rsid w:val="00BA6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WB-Fußnotentext,Fußnote,Footnote Text Char1,Footnote Text Char Char,Footnote Text Char1 Char Char1,Footnote Text Char Char Char Char,Footnote Text Char1 Char Char Char Char,stile 1,Fuß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WB-Fußnotentext Char,Fußnote Char,Footnote Text Char1 Char,Footnote Text Char Char Char,Footnote Text Char1 Char Char1 Char,Footnote Text Char Char Char Char Char"/>
    <w:basedOn w:val="DefaultParagraphFont"/>
    <w:link w:val="FootnoteText"/>
    <w:uiPriority w:val="99"/>
    <w:qFormat/>
    <w:rPr>
      <w:sz w:val="20"/>
      <w:szCs w:val="20"/>
    </w:rPr>
  </w:style>
  <w:style w:type="character" w:styleId="FootnoteReference">
    <w:name w:val="footnote reference"/>
    <w:aliases w:val="BVI fnr,Footnote symbol, BVI fnr,Footnote Reference text,Footnote Reference Superscript,Nota,Footnote,Appel note de bas de p,SUPERS,Odwołanie przypisu,Footnote Reference_LVL6,Footnote Reference_LVL61,Footnote Reference_LVL62,number,FR"/>
    <w:link w:val="Odwo0142anieprzypisu"/>
    <w:uiPriority w:val="99"/>
    <w:qFormat/>
    <w:rPr>
      <w:vertAlign w:val="superscript"/>
    </w:rPr>
  </w:style>
  <w:style w:type="paragraph" w:customStyle="1" w:styleId="Odwo0142anieprzypisu">
    <w:name w:val="Odwo&lt;0142&gt;anie przypisu"/>
    <w:aliases w:val="SUPER,BVI fnr Char1 Char,fr"/>
    <w:basedOn w:val="Normal"/>
    <w:link w:val="FootnoteReference"/>
    <w:uiPriority w:val="99"/>
    <w:pPr>
      <w:spacing w:before="120" w:after="160" w:line="240" w:lineRule="exact"/>
      <w:jc w:val="both"/>
    </w:pPr>
    <w:rPr>
      <w:vertAlign w:val="superscript"/>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Bullet">
    <w:name w:val="List Bullet"/>
    <w:basedOn w:val="Normal"/>
    <w:uiPriority w:val="99"/>
    <w:unhideWhenUsed/>
    <w:pPr>
      <w:numPr>
        <w:numId w:val="1"/>
      </w:numPr>
      <w:contextualSpacing/>
    </w:p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Calibri" w:hAnsi="Times New Roman" w:cs="Times New Roman"/>
      <w:noProof/>
      <w:sz w:val="24"/>
      <w:szCs w:val="20"/>
    </w:rPr>
  </w:style>
  <w:style w:type="character" w:customStyle="1" w:styleId="FooterCoverPageChar">
    <w:name w:val="Footer Cover Page Char"/>
    <w:basedOn w:val="DefaultParagraphFont"/>
    <w:link w:val="FooterCoverPage"/>
    <w:rPr>
      <w:rFonts w:ascii="Times New Roman" w:eastAsia="Calibri" w:hAnsi="Times New Roman" w:cs="Times New Roman"/>
      <w:noProof/>
      <w:sz w:val="24"/>
      <w:szCs w:val="20"/>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Calibri" w:hAnsi="Times New Roman" w:cs="Times New Roman"/>
      <w:noProof/>
      <w:sz w:val="24"/>
      <w:szCs w:val="20"/>
    </w:rPr>
  </w:style>
  <w:style w:type="character" w:customStyle="1" w:styleId="HeaderCoverPageChar">
    <w:name w:val="Header Cover Page Char"/>
    <w:basedOn w:val="DefaultParagraphFont"/>
    <w:link w:val="HeaderCoverPage"/>
    <w:rPr>
      <w:rFonts w:ascii="Times New Roman" w:eastAsia="Calibri" w:hAnsi="Times New Roman" w:cs="Times New Roman"/>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WB-Fußnotentext,Fußnote,Footnote Text Char1,Footnote Text Char Char,Footnote Text Char1 Char Char1,Footnote Text Char Char Char Char,Footnote Text Char1 Char Char Char Char,stile 1,Fuß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WB-Fußnotentext Char,Fußnote Char,Footnote Text Char1 Char,Footnote Text Char Char Char,Footnote Text Char1 Char Char1 Char,Footnote Text Char Char Char Char Char"/>
    <w:basedOn w:val="DefaultParagraphFont"/>
    <w:link w:val="FootnoteText"/>
    <w:uiPriority w:val="99"/>
    <w:qFormat/>
    <w:rPr>
      <w:sz w:val="20"/>
      <w:szCs w:val="20"/>
    </w:rPr>
  </w:style>
  <w:style w:type="character" w:styleId="FootnoteReference">
    <w:name w:val="footnote reference"/>
    <w:aliases w:val="BVI fnr,Footnote symbol, BVI fnr,Footnote Reference text,Footnote Reference Superscript,Nota,Footnote,Appel note de bas de p,SUPERS,Odwołanie przypisu,Footnote Reference_LVL6,Footnote Reference_LVL61,Footnote Reference_LVL62,number,FR"/>
    <w:link w:val="Odwo0142anieprzypisu"/>
    <w:uiPriority w:val="99"/>
    <w:qFormat/>
    <w:rPr>
      <w:vertAlign w:val="superscript"/>
    </w:rPr>
  </w:style>
  <w:style w:type="paragraph" w:customStyle="1" w:styleId="Odwo0142anieprzypisu">
    <w:name w:val="Odwo&lt;0142&gt;anie przypisu"/>
    <w:aliases w:val="SUPER,BVI fnr Char1 Char,fr"/>
    <w:basedOn w:val="Normal"/>
    <w:link w:val="FootnoteReference"/>
    <w:uiPriority w:val="99"/>
    <w:pPr>
      <w:spacing w:before="120" w:after="160" w:line="240" w:lineRule="exact"/>
      <w:jc w:val="both"/>
    </w:pPr>
    <w:rPr>
      <w:vertAlign w:val="superscript"/>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Bullet">
    <w:name w:val="List Bullet"/>
    <w:basedOn w:val="Normal"/>
    <w:uiPriority w:val="99"/>
    <w:unhideWhenUsed/>
    <w:pPr>
      <w:numPr>
        <w:numId w:val="1"/>
      </w:numPr>
      <w:contextualSpacing/>
    </w:p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Calibri" w:hAnsi="Times New Roman" w:cs="Times New Roman"/>
      <w:noProof/>
      <w:sz w:val="24"/>
      <w:szCs w:val="20"/>
    </w:rPr>
  </w:style>
  <w:style w:type="character" w:customStyle="1" w:styleId="FooterCoverPageChar">
    <w:name w:val="Footer Cover Page Char"/>
    <w:basedOn w:val="DefaultParagraphFont"/>
    <w:link w:val="FooterCoverPage"/>
    <w:rPr>
      <w:rFonts w:ascii="Times New Roman" w:eastAsia="Calibri" w:hAnsi="Times New Roman" w:cs="Times New Roman"/>
      <w:noProof/>
      <w:sz w:val="24"/>
      <w:szCs w:val="20"/>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Calibri" w:hAnsi="Times New Roman" w:cs="Times New Roman"/>
      <w:noProof/>
      <w:sz w:val="24"/>
      <w:szCs w:val="20"/>
    </w:rPr>
  </w:style>
  <w:style w:type="character" w:customStyle="1" w:styleId="HeaderCoverPageChar">
    <w:name w:val="Header Cover Page Char"/>
    <w:basedOn w:val="DefaultParagraphFont"/>
    <w:link w:val="HeaderCoverPage"/>
    <w:rPr>
      <w:rFonts w:ascii="Times New Roman" w:eastAsia="Calibri"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6467">
      <w:bodyDiv w:val="1"/>
      <w:marLeft w:val="0"/>
      <w:marRight w:val="0"/>
      <w:marTop w:val="0"/>
      <w:marBottom w:val="0"/>
      <w:divBdr>
        <w:top w:val="none" w:sz="0" w:space="0" w:color="auto"/>
        <w:left w:val="none" w:sz="0" w:space="0" w:color="auto"/>
        <w:bottom w:val="none" w:sz="0" w:space="0" w:color="auto"/>
        <w:right w:val="none" w:sz="0" w:space="0" w:color="auto"/>
      </w:divBdr>
    </w:div>
    <w:div w:id="31260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opa.eu/rapid/press-release_STATEMENT-16-4445_en.htm" TargetMode="External"/><Relationship Id="rId7" Type="http://schemas.openxmlformats.org/officeDocument/2006/relationships/hyperlink" Target="https://curia.europa.eu/jcms/upload/docs/application/pdf/2017-07/cp170084bg.pdf" TargetMode="External"/><Relationship Id="rId2" Type="http://schemas.openxmlformats.org/officeDocument/2006/relationships/hyperlink" Target="https://ec.europa.eu/info/files/commission-work-programme-2017-delivering-europe-protects-empowers-and-defends-com-2016-710_bg" TargetMode="External"/><Relationship Id="rId1" Type="http://schemas.openxmlformats.org/officeDocument/2006/relationships/hyperlink" Target="https://publications.europa.eu/bg/publication-detail/-/publication/c9ff4ff6-9a81-11e6-9bca-01aa75ed71a1/language-bg/format-PDF/source-40640288" TargetMode="External"/><Relationship Id="rId6" Type="http://schemas.openxmlformats.org/officeDocument/2006/relationships/hyperlink" Target="https://www.europol.europa.eu/newsroom/news/massive-blow-to-criminal-dark-web-activities-after-globally-coordinated-operation" TargetMode="External"/><Relationship Id="rId5" Type="http://schemas.openxmlformats.org/officeDocument/2006/relationships/hyperlink" Target="https://www.europol.europa.eu/newsroom/news/over-28-000-devices-decrypted-and-100-global-partners-%E2%80%93-no-more-ransom-celebrates-its-first-year" TargetMode="External"/><Relationship Id="rId4" Type="http://schemas.openxmlformats.org/officeDocument/2006/relationships/hyperlink" Target="http://ec.europa.eu/transparency/regexpert/index.cfm?do=groupDetail.groupDetailDoc&amp;id=33583&amp;n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20E20-8AC5-4AC7-9476-9E783159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4963</Words>
  <Characters>28786</Characters>
  <Application>Microsoft Office Word</Application>
  <DocSecurity>0</DocSecurity>
  <Lines>442</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21</cp:revision>
  <cp:lastPrinted>2017-08-31T14:19:00Z</cp:lastPrinted>
  <dcterms:created xsi:type="dcterms:W3CDTF">2017-09-05T10:34:00Z</dcterms:created>
  <dcterms:modified xsi:type="dcterms:W3CDTF">2017-10-17T07:48:00Z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