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C67" w:rsidRDefault="00B377E0">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20CF8F58BCB45C3AC3DE21DBCBA748F" style="width:450.75pt;height:493.5pt">
            <v:imagedata r:id="rId8" o:title=""/>
          </v:shape>
        </w:pict>
      </w:r>
    </w:p>
    <w:p w:rsidR="00444C67" w:rsidRDefault="00444C67">
      <w:pPr>
        <w:rPr>
          <w:noProof/>
        </w:rPr>
        <w:sectPr w:rsidR="00444C67">
          <w:footerReference w:type="default" r:id="rId9"/>
          <w:pgSz w:w="11907" w:h="16839"/>
          <w:pgMar w:top="1134" w:right="1417" w:bottom="1134" w:left="1417" w:header="709" w:footer="709" w:gutter="0"/>
          <w:pgNumType w:start="1"/>
          <w:cols w:space="720"/>
          <w:docGrid w:linePitch="360"/>
        </w:sectPr>
      </w:pPr>
    </w:p>
    <w:p w:rsidR="00444C67" w:rsidRDefault="00B377E0">
      <w:pPr>
        <w:spacing w:before="0" w:after="160" w:line="259" w:lineRule="auto"/>
        <w:jc w:val="center"/>
        <w:rPr>
          <w:rFonts w:eastAsia="Calibri"/>
          <w:b/>
          <w:noProof/>
          <w:sz w:val="22"/>
        </w:rPr>
      </w:pPr>
      <w:r>
        <w:rPr>
          <w:b/>
          <w:noProof/>
          <w:sz w:val="22"/>
        </w:rPr>
        <w:lastRenderedPageBreak/>
        <w:t>ANNEXE IV</w:t>
      </w:r>
    </w:p>
    <w:p w:rsidR="00444C67" w:rsidRDefault="00B377E0">
      <w:pPr>
        <w:spacing w:before="0" w:after="160" w:line="259" w:lineRule="auto"/>
        <w:jc w:val="center"/>
        <w:rPr>
          <w:rFonts w:eastAsia="Calibri"/>
          <w:b/>
          <w:noProof/>
          <w:sz w:val="22"/>
        </w:rPr>
      </w:pPr>
      <w:r>
        <w:rPr>
          <w:b/>
          <w:noProof/>
          <w:sz w:val="22"/>
        </w:rPr>
        <w:t xml:space="preserve">Contingents tarifaires applicables aux importations dans l'Union européenne de produits </w:t>
      </w:r>
      <w:r>
        <w:rPr>
          <w:b/>
          <w:noProof/>
          <w:sz w:val="22"/>
        </w:rPr>
        <w:t>originaires de Norvège</w:t>
      </w:r>
    </w:p>
    <w:tbl>
      <w:tblPr>
        <w:tblStyle w:val="TableGrid"/>
        <w:tblW w:w="0" w:type="auto"/>
        <w:tblLook w:val="04A0" w:firstRow="1" w:lastRow="0" w:firstColumn="1" w:lastColumn="0" w:noHBand="0" w:noVBand="1"/>
      </w:tblPr>
      <w:tblGrid>
        <w:gridCol w:w="1731"/>
        <w:gridCol w:w="3160"/>
        <w:gridCol w:w="1433"/>
        <w:gridCol w:w="1819"/>
        <w:gridCol w:w="1145"/>
      </w:tblGrid>
      <w:tr w:rsidR="00444C67">
        <w:tc>
          <w:tcPr>
            <w:tcW w:w="1838" w:type="dxa"/>
          </w:tcPr>
          <w:p w:rsidR="00444C67" w:rsidRDefault="00B377E0">
            <w:pPr>
              <w:spacing w:before="0" w:after="0"/>
              <w:jc w:val="left"/>
              <w:rPr>
                <w:rFonts w:eastAsia="Calibri"/>
                <w:noProof/>
                <w:sz w:val="22"/>
              </w:rPr>
            </w:pPr>
            <w:r>
              <w:rPr>
                <w:noProof/>
                <w:sz w:val="22"/>
              </w:rPr>
              <w:t>Code</w:t>
            </w:r>
            <w:r>
              <w:rPr>
                <w:rFonts w:ascii="Calibri" w:hAnsi="Calibri"/>
                <w:noProof/>
                <w:sz w:val="22"/>
              </w:rPr>
              <w:t xml:space="preserve"> NC</w:t>
            </w:r>
          </w:p>
        </w:tc>
        <w:tc>
          <w:tcPr>
            <w:tcW w:w="3304" w:type="dxa"/>
          </w:tcPr>
          <w:p w:rsidR="00444C67" w:rsidRDefault="00B377E0">
            <w:pPr>
              <w:spacing w:before="0" w:after="0"/>
              <w:jc w:val="center"/>
              <w:rPr>
                <w:rFonts w:eastAsia="Calibri"/>
                <w:noProof/>
                <w:sz w:val="22"/>
              </w:rPr>
            </w:pPr>
            <w:r>
              <w:rPr>
                <w:rFonts w:ascii="Calibri" w:hAnsi="Calibri"/>
                <w:noProof/>
                <w:sz w:val="22"/>
              </w:rPr>
              <w:t xml:space="preserve">Description de la nomenclature combinée </w:t>
            </w:r>
          </w:p>
        </w:tc>
        <w:tc>
          <w:tcPr>
            <w:tcW w:w="1448" w:type="dxa"/>
          </w:tcPr>
          <w:p w:rsidR="00444C67" w:rsidRDefault="00B377E0">
            <w:pPr>
              <w:spacing w:before="0" w:after="0"/>
              <w:jc w:val="center"/>
              <w:rPr>
                <w:rFonts w:eastAsia="Calibri"/>
                <w:noProof/>
                <w:sz w:val="22"/>
              </w:rPr>
            </w:pPr>
            <w:r>
              <w:rPr>
                <w:noProof/>
                <w:sz w:val="22"/>
              </w:rPr>
              <w:t>Contingents tarifaires consolidés (quantités annuelles en tonnes)</w:t>
            </w:r>
          </w:p>
        </w:tc>
        <w:tc>
          <w:tcPr>
            <w:tcW w:w="1351" w:type="dxa"/>
          </w:tcPr>
          <w:p w:rsidR="00444C67" w:rsidRDefault="00B377E0">
            <w:pPr>
              <w:spacing w:before="0" w:after="0"/>
              <w:jc w:val="center"/>
              <w:rPr>
                <w:rFonts w:eastAsia="Calibri"/>
                <w:noProof/>
                <w:sz w:val="22"/>
              </w:rPr>
            </w:pPr>
            <w:r>
              <w:rPr>
                <w:noProof/>
                <w:sz w:val="22"/>
              </w:rPr>
              <w:t>Dont contingents supplémentaires</w:t>
            </w:r>
            <w:r>
              <w:rPr>
                <w:noProof/>
                <w:sz w:val="22"/>
                <w:vertAlign w:val="superscript"/>
              </w:rPr>
              <w:t>(</w:t>
            </w:r>
            <w:r>
              <w:rPr>
                <w:rStyle w:val="FootnoteReference"/>
                <w:noProof/>
              </w:rPr>
              <w:footnoteReference w:id="1"/>
            </w:r>
            <w:r>
              <w:rPr>
                <w:noProof/>
                <w:sz w:val="22"/>
                <w:vertAlign w:val="superscript"/>
              </w:rPr>
              <w:t>)</w:t>
            </w:r>
          </w:p>
        </w:tc>
        <w:tc>
          <w:tcPr>
            <w:tcW w:w="1121" w:type="dxa"/>
          </w:tcPr>
          <w:p w:rsidR="00444C67" w:rsidRDefault="00B377E0">
            <w:pPr>
              <w:spacing w:before="0" w:after="0"/>
              <w:jc w:val="center"/>
              <w:rPr>
                <w:rFonts w:eastAsia="Calibri"/>
                <w:noProof/>
                <w:sz w:val="22"/>
              </w:rPr>
            </w:pPr>
            <w:r>
              <w:rPr>
                <w:noProof/>
                <w:sz w:val="22"/>
              </w:rPr>
              <w:t>Droits dans le cadre du contingent (EUR/kg)</w:t>
            </w:r>
          </w:p>
        </w:tc>
      </w:tr>
      <w:tr w:rsidR="00444C67">
        <w:tc>
          <w:tcPr>
            <w:tcW w:w="1838" w:type="dxa"/>
            <w:vAlign w:val="center"/>
          </w:tcPr>
          <w:p w:rsidR="00444C67" w:rsidRDefault="00B377E0">
            <w:pPr>
              <w:spacing w:before="0" w:after="0"/>
              <w:jc w:val="left"/>
              <w:rPr>
                <w:rFonts w:eastAsia="Calibri"/>
                <w:noProof/>
                <w:sz w:val="22"/>
              </w:rPr>
            </w:pPr>
            <w:r>
              <w:rPr>
                <w:noProof/>
                <w:sz w:val="22"/>
              </w:rPr>
              <w:t>0207 14 30</w:t>
            </w:r>
          </w:p>
        </w:tc>
        <w:tc>
          <w:tcPr>
            <w:tcW w:w="3304" w:type="dxa"/>
          </w:tcPr>
          <w:p w:rsidR="00444C67" w:rsidRDefault="00B377E0">
            <w:pPr>
              <w:spacing w:before="0" w:after="0"/>
              <w:jc w:val="left"/>
              <w:rPr>
                <w:rFonts w:eastAsia="Calibri"/>
                <w:b/>
                <w:noProof/>
                <w:sz w:val="22"/>
              </w:rPr>
            </w:pPr>
            <w:r>
              <w:rPr>
                <w:b/>
                <w:noProof/>
                <w:sz w:val="22"/>
              </w:rPr>
              <w:t xml:space="preserve">Viandes et abats </w:t>
            </w:r>
            <w:r>
              <w:rPr>
                <w:b/>
                <w:noProof/>
                <w:sz w:val="22"/>
              </w:rPr>
              <w:t>comestibles, frais, réfrigérés ou congelés, des volailles du n° 0105</w:t>
            </w:r>
          </w:p>
          <w:p w:rsidR="00444C67" w:rsidRDefault="00B377E0">
            <w:pPr>
              <w:spacing w:before="0" w:after="0"/>
              <w:jc w:val="left"/>
              <w:rPr>
                <w:rFonts w:eastAsia="Calibri"/>
                <w:noProof/>
                <w:sz w:val="22"/>
              </w:rPr>
            </w:pPr>
            <w:r>
              <w:rPr>
                <w:noProof/>
                <w:sz w:val="22"/>
              </w:rPr>
              <w:t xml:space="preserve">de coqs ou de poules de l’espèce </w:t>
            </w:r>
            <w:r>
              <w:rPr>
                <w:i/>
                <w:noProof/>
                <w:sz w:val="22"/>
              </w:rPr>
              <w:t>Gallus domesticus</w:t>
            </w:r>
          </w:p>
          <w:p w:rsidR="00444C67" w:rsidRDefault="00B377E0">
            <w:pPr>
              <w:spacing w:before="0" w:after="0"/>
              <w:jc w:val="left"/>
              <w:rPr>
                <w:rFonts w:eastAsia="Calibri"/>
                <w:noProof/>
                <w:sz w:val="22"/>
              </w:rPr>
            </w:pPr>
            <w:r>
              <w:rPr>
                <w:noProof/>
                <w:sz w:val="22"/>
              </w:rPr>
              <w:t>morceaux, non désossés, congelés</w:t>
            </w:r>
          </w:p>
          <w:p w:rsidR="00444C67" w:rsidRDefault="00B377E0">
            <w:pPr>
              <w:spacing w:before="0" w:after="0"/>
              <w:jc w:val="left"/>
              <w:rPr>
                <w:rFonts w:eastAsia="Calibri"/>
                <w:noProof/>
                <w:sz w:val="22"/>
              </w:rPr>
            </w:pPr>
            <w:r>
              <w:rPr>
                <w:rFonts w:ascii="Calibri" w:hAnsi="Calibri"/>
                <w:noProof/>
                <w:sz w:val="22"/>
              </w:rPr>
              <w:t>ailes entières, même sans la pointe</w:t>
            </w:r>
          </w:p>
        </w:tc>
        <w:tc>
          <w:tcPr>
            <w:tcW w:w="1448" w:type="dxa"/>
            <w:vAlign w:val="center"/>
          </w:tcPr>
          <w:p w:rsidR="00444C67" w:rsidRDefault="00B377E0">
            <w:pPr>
              <w:spacing w:before="0" w:after="0"/>
              <w:jc w:val="center"/>
              <w:rPr>
                <w:rFonts w:eastAsia="Calibri"/>
                <w:noProof/>
                <w:sz w:val="22"/>
              </w:rPr>
            </w:pPr>
            <w:r>
              <w:rPr>
                <w:noProof/>
                <w:sz w:val="22"/>
              </w:rPr>
              <w:t>550</w:t>
            </w:r>
          </w:p>
        </w:tc>
        <w:tc>
          <w:tcPr>
            <w:tcW w:w="1351" w:type="dxa"/>
            <w:vAlign w:val="center"/>
          </w:tcPr>
          <w:p w:rsidR="00444C67" w:rsidRDefault="00B377E0">
            <w:pPr>
              <w:spacing w:before="0" w:after="0"/>
              <w:jc w:val="center"/>
              <w:rPr>
                <w:rFonts w:eastAsia="Calibri"/>
                <w:noProof/>
                <w:sz w:val="22"/>
              </w:rPr>
            </w:pPr>
            <w:r>
              <w:rPr>
                <w:noProof/>
                <w:sz w:val="22"/>
              </w:rPr>
              <w:t>550</w:t>
            </w:r>
          </w:p>
        </w:tc>
        <w:tc>
          <w:tcPr>
            <w:tcW w:w="1121" w:type="dxa"/>
            <w:vAlign w:val="center"/>
          </w:tcPr>
          <w:p w:rsidR="00444C67" w:rsidRDefault="00B377E0">
            <w:pPr>
              <w:spacing w:before="0" w:after="0"/>
              <w:jc w:val="center"/>
              <w:rPr>
                <w:rFonts w:eastAsia="Calibri"/>
                <w:noProof/>
                <w:sz w:val="22"/>
              </w:rPr>
            </w:pPr>
            <w:r>
              <w:rPr>
                <w:noProof/>
                <w:sz w:val="22"/>
              </w:rPr>
              <w:t>0</w:t>
            </w:r>
          </w:p>
        </w:tc>
      </w:tr>
      <w:tr w:rsidR="00444C67">
        <w:tc>
          <w:tcPr>
            <w:tcW w:w="1838" w:type="dxa"/>
            <w:vAlign w:val="center"/>
          </w:tcPr>
          <w:p w:rsidR="00444C67" w:rsidRDefault="00B377E0">
            <w:pPr>
              <w:spacing w:before="0" w:after="0"/>
              <w:jc w:val="left"/>
              <w:rPr>
                <w:rFonts w:eastAsia="Calibri"/>
                <w:noProof/>
                <w:sz w:val="22"/>
              </w:rPr>
            </w:pPr>
            <w:r>
              <w:rPr>
                <w:noProof/>
                <w:sz w:val="22"/>
              </w:rPr>
              <w:t>0207 14 70</w:t>
            </w:r>
          </w:p>
        </w:tc>
        <w:tc>
          <w:tcPr>
            <w:tcW w:w="3304" w:type="dxa"/>
          </w:tcPr>
          <w:p w:rsidR="00444C67" w:rsidRDefault="00B377E0">
            <w:pPr>
              <w:spacing w:before="0" w:after="0"/>
              <w:jc w:val="left"/>
              <w:rPr>
                <w:rFonts w:eastAsia="Calibri"/>
                <w:b/>
                <w:noProof/>
                <w:sz w:val="22"/>
              </w:rPr>
            </w:pPr>
            <w:r>
              <w:rPr>
                <w:b/>
                <w:noProof/>
                <w:sz w:val="22"/>
              </w:rPr>
              <w:t xml:space="preserve">Viandes et abats comestibles, frais, réfrigérés ou congelés, des volailles du n° 0105 </w:t>
            </w:r>
          </w:p>
          <w:p w:rsidR="00444C67" w:rsidRDefault="00B377E0">
            <w:pPr>
              <w:spacing w:before="0" w:after="0"/>
              <w:jc w:val="left"/>
              <w:rPr>
                <w:rFonts w:eastAsia="Calibri"/>
                <w:i/>
                <w:noProof/>
                <w:sz w:val="22"/>
              </w:rPr>
            </w:pPr>
            <w:r>
              <w:rPr>
                <w:noProof/>
                <w:sz w:val="22"/>
              </w:rPr>
              <w:t xml:space="preserve">de coqs ou de poules de l’espèce </w:t>
            </w:r>
            <w:r>
              <w:rPr>
                <w:i/>
                <w:noProof/>
                <w:sz w:val="22"/>
              </w:rPr>
              <w:t>Gallus domesticus</w:t>
            </w:r>
          </w:p>
          <w:p w:rsidR="00444C67" w:rsidRDefault="00B377E0">
            <w:pPr>
              <w:spacing w:before="0" w:after="0"/>
              <w:jc w:val="left"/>
              <w:rPr>
                <w:rFonts w:eastAsia="Calibri"/>
                <w:noProof/>
                <w:sz w:val="22"/>
              </w:rPr>
            </w:pPr>
            <w:r>
              <w:rPr>
                <w:noProof/>
                <w:sz w:val="22"/>
              </w:rPr>
              <w:t>autres morceaux, non désossés, congelés</w:t>
            </w:r>
          </w:p>
        </w:tc>
        <w:tc>
          <w:tcPr>
            <w:tcW w:w="1448" w:type="dxa"/>
            <w:vAlign w:val="center"/>
          </w:tcPr>
          <w:p w:rsidR="00444C67" w:rsidRDefault="00B377E0">
            <w:pPr>
              <w:spacing w:before="0" w:after="0"/>
              <w:jc w:val="center"/>
              <w:rPr>
                <w:rFonts w:eastAsia="Calibri"/>
                <w:noProof/>
                <w:sz w:val="22"/>
              </w:rPr>
            </w:pPr>
            <w:r>
              <w:rPr>
                <w:noProof/>
                <w:sz w:val="22"/>
              </w:rPr>
              <w:t>150</w:t>
            </w:r>
          </w:p>
        </w:tc>
        <w:tc>
          <w:tcPr>
            <w:tcW w:w="1351" w:type="dxa"/>
            <w:vAlign w:val="center"/>
          </w:tcPr>
          <w:p w:rsidR="00444C67" w:rsidRDefault="00B377E0">
            <w:pPr>
              <w:spacing w:before="0" w:after="0"/>
              <w:jc w:val="center"/>
              <w:rPr>
                <w:rFonts w:eastAsia="Calibri"/>
                <w:noProof/>
                <w:sz w:val="22"/>
              </w:rPr>
            </w:pPr>
            <w:r>
              <w:rPr>
                <w:noProof/>
                <w:sz w:val="22"/>
              </w:rPr>
              <w:t>150</w:t>
            </w:r>
          </w:p>
        </w:tc>
        <w:tc>
          <w:tcPr>
            <w:tcW w:w="1121" w:type="dxa"/>
            <w:vAlign w:val="center"/>
          </w:tcPr>
          <w:p w:rsidR="00444C67" w:rsidRDefault="00B377E0">
            <w:pPr>
              <w:spacing w:before="0" w:after="0"/>
              <w:jc w:val="center"/>
              <w:rPr>
                <w:rFonts w:eastAsia="Calibri"/>
                <w:noProof/>
                <w:sz w:val="22"/>
              </w:rPr>
            </w:pPr>
            <w:r>
              <w:rPr>
                <w:noProof/>
                <w:sz w:val="22"/>
              </w:rPr>
              <w:t>0</w:t>
            </w:r>
          </w:p>
        </w:tc>
      </w:tr>
      <w:tr w:rsidR="00444C67">
        <w:tc>
          <w:tcPr>
            <w:tcW w:w="1838" w:type="dxa"/>
          </w:tcPr>
          <w:p w:rsidR="00444C67" w:rsidRDefault="00444C67">
            <w:pPr>
              <w:spacing w:before="0" w:after="0"/>
              <w:jc w:val="left"/>
              <w:rPr>
                <w:rFonts w:eastAsia="Calibri"/>
                <w:noProof/>
                <w:sz w:val="22"/>
              </w:rPr>
            </w:pPr>
          </w:p>
          <w:p w:rsidR="00444C67" w:rsidRDefault="00B377E0">
            <w:pPr>
              <w:spacing w:before="0" w:after="0"/>
              <w:jc w:val="left"/>
              <w:rPr>
                <w:rFonts w:eastAsia="Calibri"/>
                <w:noProof/>
                <w:sz w:val="22"/>
              </w:rPr>
            </w:pPr>
            <w:r>
              <w:rPr>
                <w:noProof/>
                <w:sz w:val="22"/>
              </w:rPr>
              <w:t>0204</w:t>
            </w:r>
          </w:p>
          <w:p w:rsidR="00444C67" w:rsidRDefault="00444C67">
            <w:pPr>
              <w:spacing w:before="0" w:after="0"/>
              <w:jc w:val="left"/>
              <w:rPr>
                <w:rFonts w:eastAsia="Calibri"/>
                <w:noProof/>
                <w:sz w:val="22"/>
              </w:rPr>
            </w:pPr>
          </w:p>
          <w:p w:rsidR="00444C67" w:rsidRDefault="00444C67">
            <w:pPr>
              <w:spacing w:before="0" w:after="0"/>
              <w:jc w:val="left"/>
              <w:rPr>
                <w:rFonts w:eastAsia="Calibri"/>
                <w:noProof/>
                <w:sz w:val="22"/>
              </w:rPr>
            </w:pPr>
          </w:p>
          <w:p w:rsidR="00444C67" w:rsidRDefault="00B377E0">
            <w:pPr>
              <w:spacing w:before="0" w:after="0"/>
              <w:jc w:val="left"/>
              <w:rPr>
                <w:rFonts w:eastAsia="Calibri"/>
                <w:noProof/>
                <w:sz w:val="22"/>
              </w:rPr>
            </w:pPr>
            <w:r>
              <w:rPr>
                <w:noProof/>
                <w:sz w:val="22"/>
              </w:rPr>
              <w:t>0210</w:t>
            </w:r>
          </w:p>
        </w:tc>
        <w:tc>
          <w:tcPr>
            <w:tcW w:w="3304" w:type="dxa"/>
          </w:tcPr>
          <w:p w:rsidR="00444C67" w:rsidRDefault="00444C67">
            <w:pPr>
              <w:spacing w:before="0" w:after="0"/>
              <w:jc w:val="left"/>
              <w:rPr>
                <w:rFonts w:eastAsia="Calibri"/>
                <w:noProof/>
                <w:sz w:val="22"/>
              </w:rPr>
            </w:pPr>
          </w:p>
          <w:p w:rsidR="00444C67" w:rsidRDefault="00B377E0">
            <w:pPr>
              <w:spacing w:before="0" w:after="0"/>
              <w:jc w:val="left"/>
              <w:rPr>
                <w:rFonts w:eastAsia="Calibri"/>
                <w:noProof/>
                <w:sz w:val="22"/>
              </w:rPr>
            </w:pPr>
            <w:r>
              <w:rPr>
                <w:noProof/>
                <w:sz w:val="22"/>
              </w:rPr>
              <w:t>Viandes des animaux des espèces ovine ou caprine, fra</w:t>
            </w:r>
            <w:r>
              <w:rPr>
                <w:noProof/>
                <w:sz w:val="22"/>
              </w:rPr>
              <w:t>îches, réfrigérées ou congelées</w:t>
            </w:r>
          </w:p>
          <w:p w:rsidR="00444C67" w:rsidRDefault="00444C67">
            <w:pPr>
              <w:spacing w:before="0" w:after="0"/>
              <w:jc w:val="left"/>
              <w:rPr>
                <w:rFonts w:eastAsia="Calibri"/>
                <w:noProof/>
                <w:sz w:val="22"/>
              </w:rPr>
            </w:pPr>
          </w:p>
          <w:p w:rsidR="00444C67" w:rsidRDefault="00B377E0">
            <w:pPr>
              <w:spacing w:before="0" w:after="0"/>
              <w:jc w:val="left"/>
              <w:rPr>
                <w:rFonts w:eastAsia="Calibri"/>
                <w:noProof/>
                <w:sz w:val="22"/>
              </w:rPr>
            </w:pPr>
            <w:r>
              <w:rPr>
                <w:noProof/>
                <w:sz w:val="22"/>
              </w:rPr>
              <w:t>Viandes et abats comestibles, salés, en saumure, séchés ou fumés, farines et poudres, comestibles de viande ou d'abats</w:t>
            </w:r>
          </w:p>
        </w:tc>
        <w:tc>
          <w:tcPr>
            <w:tcW w:w="1448" w:type="dxa"/>
            <w:vAlign w:val="center"/>
          </w:tcPr>
          <w:p w:rsidR="00444C67" w:rsidRDefault="00B377E0">
            <w:pPr>
              <w:spacing w:before="0" w:after="0"/>
              <w:jc w:val="center"/>
              <w:rPr>
                <w:rFonts w:eastAsia="Calibri"/>
                <w:noProof/>
                <w:sz w:val="22"/>
              </w:rPr>
            </w:pPr>
            <w:r>
              <w:rPr>
                <w:noProof/>
                <w:sz w:val="22"/>
              </w:rPr>
              <w:t>500</w:t>
            </w:r>
          </w:p>
        </w:tc>
        <w:tc>
          <w:tcPr>
            <w:tcW w:w="1351" w:type="dxa"/>
            <w:vAlign w:val="center"/>
          </w:tcPr>
          <w:p w:rsidR="00444C67" w:rsidRDefault="00B377E0">
            <w:pPr>
              <w:spacing w:before="0" w:after="0"/>
              <w:jc w:val="center"/>
              <w:rPr>
                <w:rFonts w:eastAsia="Calibri"/>
                <w:noProof/>
                <w:sz w:val="22"/>
              </w:rPr>
            </w:pPr>
            <w:r>
              <w:rPr>
                <w:noProof/>
                <w:sz w:val="22"/>
              </w:rPr>
              <w:t>0</w:t>
            </w:r>
          </w:p>
        </w:tc>
        <w:tc>
          <w:tcPr>
            <w:tcW w:w="1121" w:type="dxa"/>
            <w:vAlign w:val="center"/>
          </w:tcPr>
          <w:p w:rsidR="00444C67" w:rsidRDefault="00B377E0">
            <w:pPr>
              <w:spacing w:before="0" w:after="0"/>
              <w:jc w:val="center"/>
              <w:rPr>
                <w:rFonts w:eastAsia="Calibri"/>
                <w:noProof/>
                <w:sz w:val="22"/>
              </w:rPr>
            </w:pPr>
            <w:r>
              <w:rPr>
                <w:noProof/>
                <w:sz w:val="22"/>
              </w:rPr>
              <w:t>0</w:t>
            </w:r>
          </w:p>
        </w:tc>
      </w:tr>
      <w:tr w:rsidR="00444C67">
        <w:tc>
          <w:tcPr>
            <w:tcW w:w="1838" w:type="dxa"/>
            <w:vAlign w:val="center"/>
          </w:tcPr>
          <w:p w:rsidR="00444C67" w:rsidRDefault="00B377E0">
            <w:pPr>
              <w:spacing w:before="0" w:after="0"/>
              <w:jc w:val="left"/>
              <w:rPr>
                <w:rFonts w:eastAsia="Calibri"/>
                <w:noProof/>
                <w:sz w:val="22"/>
              </w:rPr>
            </w:pPr>
            <w:r>
              <w:rPr>
                <w:noProof/>
                <w:sz w:val="22"/>
              </w:rPr>
              <w:t>0404 10</w:t>
            </w:r>
          </w:p>
        </w:tc>
        <w:tc>
          <w:tcPr>
            <w:tcW w:w="3304" w:type="dxa"/>
          </w:tcPr>
          <w:p w:rsidR="00444C67" w:rsidRDefault="00B377E0">
            <w:pPr>
              <w:spacing w:before="0" w:after="0"/>
              <w:jc w:val="left"/>
              <w:rPr>
                <w:rFonts w:ascii="Calibri" w:eastAsia="Calibri" w:hAnsi="Calibri"/>
                <w:noProof/>
                <w:sz w:val="22"/>
              </w:rPr>
            </w:pPr>
            <w:r>
              <w:rPr>
                <w:rFonts w:ascii="Calibri" w:hAnsi="Calibri"/>
                <w:noProof/>
                <w:sz w:val="22"/>
              </w:rPr>
              <w:t xml:space="preserve">Lactosérum, modifié ou non, même concentré ou additionné de sucre ou d'autres </w:t>
            </w:r>
            <w:r>
              <w:rPr>
                <w:rFonts w:ascii="Calibri" w:hAnsi="Calibri"/>
                <w:noProof/>
                <w:sz w:val="22"/>
              </w:rPr>
              <w:t>édulcorants</w:t>
            </w:r>
          </w:p>
        </w:tc>
        <w:tc>
          <w:tcPr>
            <w:tcW w:w="1448" w:type="dxa"/>
            <w:vAlign w:val="center"/>
          </w:tcPr>
          <w:p w:rsidR="00444C67" w:rsidRDefault="00B377E0">
            <w:pPr>
              <w:spacing w:before="0" w:after="0"/>
              <w:jc w:val="center"/>
              <w:rPr>
                <w:rFonts w:eastAsia="Calibri"/>
                <w:noProof/>
                <w:sz w:val="22"/>
              </w:rPr>
            </w:pPr>
            <w:r>
              <w:rPr>
                <w:noProof/>
                <w:sz w:val="22"/>
              </w:rPr>
              <w:t>1250</w:t>
            </w:r>
          </w:p>
        </w:tc>
        <w:tc>
          <w:tcPr>
            <w:tcW w:w="1351" w:type="dxa"/>
            <w:vAlign w:val="center"/>
          </w:tcPr>
          <w:p w:rsidR="00444C67" w:rsidRDefault="00B377E0">
            <w:pPr>
              <w:spacing w:before="0" w:after="0"/>
              <w:jc w:val="center"/>
              <w:rPr>
                <w:rFonts w:eastAsia="Calibri"/>
                <w:noProof/>
                <w:sz w:val="22"/>
              </w:rPr>
            </w:pPr>
            <w:r>
              <w:rPr>
                <w:noProof/>
                <w:sz w:val="22"/>
              </w:rPr>
              <w:t>1250</w:t>
            </w:r>
          </w:p>
        </w:tc>
        <w:tc>
          <w:tcPr>
            <w:tcW w:w="1121" w:type="dxa"/>
            <w:vAlign w:val="center"/>
          </w:tcPr>
          <w:p w:rsidR="00444C67" w:rsidRDefault="00B377E0">
            <w:pPr>
              <w:spacing w:before="0" w:after="0"/>
              <w:jc w:val="center"/>
              <w:rPr>
                <w:rFonts w:eastAsia="Calibri"/>
                <w:noProof/>
                <w:sz w:val="22"/>
              </w:rPr>
            </w:pPr>
            <w:r>
              <w:rPr>
                <w:noProof/>
                <w:sz w:val="22"/>
              </w:rPr>
              <w:t>0</w:t>
            </w:r>
          </w:p>
        </w:tc>
      </w:tr>
      <w:tr w:rsidR="00444C67">
        <w:tc>
          <w:tcPr>
            <w:tcW w:w="1838" w:type="dxa"/>
            <w:vAlign w:val="center"/>
          </w:tcPr>
          <w:p w:rsidR="00444C67" w:rsidRDefault="00B377E0">
            <w:pPr>
              <w:spacing w:before="0" w:after="0"/>
              <w:jc w:val="left"/>
              <w:rPr>
                <w:rFonts w:eastAsia="Calibri"/>
                <w:noProof/>
                <w:sz w:val="22"/>
              </w:rPr>
            </w:pPr>
            <w:r>
              <w:rPr>
                <w:noProof/>
                <w:sz w:val="22"/>
              </w:rPr>
              <w:t>0404 10 02</w:t>
            </w:r>
          </w:p>
        </w:tc>
        <w:tc>
          <w:tcPr>
            <w:tcW w:w="3304" w:type="dxa"/>
          </w:tcPr>
          <w:p w:rsidR="00444C67" w:rsidRDefault="00B377E0">
            <w:pPr>
              <w:spacing w:before="0" w:after="0"/>
              <w:jc w:val="left"/>
              <w:rPr>
                <w:rFonts w:ascii="Calibri" w:eastAsia="Calibri" w:hAnsi="Calibri" w:cs="Calibri"/>
                <w:noProof/>
                <w:color w:val="000000"/>
                <w:sz w:val="22"/>
              </w:rPr>
            </w:pPr>
            <w:r>
              <w:rPr>
                <w:rFonts w:ascii="Calibri" w:hAnsi="Calibri"/>
                <w:noProof/>
                <w:color w:val="000000"/>
                <w:sz w:val="22"/>
              </w:rPr>
              <w:t>Lactosérum, modifié ou non, en poudre, en granulés ou sous d’autres formes solides, sans addition de sucre ou d’autres édulcorants, d’une teneur en poids de protéines [teneur en azote x 6,38] &lt;</w:t>
            </w:r>
            <w:r>
              <w:rPr>
                <w:rFonts w:ascii="Calibri" w:hAnsi="Calibri"/>
                <w:noProof/>
                <w:color w:val="000000"/>
                <w:sz w:val="22"/>
              </w:rPr>
              <w:t>= 15 % et d’une teneur en poids de matières grasses &lt;= 1,5 %</w:t>
            </w:r>
          </w:p>
        </w:tc>
        <w:tc>
          <w:tcPr>
            <w:tcW w:w="1448" w:type="dxa"/>
            <w:vAlign w:val="center"/>
          </w:tcPr>
          <w:p w:rsidR="00444C67" w:rsidRDefault="00B377E0">
            <w:pPr>
              <w:spacing w:before="0" w:after="0"/>
              <w:jc w:val="center"/>
              <w:rPr>
                <w:rFonts w:eastAsia="Calibri"/>
                <w:noProof/>
                <w:sz w:val="22"/>
              </w:rPr>
            </w:pPr>
            <w:r>
              <w:rPr>
                <w:noProof/>
                <w:sz w:val="22"/>
              </w:rPr>
              <w:t>3150</w:t>
            </w:r>
          </w:p>
        </w:tc>
        <w:tc>
          <w:tcPr>
            <w:tcW w:w="1351" w:type="dxa"/>
            <w:vAlign w:val="center"/>
          </w:tcPr>
          <w:p w:rsidR="00444C67" w:rsidRDefault="00B377E0">
            <w:pPr>
              <w:spacing w:before="0" w:after="0"/>
              <w:jc w:val="center"/>
              <w:rPr>
                <w:rFonts w:eastAsia="Calibri"/>
                <w:noProof/>
                <w:sz w:val="22"/>
              </w:rPr>
            </w:pPr>
            <w:r>
              <w:rPr>
                <w:noProof/>
                <w:sz w:val="22"/>
              </w:rPr>
              <w:t>3150</w:t>
            </w:r>
          </w:p>
        </w:tc>
        <w:tc>
          <w:tcPr>
            <w:tcW w:w="1121" w:type="dxa"/>
            <w:vAlign w:val="center"/>
          </w:tcPr>
          <w:p w:rsidR="00444C67" w:rsidRDefault="00B377E0">
            <w:pPr>
              <w:spacing w:before="0" w:after="0"/>
              <w:jc w:val="center"/>
              <w:rPr>
                <w:rFonts w:eastAsia="Calibri"/>
                <w:noProof/>
                <w:sz w:val="22"/>
              </w:rPr>
            </w:pPr>
            <w:r>
              <w:rPr>
                <w:noProof/>
                <w:sz w:val="22"/>
              </w:rPr>
              <w:t>0</w:t>
            </w:r>
          </w:p>
        </w:tc>
      </w:tr>
      <w:tr w:rsidR="00444C67">
        <w:tc>
          <w:tcPr>
            <w:tcW w:w="1838" w:type="dxa"/>
            <w:vAlign w:val="center"/>
          </w:tcPr>
          <w:p w:rsidR="00444C67" w:rsidRDefault="00B377E0">
            <w:pPr>
              <w:spacing w:before="0" w:after="0"/>
              <w:jc w:val="left"/>
              <w:rPr>
                <w:rFonts w:eastAsia="Calibri"/>
                <w:noProof/>
                <w:sz w:val="22"/>
              </w:rPr>
            </w:pPr>
            <w:r>
              <w:rPr>
                <w:noProof/>
                <w:sz w:val="22"/>
              </w:rPr>
              <w:t>0603 19 70</w:t>
            </w:r>
          </w:p>
        </w:tc>
        <w:tc>
          <w:tcPr>
            <w:tcW w:w="3304" w:type="dxa"/>
          </w:tcPr>
          <w:p w:rsidR="00444C67" w:rsidRDefault="00B377E0">
            <w:pPr>
              <w:spacing w:before="0" w:after="0"/>
              <w:jc w:val="left"/>
              <w:rPr>
                <w:rFonts w:eastAsia="Calibri"/>
                <w:b/>
                <w:noProof/>
                <w:sz w:val="22"/>
              </w:rPr>
            </w:pPr>
            <w:r>
              <w:rPr>
                <w:rFonts w:ascii="Calibri" w:hAnsi="Calibri"/>
                <w:noProof/>
                <w:sz w:val="22"/>
              </w:rPr>
              <w:t xml:space="preserve">Fleurs et boutons de fleurs, </w:t>
            </w:r>
            <w:r>
              <w:rPr>
                <w:rFonts w:ascii="Calibri" w:hAnsi="Calibri"/>
                <w:noProof/>
                <w:sz w:val="22"/>
              </w:rPr>
              <w:lastRenderedPageBreak/>
              <w:t>coupés, pour bouquets ou pour ornements, frais, autres que des roses, œillets, orchidées, chrysanthèmes, Lys (</w:t>
            </w:r>
            <w:r>
              <w:rPr>
                <w:rFonts w:ascii="Calibri" w:hAnsi="Calibri"/>
                <w:i/>
                <w:noProof/>
                <w:sz w:val="22"/>
              </w:rPr>
              <w:t>Lilium</w:t>
            </w:r>
            <w:r>
              <w:rPr>
                <w:rFonts w:ascii="Calibri" w:hAnsi="Calibri"/>
                <w:noProof/>
                <w:sz w:val="22"/>
              </w:rPr>
              <w:t xml:space="preserve"> spp.), glaïeuls et renoncules </w:t>
            </w:r>
          </w:p>
        </w:tc>
        <w:tc>
          <w:tcPr>
            <w:tcW w:w="1448" w:type="dxa"/>
            <w:vAlign w:val="center"/>
          </w:tcPr>
          <w:p w:rsidR="00444C67" w:rsidRDefault="00B377E0">
            <w:pPr>
              <w:spacing w:before="0" w:after="0"/>
              <w:jc w:val="center"/>
              <w:rPr>
                <w:rFonts w:eastAsia="Calibri"/>
                <w:noProof/>
                <w:sz w:val="22"/>
              </w:rPr>
            </w:pPr>
            <w:r>
              <w:rPr>
                <w:noProof/>
                <w:sz w:val="22"/>
              </w:rPr>
              <w:lastRenderedPageBreak/>
              <w:t xml:space="preserve">500 000 </w:t>
            </w:r>
          </w:p>
          <w:p w:rsidR="00444C67" w:rsidRDefault="00B377E0">
            <w:pPr>
              <w:spacing w:before="0" w:after="0"/>
              <w:jc w:val="center"/>
              <w:rPr>
                <w:rFonts w:eastAsia="Calibri"/>
                <w:noProof/>
                <w:sz w:val="22"/>
              </w:rPr>
            </w:pPr>
            <w:r>
              <w:rPr>
                <w:noProof/>
                <w:sz w:val="22"/>
              </w:rPr>
              <w:t>EUR</w:t>
            </w:r>
          </w:p>
        </w:tc>
        <w:tc>
          <w:tcPr>
            <w:tcW w:w="1351" w:type="dxa"/>
            <w:vAlign w:val="center"/>
          </w:tcPr>
          <w:p w:rsidR="00444C67" w:rsidRDefault="00B377E0">
            <w:pPr>
              <w:spacing w:before="0" w:after="0"/>
              <w:jc w:val="center"/>
              <w:rPr>
                <w:rFonts w:eastAsia="Calibri"/>
                <w:noProof/>
                <w:sz w:val="22"/>
              </w:rPr>
            </w:pPr>
            <w:r>
              <w:rPr>
                <w:noProof/>
                <w:sz w:val="22"/>
              </w:rPr>
              <w:t>500 000 EUR</w:t>
            </w:r>
          </w:p>
        </w:tc>
        <w:tc>
          <w:tcPr>
            <w:tcW w:w="1121" w:type="dxa"/>
            <w:vAlign w:val="center"/>
          </w:tcPr>
          <w:p w:rsidR="00444C67" w:rsidRDefault="00B377E0">
            <w:pPr>
              <w:spacing w:before="0" w:after="0"/>
              <w:jc w:val="center"/>
              <w:rPr>
                <w:rFonts w:eastAsia="Calibri"/>
                <w:noProof/>
                <w:sz w:val="22"/>
              </w:rPr>
            </w:pPr>
            <w:r>
              <w:rPr>
                <w:noProof/>
                <w:sz w:val="22"/>
              </w:rPr>
              <w:t>0</w:t>
            </w:r>
          </w:p>
        </w:tc>
      </w:tr>
      <w:tr w:rsidR="00444C67">
        <w:tc>
          <w:tcPr>
            <w:tcW w:w="1838" w:type="dxa"/>
            <w:vAlign w:val="center"/>
          </w:tcPr>
          <w:p w:rsidR="00444C67" w:rsidRDefault="00B377E0">
            <w:pPr>
              <w:spacing w:before="0" w:after="0"/>
              <w:jc w:val="left"/>
              <w:rPr>
                <w:rFonts w:eastAsia="Calibri"/>
                <w:noProof/>
                <w:sz w:val="22"/>
              </w:rPr>
            </w:pPr>
            <w:r>
              <w:rPr>
                <w:noProof/>
                <w:sz w:val="22"/>
              </w:rPr>
              <w:lastRenderedPageBreak/>
              <w:t>1602</w:t>
            </w:r>
          </w:p>
        </w:tc>
        <w:tc>
          <w:tcPr>
            <w:tcW w:w="3304" w:type="dxa"/>
          </w:tcPr>
          <w:p w:rsidR="00444C67" w:rsidRDefault="00B377E0">
            <w:pPr>
              <w:spacing w:before="0" w:after="0"/>
              <w:jc w:val="left"/>
              <w:rPr>
                <w:rFonts w:ascii="Calibri" w:eastAsia="Calibri" w:hAnsi="Calibri"/>
                <w:noProof/>
                <w:sz w:val="22"/>
              </w:rPr>
            </w:pPr>
            <w:r>
              <w:rPr>
                <w:rFonts w:ascii="Calibri" w:hAnsi="Calibri"/>
                <w:noProof/>
                <w:sz w:val="22"/>
              </w:rPr>
              <w:t>Autres préparations et conserves de viande, d'abats ou de sang</w:t>
            </w:r>
          </w:p>
        </w:tc>
        <w:tc>
          <w:tcPr>
            <w:tcW w:w="1448" w:type="dxa"/>
            <w:vAlign w:val="center"/>
          </w:tcPr>
          <w:p w:rsidR="00444C67" w:rsidRDefault="00B377E0">
            <w:pPr>
              <w:spacing w:before="0" w:after="0"/>
              <w:jc w:val="center"/>
              <w:rPr>
                <w:rFonts w:eastAsia="Calibri"/>
                <w:noProof/>
                <w:sz w:val="22"/>
              </w:rPr>
            </w:pPr>
            <w:r>
              <w:rPr>
                <w:noProof/>
                <w:sz w:val="22"/>
              </w:rPr>
              <w:t>300</w:t>
            </w:r>
          </w:p>
        </w:tc>
        <w:tc>
          <w:tcPr>
            <w:tcW w:w="1351" w:type="dxa"/>
            <w:vAlign w:val="center"/>
          </w:tcPr>
          <w:p w:rsidR="00444C67" w:rsidRDefault="00B377E0">
            <w:pPr>
              <w:spacing w:before="0" w:after="0"/>
              <w:jc w:val="center"/>
              <w:rPr>
                <w:rFonts w:eastAsia="Calibri"/>
                <w:noProof/>
                <w:sz w:val="22"/>
              </w:rPr>
            </w:pPr>
            <w:r>
              <w:rPr>
                <w:noProof/>
                <w:sz w:val="22"/>
              </w:rPr>
              <w:t>300</w:t>
            </w:r>
          </w:p>
        </w:tc>
        <w:tc>
          <w:tcPr>
            <w:tcW w:w="1121" w:type="dxa"/>
            <w:vAlign w:val="center"/>
          </w:tcPr>
          <w:p w:rsidR="00444C67" w:rsidRDefault="00B377E0">
            <w:pPr>
              <w:spacing w:before="0" w:after="0"/>
              <w:jc w:val="center"/>
              <w:rPr>
                <w:rFonts w:eastAsia="Calibri"/>
                <w:noProof/>
                <w:sz w:val="22"/>
              </w:rPr>
            </w:pPr>
            <w:r>
              <w:rPr>
                <w:noProof/>
                <w:sz w:val="22"/>
              </w:rPr>
              <w:t>0</w:t>
            </w:r>
          </w:p>
        </w:tc>
      </w:tr>
      <w:tr w:rsidR="00444C67">
        <w:tc>
          <w:tcPr>
            <w:tcW w:w="1838" w:type="dxa"/>
            <w:vAlign w:val="center"/>
          </w:tcPr>
          <w:p w:rsidR="00444C67" w:rsidRDefault="00B377E0">
            <w:pPr>
              <w:spacing w:before="0" w:after="0"/>
              <w:jc w:val="left"/>
              <w:rPr>
                <w:rFonts w:eastAsia="Calibri"/>
                <w:noProof/>
                <w:sz w:val="22"/>
              </w:rPr>
            </w:pPr>
            <w:r>
              <w:rPr>
                <w:noProof/>
                <w:sz w:val="22"/>
              </w:rPr>
              <w:t>2005 20 20</w:t>
            </w:r>
          </w:p>
        </w:tc>
        <w:tc>
          <w:tcPr>
            <w:tcW w:w="3304" w:type="dxa"/>
          </w:tcPr>
          <w:p w:rsidR="00444C67" w:rsidRDefault="00B377E0">
            <w:pPr>
              <w:spacing w:before="0" w:after="0"/>
              <w:jc w:val="left"/>
              <w:rPr>
                <w:rFonts w:ascii="Calibri" w:eastAsia="Calibri" w:hAnsi="Calibri"/>
                <w:noProof/>
                <w:sz w:val="22"/>
              </w:rPr>
            </w:pPr>
            <w:r>
              <w:rPr>
                <w:rFonts w:ascii="Calibri" w:hAnsi="Calibri"/>
                <w:noProof/>
                <w:sz w:val="22"/>
              </w:rPr>
              <w:t>Pommes de terre, en fines tranches, frites, même salées ou aromatisées, en emballages hermétiquement clos,</w:t>
            </w:r>
            <w:r>
              <w:rPr>
                <w:rFonts w:ascii="Calibri" w:hAnsi="Calibri"/>
                <w:noProof/>
                <w:sz w:val="22"/>
              </w:rPr>
              <w:t xml:space="preserve"> propres à la consommation en l'état</w:t>
            </w:r>
          </w:p>
        </w:tc>
        <w:tc>
          <w:tcPr>
            <w:tcW w:w="1448" w:type="dxa"/>
            <w:vAlign w:val="center"/>
          </w:tcPr>
          <w:p w:rsidR="00444C67" w:rsidRDefault="00B377E0">
            <w:pPr>
              <w:spacing w:before="0" w:after="0"/>
              <w:jc w:val="center"/>
              <w:rPr>
                <w:rFonts w:eastAsia="Calibri"/>
                <w:noProof/>
                <w:sz w:val="22"/>
              </w:rPr>
            </w:pPr>
            <w:r>
              <w:rPr>
                <w:noProof/>
                <w:sz w:val="22"/>
              </w:rPr>
              <w:t>350</w:t>
            </w:r>
          </w:p>
        </w:tc>
        <w:tc>
          <w:tcPr>
            <w:tcW w:w="1351" w:type="dxa"/>
            <w:vAlign w:val="center"/>
          </w:tcPr>
          <w:p w:rsidR="00444C67" w:rsidRDefault="00B377E0">
            <w:pPr>
              <w:spacing w:before="0" w:after="0"/>
              <w:jc w:val="center"/>
              <w:rPr>
                <w:rFonts w:eastAsia="Calibri"/>
                <w:noProof/>
                <w:sz w:val="22"/>
              </w:rPr>
            </w:pPr>
            <w:r>
              <w:rPr>
                <w:noProof/>
                <w:sz w:val="22"/>
              </w:rPr>
              <w:t>150</w:t>
            </w:r>
          </w:p>
        </w:tc>
        <w:tc>
          <w:tcPr>
            <w:tcW w:w="1121" w:type="dxa"/>
            <w:vAlign w:val="center"/>
          </w:tcPr>
          <w:p w:rsidR="00444C67" w:rsidRDefault="00B377E0">
            <w:pPr>
              <w:spacing w:before="0" w:after="0"/>
              <w:jc w:val="center"/>
              <w:rPr>
                <w:rFonts w:eastAsia="Calibri"/>
                <w:noProof/>
                <w:sz w:val="22"/>
              </w:rPr>
            </w:pPr>
            <w:r>
              <w:rPr>
                <w:noProof/>
                <w:sz w:val="22"/>
              </w:rPr>
              <w:t>0</w:t>
            </w:r>
          </w:p>
        </w:tc>
      </w:tr>
      <w:tr w:rsidR="00444C67">
        <w:tc>
          <w:tcPr>
            <w:tcW w:w="1838" w:type="dxa"/>
            <w:vAlign w:val="center"/>
          </w:tcPr>
          <w:p w:rsidR="00444C67" w:rsidRDefault="00B377E0">
            <w:pPr>
              <w:spacing w:before="0" w:after="0"/>
              <w:jc w:val="left"/>
              <w:rPr>
                <w:rFonts w:eastAsia="Calibri"/>
                <w:noProof/>
                <w:sz w:val="22"/>
              </w:rPr>
            </w:pPr>
            <w:r>
              <w:rPr>
                <w:noProof/>
                <w:sz w:val="22"/>
              </w:rPr>
              <w:t>2309 90 96</w:t>
            </w:r>
          </w:p>
        </w:tc>
        <w:tc>
          <w:tcPr>
            <w:tcW w:w="3304" w:type="dxa"/>
          </w:tcPr>
          <w:p w:rsidR="00444C67" w:rsidRDefault="00B377E0">
            <w:pPr>
              <w:spacing w:before="0" w:after="0"/>
              <w:jc w:val="left"/>
              <w:rPr>
                <w:rFonts w:ascii="Calibri" w:eastAsia="Calibri" w:hAnsi="Calibri"/>
                <w:noProof/>
                <w:sz w:val="22"/>
              </w:rPr>
            </w:pPr>
            <w:r>
              <w:rPr>
                <w:rFonts w:ascii="Calibri" w:hAnsi="Calibri"/>
                <w:noProof/>
                <w:sz w:val="22"/>
              </w:rPr>
              <w:t>Préparations des types utilisés pour l’alimentation des animaux; autres</w:t>
            </w:r>
          </w:p>
        </w:tc>
        <w:tc>
          <w:tcPr>
            <w:tcW w:w="1448" w:type="dxa"/>
            <w:vAlign w:val="center"/>
          </w:tcPr>
          <w:p w:rsidR="00444C67" w:rsidRDefault="00B377E0">
            <w:pPr>
              <w:spacing w:before="0" w:after="0"/>
              <w:jc w:val="center"/>
              <w:rPr>
                <w:rFonts w:eastAsia="Calibri"/>
                <w:noProof/>
                <w:sz w:val="22"/>
              </w:rPr>
            </w:pPr>
            <w:r>
              <w:rPr>
                <w:noProof/>
                <w:sz w:val="22"/>
              </w:rPr>
              <w:t>200</w:t>
            </w:r>
          </w:p>
        </w:tc>
        <w:tc>
          <w:tcPr>
            <w:tcW w:w="1351" w:type="dxa"/>
            <w:vAlign w:val="center"/>
          </w:tcPr>
          <w:p w:rsidR="00444C67" w:rsidRDefault="00B377E0">
            <w:pPr>
              <w:spacing w:before="0" w:after="0"/>
              <w:jc w:val="center"/>
              <w:rPr>
                <w:rFonts w:eastAsia="Calibri"/>
                <w:noProof/>
                <w:sz w:val="22"/>
              </w:rPr>
            </w:pPr>
            <w:r>
              <w:rPr>
                <w:noProof/>
                <w:sz w:val="22"/>
              </w:rPr>
              <w:t>200</w:t>
            </w:r>
          </w:p>
        </w:tc>
        <w:tc>
          <w:tcPr>
            <w:tcW w:w="1121" w:type="dxa"/>
            <w:vAlign w:val="center"/>
          </w:tcPr>
          <w:p w:rsidR="00444C67" w:rsidRDefault="00B377E0">
            <w:pPr>
              <w:spacing w:before="0" w:after="0"/>
              <w:jc w:val="center"/>
              <w:rPr>
                <w:rFonts w:eastAsia="Calibri"/>
                <w:noProof/>
                <w:sz w:val="22"/>
              </w:rPr>
            </w:pPr>
            <w:r>
              <w:rPr>
                <w:noProof/>
                <w:sz w:val="22"/>
              </w:rPr>
              <w:t>0</w:t>
            </w:r>
          </w:p>
        </w:tc>
      </w:tr>
      <w:tr w:rsidR="00444C67">
        <w:tc>
          <w:tcPr>
            <w:tcW w:w="1838" w:type="dxa"/>
            <w:vAlign w:val="center"/>
          </w:tcPr>
          <w:p w:rsidR="00444C67" w:rsidRDefault="00B377E0">
            <w:pPr>
              <w:spacing w:before="0" w:after="0"/>
              <w:jc w:val="left"/>
              <w:rPr>
                <w:rFonts w:eastAsia="Calibri"/>
                <w:noProof/>
                <w:sz w:val="22"/>
              </w:rPr>
            </w:pPr>
            <w:r>
              <w:rPr>
                <w:noProof/>
                <w:sz w:val="22"/>
              </w:rPr>
              <w:t>3502 20</w:t>
            </w:r>
          </w:p>
        </w:tc>
        <w:tc>
          <w:tcPr>
            <w:tcW w:w="3304" w:type="dxa"/>
          </w:tcPr>
          <w:p w:rsidR="00444C67" w:rsidRDefault="00B377E0">
            <w:pPr>
              <w:spacing w:before="0" w:after="0"/>
              <w:jc w:val="left"/>
              <w:rPr>
                <w:rFonts w:ascii="Calibri" w:eastAsia="Calibri" w:hAnsi="Calibri"/>
                <w:noProof/>
                <w:sz w:val="22"/>
              </w:rPr>
            </w:pPr>
            <w:r>
              <w:rPr>
                <w:rFonts w:ascii="Calibri" w:hAnsi="Calibri"/>
                <w:noProof/>
                <w:sz w:val="22"/>
              </w:rPr>
              <w:t>Albumines (y compris les concentrés de plusieurs protéines de lactosérum contenant, en poids calculé sur m</w:t>
            </w:r>
            <w:r>
              <w:rPr>
                <w:rFonts w:ascii="Calibri" w:hAnsi="Calibri"/>
                <w:noProof/>
                <w:sz w:val="22"/>
              </w:rPr>
              <w:t>atière sèche, plus de 80 % de protéines de lactosérum), albuminates et autres dérivés des albumines</w:t>
            </w:r>
          </w:p>
          <w:p w:rsidR="00444C67" w:rsidRDefault="00B377E0">
            <w:pPr>
              <w:spacing w:before="0" w:after="0"/>
              <w:jc w:val="left"/>
              <w:rPr>
                <w:rFonts w:ascii="Calibri" w:eastAsia="Calibri" w:hAnsi="Calibri"/>
                <w:noProof/>
                <w:sz w:val="22"/>
              </w:rPr>
            </w:pPr>
            <w:r>
              <w:rPr>
                <w:noProof/>
              </w:rPr>
              <w:tab/>
            </w:r>
          </w:p>
          <w:p w:rsidR="00444C67" w:rsidRDefault="00B377E0">
            <w:pPr>
              <w:spacing w:before="0" w:after="0"/>
              <w:jc w:val="left"/>
              <w:rPr>
                <w:rFonts w:ascii="Calibri" w:eastAsia="Calibri" w:hAnsi="Calibri"/>
                <w:noProof/>
                <w:sz w:val="22"/>
              </w:rPr>
            </w:pPr>
            <w:r>
              <w:rPr>
                <w:rFonts w:ascii="Calibri" w:hAnsi="Calibri"/>
                <w:noProof/>
                <w:sz w:val="22"/>
              </w:rPr>
              <w:t>- Lactalbumine, y compris les concentrés de deux ou plusieurs protéines lactosérum</w:t>
            </w:r>
          </w:p>
        </w:tc>
        <w:tc>
          <w:tcPr>
            <w:tcW w:w="1448" w:type="dxa"/>
            <w:vAlign w:val="center"/>
          </w:tcPr>
          <w:p w:rsidR="00444C67" w:rsidRDefault="00B377E0">
            <w:pPr>
              <w:spacing w:before="0" w:after="0"/>
              <w:jc w:val="center"/>
              <w:rPr>
                <w:rFonts w:eastAsia="Calibri"/>
                <w:noProof/>
                <w:sz w:val="22"/>
              </w:rPr>
            </w:pPr>
            <w:r>
              <w:rPr>
                <w:noProof/>
                <w:sz w:val="22"/>
              </w:rPr>
              <w:t>500</w:t>
            </w:r>
          </w:p>
        </w:tc>
        <w:tc>
          <w:tcPr>
            <w:tcW w:w="1351" w:type="dxa"/>
            <w:vAlign w:val="center"/>
          </w:tcPr>
          <w:p w:rsidR="00444C67" w:rsidRDefault="00B377E0">
            <w:pPr>
              <w:spacing w:before="0" w:after="0"/>
              <w:jc w:val="center"/>
              <w:rPr>
                <w:rFonts w:eastAsia="Calibri"/>
                <w:noProof/>
                <w:sz w:val="22"/>
              </w:rPr>
            </w:pPr>
            <w:r>
              <w:rPr>
                <w:noProof/>
                <w:sz w:val="22"/>
              </w:rPr>
              <w:t>500</w:t>
            </w:r>
          </w:p>
        </w:tc>
        <w:tc>
          <w:tcPr>
            <w:tcW w:w="1121" w:type="dxa"/>
            <w:vAlign w:val="center"/>
          </w:tcPr>
          <w:p w:rsidR="00444C67" w:rsidRDefault="00B377E0">
            <w:pPr>
              <w:spacing w:before="0" w:after="0"/>
              <w:jc w:val="center"/>
              <w:rPr>
                <w:rFonts w:eastAsia="Calibri"/>
                <w:noProof/>
                <w:sz w:val="22"/>
              </w:rPr>
            </w:pPr>
            <w:r>
              <w:rPr>
                <w:noProof/>
                <w:sz w:val="22"/>
              </w:rPr>
              <w:t>0</w:t>
            </w:r>
          </w:p>
        </w:tc>
      </w:tr>
    </w:tbl>
    <w:p w:rsidR="00444C67" w:rsidRDefault="00444C67">
      <w:pPr>
        <w:spacing w:before="0" w:after="160" w:line="259" w:lineRule="auto"/>
        <w:jc w:val="center"/>
        <w:rPr>
          <w:rFonts w:ascii="Calibri" w:eastAsia="Calibri" w:hAnsi="Calibri"/>
          <w:b/>
          <w:noProof/>
          <w:sz w:val="22"/>
        </w:rPr>
      </w:pPr>
    </w:p>
    <w:p w:rsidR="00444C67" w:rsidRDefault="00444C67">
      <w:pPr>
        <w:spacing w:before="0" w:after="160" w:line="259" w:lineRule="auto"/>
        <w:jc w:val="center"/>
        <w:rPr>
          <w:rFonts w:ascii="Calibri" w:eastAsia="Calibri" w:hAnsi="Calibri"/>
          <w:b/>
          <w:noProof/>
          <w:sz w:val="22"/>
        </w:rPr>
      </w:pPr>
    </w:p>
    <w:p w:rsidR="00444C67" w:rsidRDefault="00444C67">
      <w:pPr>
        <w:rPr>
          <w:noProof/>
        </w:rPr>
      </w:pPr>
    </w:p>
    <w:sectPr w:rsidR="00444C67">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7E0" w:rsidRDefault="00B377E0">
      <w:pPr>
        <w:spacing w:before="0" w:after="0"/>
      </w:pPr>
      <w:r>
        <w:separator/>
      </w:r>
    </w:p>
  </w:endnote>
  <w:endnote w:type="continuationSeparator" w:id="0">
    <w:p w:rsidR="00B377E0" w:rsidRDefault="00B377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67" w:rsidRDefault="00B377E0">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67" w:rsidRDefault="00B377E0">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sidR="004002AC">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C67" w:rsidRDefault="00444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7E0" w:rsidRDefault="00B377E0">
      <w:pPr>
        <w:spacing w:before="0" w:after="0"/>
      </w:pPr>
      <w:r>
        <w:separator/>
      </w:r>
    </w:p>
  </w:footnote>
  <w:footnote w:type="continuationSeparator" w:id="0">
    <w:p w:rsidR="00B377E0" w:rsidRDefault="00B377E0">
      <w:pPr>
        <w:spacing w:before="0" w:after="0"/>
      </w:pPr>
      <w:r>
        <w:continuationSeparator/>
      </w:r>
    </w:p>
  </w:footnote>
  <w:footnote w:id="1">
    <w:p w:rsidR="00444C67" w:rsidRDefault="00B377E0">
      <w:pPr>
        <w:pStyle w:val="FootnoteText"/>
      </w:pPr>
      <w:r>
        <w:rPr>
          <w:vertAlign w:val="superscript"/>
        </w:rPr>
        <w:t>(</w:t>
      </w:r>
      <w:r>
        <w:rPr>
          <w:rStyle w:val="FootnoteReference"/>
        </w:rPr>
        <w:footnoteRef/>
      </w:r>
      <w:r>
        <w:rPr>
          <w:vertAlign w:val="superscript"/>
        </w:rPr>
        <w:t>)</w:t>
      </w:r>
      <w:r>
        <w:rPr>
          <w:vertAlign w:val="superscript"/>
        </w:rPr>
        <w:tab/>
      </w:r>
      <w:r>
        <w:t>Pour la période du 1.1 au 31.12, ainsi qu’au cours de la première année d’application de l’accord, le cas échéant au prorata. Des contingents supplémentaires à ajouter aux contingents existants n</w:t>
      </w:r>
      <w:r>
        <w:t>égociés dans le cadre des accords antérieurs entre l’UE et la Norvège.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01413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66ACF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12F8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FD4B0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2C10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FBC126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FCC2A10"/>
    <w:lvl w:ilvl="0">
      <w:start w:val="1"/>
      <w:numFmt w:val="decimal"/>
      <w:pStyle w:val="ListNumber"/>
      <w:lvlText w:val="%1."/>
      <w:lvlJc w:val="left"/>
      <w:pPr>
        <w:tabs>
          <w:tab w:val="num" w:pos="360"/>
        </w:tabs>
        <w:ind w:left="360" w:hanging="360"/>
      </w:pPr>
    </w:lvl>
  </w:abstractNum>
  <w:abstractNum w:abstractNumId="7">
    <w:nsid w:val="FFFFFF89"/>
    <w:multiLevelType w:val="singleLevel"/>
    <w:tmpl w:val="298AF5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7:53: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FigNum" w:val="1"/>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A20CF8F58BCB45C3AC3DE21DBCBA748F"/>
    <w:docVar w:name="LW_CROSSREFERENCE" w:val="&lt;UNUSED&gt;"/>
    <w:docVar w:name="LW_DocType" w:val="ANNEX"/>
    <w:docVar w:name="LW_EMISSION" w:val="17.10.2017"/>
    <w:docVar w:name="LW_EMISSION_ISODATE" w:val="2017-10-1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au nom de l'Union européenne, de l'accord sous forme d'échange de lettres entre l'Union européenne et le Royaume de Norvège concernant l'octroi de préférences commerciales supplémentaires pour des produits agricoles_x000b__x000b__x000b_Accord sous forme d'échange de lettres entre l'Union européenne et le Royaume de Norvège concernant l'octroi de préférences commerciales supplémentaires pour des produits agricoles, conclu sur la base de l'article 19 de l'accord sur l'Espace économique européen"/>
    <w:docVar w:name="LW_PART_NBR" w:val="5"/>
    <w:docVar w:name="LW_PART_NBR_TOTAL" w:val="5"/>
    <w:docVar w:name="LW_REF.INST.NEW" w:val="COM"/>
    <w:docVar w:name="LW_REF.INST.NEW_ADOPTED" w:val="final"/>
    <w:docVar w:name="LW_REF.INST.NEW_TEXT" w:val="(2017) 595"/>
    <w:docVar w:name="LW_REF.INTERNE" w:val="&lt;UNUSED&gt;"/>
    <w:docVar w:name="LW_SUPERTITRE" w:val="&lt;UNUSED&gt;"/>
    <w:docVar w:name="LW_TITRE.OBJ.CP" w:val="&lt;UNUSED&gt;"/>
    <w:docVar w:name="LW_TYPE.DOC.CP" w:val="ANNEXE"/>
    <w:docVar w:name="LW_TYPEACTEPRINCIPAL.CP" w:val="proposition de_x000b_DÉCISION DU CONSEIL"/>
  </w:docVars>
  <w:rsids>
    <w:rsidRoot w:val="00444C67"/>
    <w:rsid w:val="004002AC"/>
    <w:rsid w:val="00444C67"/>
    <w:rsid w:val="00A85AC1"/>
    <w:rsid w:val="00B37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358</Words>
  <Characters>1874</Characters>
  <Application>Microsoft Office Word</Application>
  <DocSecurity>0</DocSecurity>
  <Lines>144</Lines>
  <Paragraphs>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REIMAN Ulle (AGRI)</dc:creator>
  <cp:lastModifiedBy>LAGES CARVALHO Patrick (SG)</cp:lastModifiedBy>
  <cp:revision>9</cp:revision>
  <dcterms:created xsi:type="dcterms:W3CDTF">2017-10-05T15:22:00Z</dcterms:created>
  <dcterms:modified xsi:type="dcterms:W3CDTF">2017-10-10T07:24:00Z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5</vt:lpwstr>
  </property>
  <property fmtid="{D5CDD505-2E9C-101B-9397-08002B2CF9AE}" pid="10" name="Total parts">
    <vt:lpwstr>5</vt:lpwstr>
  </property>
  <property fmtid="{D5CDD505-2E9C-101B-9397-08002B2CF9AE}" pid="11" name="LWTemplateID">
    <vt:lpwstr>SG-017</vt:lpwstr>
  </property>
  <property fmtid="{D5CDD505-2E9C-101B-9397-08002B2CF9AE}" pid="12" name="DQCStatus">
    <vt:lpwstr>Yellow (DQC version 03)</vt:lpwstr>
  </property>
</Properties>
</file>