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EF4527FE7F54E2D8FD572CA89B0767D" style="width:450.75pt;height:492.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jc w:val="center"/>
        <w:rPr>
          <w:rFonts w:eastAsia="Calibri"/>
          <w:b/>
          <w:noProof/>
          <w:sz w:val="22"/>
          <w:lang w:val="en-US"/>
        </w:rPr>
      </w:pPr>
      <w:bookmarkStart w:id="0" w:name="_GoBack"/>
      <w:bookmarkEnd w:id="0"/>
      <w:r>
        <w:rPr>
          <w:noProof/>
        </w:rPr>
        <w:lastRenderedPageBreak/>
        <w:br/>
      </w:r>
      <w:r>
        <w:rPr>
          <w:rFonts w:eastAsia="Calibri"/>
          <w:b/>
          <w:noProof/>
          <w:sz w:val="22"/>
          <w:lang w:val="en-US"/>
        </w:rPr>
        <w:t>Annex II</w:t>
      </w:r>
    </w:p>
    <w:p>
      <w:pPr>
        <w:spacing w:before="0" w:after="160" w:line="259" w:lineRule="auto"/>
        <w:jc w:val="center"/>
        <w:rPr>
          <w:rFonts w:eastAsia="Calibri"/>
          <w:b/>
          <w:noProof/>
          <w:sz w:val="22"/>
          <w:lang w:val="en-US"/>
        </w:rPr>
      </w:pPr>
      <w:r>
        <w:rPr>
          <w:rFonts w:eastAsia="Calibri"/>
          <w:b/>
          <w:noProof/>
          <w:sz w:val="22"/>
          <w:lang w:val="en-US"/>
        </w:rPr>
        <w:t>Tariff quotas for imports into Norway of products originating in the European Union</w:t>
      </w:r>
    </w:p>
    <w:tbl>
      <w:tblPr>
        <w:tblStyle w:val="TableGrid"/>
        <w:tblW w:w="0" w:type="auto"/>
        <w:tblLook w:val="04A0" w:firstRow="1" w:lastRow="0" w:firstColumn="1" w:lastColumn="0" w:noHBand="0" w:noVBand="1"/>
      </w:tblPr>
      <w:tblGrid>
        <w:gridCol w:w="1838"/>
        <w:gridCol w:w="3304"/>
        <w:gridCol w:w="1448"/>
        <w:gridCol w:w="1351"/>
        <w:gridCol w:w="1121"/>
      </w:tblGrid>
      <w:tr>
        <w:tc>
          <w:tcPr>
            <w:tcW w:w="1838" w:type="dxa"/>
          </w:tcPr>
          <w:p>
            <w:pPr>
              <w:spacing w:before="0" w:after="0"/>
              <w:jc w:val="center"/>
              <w:rPr>
                <w:rFonts w:eastAsia="Calibri"/>
                <w:noProof/>
                <w:sz w:val="22"/>
                <w:lang w:val="en-US"/>
              </w:rPr>
            </w:pPr>
            <w:r>
              <w:rPr>
                <w:rFonts w:eastAsia="Calibri"/>
                <w:noProof/>
                <w:sz w:val="22"/>
                <w:lang w:val="en-US"/>
              </w:rPr>
              <w:t>Norwegian customs tariff</w:t>
            </w:r>
            <w:r>
              <w:rPr>
                <w:rFonts w:ascii="Calibri" w:eastAsia="Calibri" w:hAnsi="Calibri"/>
                <w:noProof/>
                <w:sz w:val="22"/>
                <w:lang w:val="en-US"/>
              </w:rPr>
              <w:t xml:space="preserve"> code</w:t>
            </w:r>
          </w:p>
        </w:tc>
        <w:tc>
          <w:tcPr>
            <w:tcW w:w="3304" w:type="dxa"/>
          </w:tcPr>
          <w:p>
            <w:pPr>
              <w:spacing w:before="0" w:after="0"/>
              <w:jc w:val="center"/>
              <w:rPr>
                <w:rFonts w:eastAsia="Calibri"/>
                <w:noProof/>
                <w:sz w:val="22"/>
                <w:lang w:val="en-US"/>
              </w:rPr>
            </w:pPr>
            <w:r>
              <w:rPr>
                <w:rFonts w:eastAsia="Calibri"/>
                <w:noProof/>
                <w:sz w:val="22"/>
                <w:lang w:val="en-US"/>
              </w:rPr>
              <w:t>Description of products</w:t>
            </w:r>
          </w:p>
        </w:tc>
        <w:tc>
          <w:tcPr>
            <w:tcW w:w="1448" w:type="dxa"/>
          </w:tcPr>
          <w:p>
            <w:pPr>
              <w:spacing w:before="0" w:after="0"/>
              <w:jc w:val="center"/>
              <w:rPr>
                <w:rFonts w:eastAsia="Calibri"/>
                <w:noProof/>
                <w:sz w:val="22"/>
                <w:lang w:val="en-US"/>
              </w:rPr>
            </w:pPr>
            <w:r>
              <w:rPr>
                <w:rFonts w:eastAsia="Calibri"/>
                <w:noProof/>
                <w:sz w:val="22"/>
                <w:lang w:val="en-US"/>
              </w:rPr>
              <w:t>Consolidated TRQs (annual quantity in tons)</w:t>
            </w:r>
          </w:p>
        </w:tc>
        <w:tc>
          <w:tcPr>
            <w:tcW w:w="1351" w:type="dxa"/>
          </w:tcPr>
          <w:p>
            <w:pPr>
              <w:spacing w:before="0" w:after="0"/>
              <w:jc w:val="center"/>
              <w:rPr>
                <w:rFonts w:eastAsia="Calibri"/>
                <w:noProof/>
                <w:sz w:val="22"/>
                <w:lang w:val="en-US"/>
              </w:rPr>
            </w:pPr>
            <w:r>
              <w:rPr>
                <w:rFonts w:eastAsia="Calibri"/>
                <w:noProof/>
                <w:sz w:val="22"/>
                <w:lang w:val="en-US"/>
              </w:rPr>
              <w:t>Of which additional quotas(</w:t>
            </w:r>
            <w:r>
              <w:rPr>
                <w:rStyle w:val="FootnoteReference"/>
                <w:noProof/>
              </w:rPr>
              <w:footnoteReference w:id="1"/>
            </w:r>
            <w:r>
              <w:rPr>
                <w:rFonts w:eastAsia="Calibri"/>
                <w:noProof/>
                <w:sz w:val="22"/>
                <w:lang w:val="en-US"/>
              </w:rPr>
              <w:t>)</w:t>
            </w:r>
          </w:p>
          <w:p>
            <w:pPr>
              <w:spacing w:before="0" w:after="0"/>
              <w:jc w:val="center"/>
              <w:rPr>
                <w:rFonts w:eastAsia="Calibri"/>
                <w:noProof/>
                <w:sz w:val="22"/>
                <w:lang w:val="en-US"/>
              </w:rPr>
            </w:pPr>
          </w:p>
        </w:tc>
        <w:tc>
          <w:tcPr>
            <w:tcW w:w="1121" w:type="dxa"/>
          </w:tcPr>
          <w:p>
            <w:pPr>
              <w:spacing w:before="0" w:after="0"/>
              <w:jc w:val="center"/>
              <w:rPr>
                <w:rFonts w:eastAsia="Calibri"/>
                <w:noProof/>
                <w:sz w:val="22"/>
                <w:lang w:val="en-US"/>
              </w:rPr>
            </w:pPr>
            <w:r>
              <w:rPr>
                <w:rFonts w:eastAsia="Calibri"/>
                <w:noProof/>
                <w:sz w:val="22"/>
                <w:lang w:val="en-US"/>
              </w:rPr>
              <w:t>Duty within the quota (NOK/kg)</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rPr>
            </w:pPr>
          </w:p>
          <w:p>
            <w:pPr>
              <w:spacing w:before="0" w:after="0"/>
              <w:jc w:val="left"/>
              <w:rPr>
                <w:rFonts w:eastAsia="Calibri"/>
                <w:noProof/>
                <w:sz w:val="22"/>
              </w:rPr>
            </w:pPr>
            <w:r>
              <w:rPr>
                <w:rFonts w:eastAsia="Calibri"/>
                <w:noProof/>
                <w:sz w:val="22"/>
              </w:rPr>
              <w:t xml:space="preserve">02.01.1000 </w:t>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 xml:space="preserve">02.01.2001 </w:t>
            </w: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 xml:space="preserve">02.01.2002 </w:t>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 xml:space="preserve">02.01.2003 </w:t>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 xml:space="preserve">02.01.2004 </w:t>
            </w:r>
          </w:p>
          <w:p>
            <w:pPr>
              <w:spacing w:before="0" w:after="0"/>
              <w:jc w:val="left"/>
              <w:rPr>
                <w:rFonts w:eastAsia="Calibri"/>
                <w:noProof/>
                <w:sz w:val="12"/>
              </w:rPr>
            </w:pPr>
          </w:p>
          <w:p>
            <w:pPr>
              <w:spacing w:before="0" w:after="0"/>
              <w:jc w:val="left"/>
              <w:rPr>
                <w:rFonts w:eastAsia="Calibri"/>
                <w:noProof/>
                <w:sz w:val="22"/>
              </w:rPr>
            </w:pPr>
          </w:p>
          <w:p>
            <w:pPr>
              <w:spacing w:before="0" w:after="0"/>
              <w:jc w:val="left"/>
              <w:rPr>
                <w:rFonts w:eastAsia="Calibri"/>
                <w:noProof/>
                <w:sz w:val="22"/>
              </w:rPr>
            </w:pPr>
            <w:r>
              <w:rPr>
                <w:rFonts w:eastAsia="Calibri"/>
                <w:noProof/>
                <w:sz w:val="22"/>
              </w:rPr>
              <w:t xml:space="preserve">02.02.1000 </w:t>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 xml:space="preserve">02.02.2001 </w:t>
            </w: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 xml:space="preserve">02.02.2002 </w:t>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 xml:space="preserve">02.02.2003 </w:t>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02.02.2004</w:t>
            </w:r>
          </w:p>
        </w:tc>
        <w:tc>
          <w:tcPr>
            <w:tcW w:w="3304" w:type="dxa"/>
          </w:tcPr>
          <w:p>
            <w:pPr>
              <w:spacing w:before="0" w:after="0"/>
              <w:jc w:val="left"/>
              <w:rPr>
                <w:rFonts w:eastAsia="Calibri"/>
                <w:b/>
                <w:noProof/>
                <w:sz w:val="22"/>
              </w:rPr>
            </w:pPr>
            <w:r>
              <w:rPr>
                <w:rFonts w:eastAsia="Calibri"/>
                <w:b/>
                <w:noProof/>
                <w:sz w:val="22"/>
              </w:rPr>
              <w:t>Meat of bovine animals, fresh or chilled</w:t>
            </w:r>
          </w:p>
          <w:p>
            <w:pPr>
              <w:spacing w:before="0" w:after="0"/>
              <w:jc w:val="left"/>
              <w:rPr>
                <w:rFonts w:eastAsia="Calibri"/>
                <w:noProof/>
                <w:sz w:val="22"/>
              </w:rPr>
            </w:pPr>
            <w:r>
              <w:rPr>
                <w:rFonts w:eastAsia="Calibri"/>
                <w:noProof/>
                <w:sz w:val="22"/>
              </w:rPr>
              <w:t>Carcasses and half-carcasses</w:t>
            </w:r>
          </w:p>
          <w:p>
            <w:pPr>
              <w:spacing w:before="0" w:after="0"/>
              <w:jc w:val="left"/>
              <w:rPr>
                <w:rFonts w:eastAsia="Calibri"/>
                <w:noProof/>
                <w:sz w:val="12"/>
              </w:rPr>
            </w:pPr>
          </w:p>
          <w:p>
            <w:pPr>
              <w:spacing w:before="0" w:after="0"/>
              <w:jc w:val="left"/>
              <w:rPr>
                <w:rFonts w:eastAsia="Calibri"/>
                <w:noProof/>
                <w:sz w:val="22"/>
              </w:rPr>
            </w:pPr>
            <w:r>
              <w:rPr>
                <w:rFonts w:ascii="Calibri" w:eastAsia="Calibri" w:hAnsi="Calibri"/>
                <w:noProof/>
                <w:sz w:val="22"/>
              </w:rPr>
              <w:t>‘Compensated’</w:t>
            </w:r>
            <w:r>
              <w:rPr>
                <w:rFonts w:eastAsia="Calibri"/>
                <w:noProof/>
                <w:sz w:val="22"/>
              </w:rPr>
              <w:t xml:space="preserve"> quarters, i.e. forequarters and hindquarters of the same animal presented at the same time</w:t>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Other forequarters</w:t>
            </w:r>
            <w:r>
              <w:rPr>
                <w:rFonts w:eastAsia="Calibri"/>
                <w:noProof/>
                <w:sz w:val="22"/>
              </w:rPr>
              <w:tab/>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Other hindquarters</w:t>
            </w:r>
            <w:r>
              <w:rPr>
                <w:rFonts w:eastAsia="Calibri"/>
                <w:noProof/>
                <w:sz w:val="22"/>
              </w:rPr>
              <w:tab/>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 xml:space="preserve">So-called </w:t>
            </w:r>
            <w:r>
              <w:rPr>
                <w:rFonts w:ascii="Calibri" w:eastAsia="Calibri" w:hAnsi="Calibri"/>
                <w:noProof/>
                <w:sz w:val="22"/>
              </w:rPr>
              <w:t>‘</w:t>
            </w:r>
            <w:r>
              <w:rPr>
                <w:rFonts w:eastAsia="Calibri"/>
                <w:noProof/>
                <w:sz w:val="22"/>
              </w:rPr>
              <w:t xml:space="preserve">Pistola </w:t>
            </w:r>
            <w:r>
              <w:rPr>
                <w:rFonts w:ascii="Calibri" w:eastAsia="Calibri" w:hAnsi="Calibri"/>
                <w:noProof/>
                <w:sz w:val="22"/>
              </w:rPr>
              <w:t>cuts’</w:t>
            </w:r>
          </w:p>
          <w:p>
            <w:pPr>
              <w:spacing w:before="0" w:after="0"/>
              <w:jc w:val="left"/>
              <w:rPr>
                <w:rFonts w:eastAsia="Calibri"/>
                <w:noProof/>
                <w:sz w:val="12"/>
              </w:rPr>
            </w:pPr>
          </w:p>
          <w:p>
            <w:pPr>
              <w:spacing w:before="0" w:after="0"/>
              <w:jc w:val="left"/>
              <w:rPr>
                <w:rFonts w:eastAsia="Calibri"/>
                <w:b/>
                <w:noProof/>
                <w:sz w:val="22"/>
              </w:rPr>
            </w:pPr>
            <w:r>
              <w:rPr>
                <w:rFonts w:eastAsia="Calibri"/>
                <w:b/>
                <w:noProof/>
                <w:sz w:val="22"/>
              </w:rPr>
              <w:t>Meat of bovine animals, frozen</w:t>
            </w:r>
          </w:p>
          <w:p>
            <w:pPr>
              <w:spacing w:before="0" w:after="0"/>
              <w:jc w:val="left"/>
              <w:rPr>
                <w:rFonts w:eastAsia="Calibri"/>
                <w:noProof/>
                <w:sz w:val="22"/>
              </w:rPr>
            </w:pPr>
            <w:r>
              <w:rPr>
                <w:rFonts w:eastAsia="Calibri"/>
                <w:noProof/>
                <w:sz w:val="22"/>
              </w:rPr>
              <w:t>Carcasses and half-carcasses</w:t>
            </w:r>
          </w:p>
          <w:p>
            <w:pPr>
              <w:spacing w:before="0" w:after="0"/>
              <w:jc w:val="left"/>
              <w:rPr>
                <w:rFonts w:eastAsia="Calibri"/>
                <w:noProof/>
                <w:sz w:val="12"/>
              </w:rPr>
            </w:pPr>
          </w:p>
          <w:p>
            <w:pPr>
              <w:spacing w:before="0" w:after="0"/>
              <w:jc w:val="left"/>
              <w:rPr>
                <w:rFonts w:eastAsia="Calibri"/>
                <w:noProof/>
                <w:sz w:val="22"/>
              </w:rPr>
            </w:pPr>
            <w:r>
              <w:rPr>
                <w:rFonts w:ascii="Calibri" w:eastAsia="Calibri" w:hAnsi="Calibri"/>
                <w:noProof/>
                <w:sz w:val="22"/>
              </w:rPr>
              <w:t>‘Compensated’</w:t>
            </w:r>
            <w:r>
              <w:rPr>
                <w:rFonts w:eastAsia="Calibri"/>
                <w:noProof/>
                <w:sz w:val="22"/>
              </w:rPr>
              <w:t xml:space="preserve"> quarters, i.e. forequarters and hindquarters of the same animal presented at the same time</w:t>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Other forequarters</w:t>
            </w:r>
            <w:r>
              <w:rPr>
                <w:rFonts w:eastAsia="Calibri"/>
                <w:noProof/>
                <w:sz w:val="22"/>
              </w:rPr>
              <w:tab/>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Other hindquarters</w:t>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 xml:space="preserve">So-called </w:t>
            </w:r>
            <w:r>
              <w:rPr>
                <w:rFonts w:ascii="Calibri" w:eastAsia="Calibri" w:hAnsi="Calibri"/>
                <w:noProof/>
                <w:sz w:val="22"/>
              </w:rPr>
              <w:t>‘</w:t>
            </w:r>
            <w:r>
              <w:rPr>
                <w:rFonts w:eastAsia="Calibri"/>
                <w:noProof/>
                <w:sz w:val="22"/>
              </w:rPr>
              <w:t xml:space="preserve">Pistola </w:t>
            </w:r>
            <w:r>
              <w:rPr>
                <w:rFonts w:ascii="Calibri" w:eastAsia="Calibri" w:hAnsi="Calibri"/>
                <w:noProof/>
                <w:sz w:val="22"/>
              </w:rPr>
              <w:t>cuts’</w:t>
            </w:r>
          </w:p>
        </w:tc>
        <w:tc>
          <w:tcPr>
            <w:tcW w:w="1448" w:type="dxa"/>
            <w:vAlign w:val="center"/>
          </w:tcPr>
          <w:p>
            <w:pPr>
              <w:spacing w:before="0" w:after="0"/>
              <w:jc w:val="center"/>
              <w:rPr>
                <w:rFonts w:eastAsia="Calibri"/>
                <w:noProof/>
                <w:sz w:val="22"/>
                <w:lang w:val="en-US"/>
              </w:rPr>
            </w:pPr>
            <w:r>
              <w:rPr>
                <w:rFonts w:eastAsia="Calibri"/>
                <w:noProof/>
                <w:sz w:val="22"/>
                <w:lang w:val="en-US"/>
              </w:rPr>
              <w:t>2500</w:t>
            </w:r>
          </w:p>
        </w:tc>
        <w:tc>
          <w:tcPr>
            <w:tcW w:w="1351" w:type="dxa"/>
            <w:vAlign w:val="center"/>
          </w:tcPr>
          <w:p>
            <w:pPr>
              <w:spacing w:before="0" w:after="0"/>
              <w:jc w:val="center"/>
              <w:rPr>
                <w:rFonts w:eastAsia="Calibri"/>
                <w:noProof/>
                <w:sz w:val="22"/>
                <w:lang w:val="en-US"/>
              </w:rPr>
            </w:pPr>
            <w:r>
              <w:rPr>
                <w:rFonts w:eastAsia="Calibri"/>
                <w:noProof/>
                <w:sz w:val="22"/>
                <w:lang w:val="en-US"/>
              </w:rPr>
              <w:t>1600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rPr>
            </w:pPr>
          </w:p>
          <w:p>
            <w:pPr>
              <w:spacing w:before="0" w:after="0"/>
              <w:jc w:val="left"/>
              <w:rPr>
                <w:rFonts w:eastAsia="Calibri"/>
                <w:noProof/>
                <w:sz w:val="22"/>
              </w:rPr>
            </w:pPr>
            <w:r>
              <w:rPr>
                <w:rFonts w:eastAsia="Calibri"/>
                <w:noProof/>
                <w:sz w:val="22"/>
              </w:rPr>
              <w:t>02.03.1904</w:t>
            </w:r>
          </w:p>
        </w:tc>
        <w:tc>
          <w:tcPr>
            <w:tcW w:w="3304" w:type="dxa"/>
          </w:tcPr>
          <w:p>
            <w:pPr>
              <w:spacing w:before="0" w:after="0"/>
              <w:jc w:val="left"/>
              <w:rPr>
                <w:rFonts w:eastAsia="Calibri"/>
                <w:b/>
                <w:noProof/>
                <w:sz w:val="22"/>
              </w:rPr>
            </w:pPr>
            <w:r>
              <w:rPr>
                <w:rFonts w:eastAsia="Calibri"/>
                <w:b/>
                <w:noProof/>
                <w:sz w:val="22"/>
              </w:rPr>
              <w:t>Meat of swine, fresh, chilled or frozen</w:t>
            </w:r>
          </w:p>
          <w:p>
            <w:pPr>
              <w:spacing w:before="0" w:after="0"/>
              <w:jc w:val="left"/>
              <w:rPr>
                <w:rFonts w:eastAsia="Calibri"/>
                <w:noProof/>
                <w:sz w:val="22"/>
              </w:rPr>
            </w:pPr>
            <w:r>
              <w:rPr>
                <w:rFonts w:eastAsia="Calibri"/>
                <w:noProof/>
                <w:sz w:val="22"/>
              </w:rPr>
              <w:t>Bellies (streaky) and cuts thereof; With bone in.</w:t>
            </w:r>
          </w:p>
        </w:tc>
        <w:tc>
          <w:tcPr>
            <w:tcW w:w="1448" w:type="dxa"/>
            <w:vAlign w:val="center"/>
          </w:tcPr>
          <w:p>
            <w:pPr>
              <w:spacing w:before="0" w:after="0"/>
              <w:jc w:val="center"/>
              <w:rPr>
                <w:rFonts w:eastAsia="Calibri"/>
                <w:noProof/>
                <w:sz w:val="22"/>
                <w:lang w:val="en-US"/>
              </w:rPr>
            </w:pPr>
            <w:r>
              <w:rPr>
                <w:rFonts w:eastAsia="Calibri"/>
                <w:noProof/>
                <w:sz w:val="22"/>
                <w:lang w:val="en-US"/>
              </w:rPr>
              <w:t>300</w:t>
            </w:r>
            <w:r>
              <w:rPr>
                <w:rFonts w:eastAsia="Calibri"/>
                <w:noProof/>
                <w:sz w:val="22"/>
                <w:vertAlign w:val="superscript"/>
                <w:lang w:val="en-US"/>
              </w:rPr>
              <w:t>(</w:t>
            </w:r>
            <w:r>
              <w:rPr>
                <w:rStyle w:val="FootnoteReference"/>
                <w:noProof/>
              </w:rPr>
              <w:footnoteReference w:id="2"/>
            </w:r>
            <w:r>
              <w:rPr>
                <w:rFonts w:eastAsia="Calibri"/>
                <w:noProof/>
                <w:sz w:val="22"/>
                <w:vertAlign w:val="superscript"/>
                <w:lang w:val="en-US"/>
              </w:rPr>
              <w:t>)</w:t>
            </w:r>
          </w:p>
        </w:tc>
        <w:tc>
          <w:tcPr>
            <w:tcW w:w="1351" w:type="dxa"/>
            <w:vAlign w:val="center"/>
          </w:tcPr>
          <w:p>
            <w:pPr>
              <w:spacing w:before="0" w:after="0"/>
              <w:jc w:val="center"/>
              <w:rPr>
                <w:rFonts w:eastAsia="Calibri"/>
                <w:noProof/>
                <w:sz w:val="22"/>
                <w:vertAlign w:val="superscript"/>
                <w:lang w:val="en-US"/>
              </w:rPr>
            </w:pPr>
            <w:r>
              <w:rPr>
                <w:rFonts w:eastAsia="Calibri"/>
                <w:noProof/>
                <w:sz w:val="22"/>
                <w:lang w:val="en-US"/>
              </w:rPr>
              <w:t>300</w:t>
            </w:r>
            <w:r>
              <w:rPr>
                <w:rFonts w:eastAsia="Calibri"/>
                <w:noProof/>
                <w:sz w:val="22"/>
                <w:vertAlign w:val="superscript"/>
                <w:lang w:val="en-US"/>
              </w:rPr>
              <w:t>(2)</w:t>
            </w:r>
          </w:p>
        </w:tc>
        <w:tc>
          <w:tcPr>
            <w:tcW w:w="1121" w:type="dxa"/>
            <w:vAlign w:val="center"/>
          </w:tcPr>
          <w:p>
            <w:pPr>
              <w:spacing w:before="0" w:after="0"/>
              <w:jc w:val="center"/>
              <w:rPr>
                <w:rFonts w:eastAsia="Calibri"/>
                <w:noProof/>
                <w:sz w:val="22"/>
                <w:lang w:val="en-US"/>
              </w:rPr>
            </w:pPr>
            <w:r>
              <w:rPr>
                <w:rFonts w:eastAsia="Calibri"/>
                <w:noProof/>
                <w:sz w:val="22"/>
                <w:lang w:val="en-US"/>
              </w:rPr>
              <w:t>15</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r>
              <w:rPr>
                <w:rFonts w:eastAsia="Calibri"/>
                <w:noProof/>
                <w:sz w:val="22"/>
              </w:rPr>
              <w:t>02.07.1100</w:t>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02.07.1200</w:t>
            </w:r>
          </w:p>
          <w:p>
            <w:pPr>
              <w:spacing w:before="0" w:after="0"/>
              <w:jc w:val="left"/>
              <w:rPr>
                <w:rFonts w:eastAsia="Calibri"/>
                <w:noProof/>
                <w:sz w:val="12"/>
              </w:rPr>
            </w:pPr>
          </w:p>
          <w:p>
            <w:pPr>
              <w:spacing w:before="0" w:after="0"/>
              <w:jc w:val="left"/>
              <w:rPr>
                <w:rFonts w:eastAsia="Calibri"/>
                <w:noProof/>
                <w:sz w:val="22"/>
              </w:rPr>
            </w:pPr>
          </w:p>
          <w:p>
            <w:pPr>
              <w:spacing w:before="0" w:after="0"/>
              <w:jc w:val="left"/>
              <w:rPr>
                <w:rFonts w:eastAsia="Calibri"/>
                <w:noProof/>
                <w:sz w:val="22"/>
              </w:rPr>
            </w:pPr>
            <w:r>
              <w:rPr>
                <w:rFonts w:eastAsia="Calibri"/>
                <w:noProof/>
                <w:sz w:val="22"/>
              </w:rPr>
              <w:t>02.07.2400</w:t>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lastRenderedPageBreak/>
              <w:t>02.07.2500</w:t>
            </w:r>
          </w:p>
        </w:tc>
        <w:tc>
          <w:tcPr>
            <w:tcW w:w="3304" w:type="dxa"/>
          </w:tcPr>
          <w:p>
            <w:pPr>
              <w:spacing w:before="0" w:after="0"/>
              <w:jc w:val="left"/>
              <w:rPr>
                <w:rFonts w:eastAsia="Calibri"/>
                <w:b/>
                <w:noProof/>
                <w:sz w:val="22"/>
              </w:rPr>
            </w:pPr>
            <w:r>
              <w:rPr>
                <w:rFonts w:eastAsia="Calibri"/>
                <w:b/>
                <w:noProof/>
                <w:sz w:val="22"/>
              </w:rPr>
              <w:lastRenderedPageBreak/>
              <w:t xml:space="preserve">Meat and edible offal, of the poultry of heading 01.05, fresh, chilled or frozen </w:t>
            </w:r>
          </w:p>
          <w:p>
            <w:pPr>
              <w:spacing w:before="0" w:after="0"/>
              <w:jc w:val="left"/>
              <w:rPr>
                <w:rFonts w:eastAsia="Calibri"/>
                <w:noProof/>
                <w:sz w:val="22"/>
              </w:rPr>
            </w:pPr>
            <w:r>
              <w:rPr>
                <w:rFonts w:eastAsia="Calibri"/>
                <w:noProof/>
                <w:sz w:val="22"/>
              </w:rPr>
              <w:t xml:space="preserve">Of fowls of the species </w:t>
            </w:r>
            <w:r>
              <w:rPr>
                <w:rFonts w:eastAsia="Calibri"/>
                <w:i/>
                <w:noProof/>
                <w:sz w:val="22"/>
              </w:rPr>
              <w:t>Gallus domesticus</w:t>
            </w:r>
            <w:r>
              <w:rPr>
                <w:rFonts w:eastAsia="Calibri"/>
                <w:noProof/>
                <w:sz w:val="22"/>
              </w:rPr>
              <w:t>;</w:t>
            </w:r>
          </w:p>
          <w:p>
            <w:pPr>
              <w:spacing w:before="0" w:after="0"/>
              <w:jc w:val="left"/>
              <w:rPr>
                <w:rFonts w:eastAsia="Calibri"/>
                <w:noProof/>
                <w:sz w:val="22"/>
              </w:rPr>
            </w:pPr>
            <w:r>
              <w:rPr>
                <w:rFonts w:eastAsia="Calibri"/>
                <w:noProof/>
                <w:sz w:val="22"/>
              </w:rPr>
              <w:t>Not cut in pieces, fresh or chilled</w:t>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Not cut in pieces, frozen</w:t>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Of turkeys;</w:t>
            </w:r>
          </w:p>
          <w:p>
            <w:pPr>
              <w:spacing w:before="0" w:after="0"/>
              <w:jc w:val="left"/>
              <w:rPr>
                <w:rFonts w:eastAsia="Calibri"/>
                <w:noProof/>
                <w:sz w:val="22"/>
              </w:rPr>
            </w:pPr>
            <w:r>
              <w:rPr>
                <w:rFonts w:eastAsia="Calibri"/>
                <w:noProof/>
                <w:sz w:val="22"/>
              </w:rPr>
              <w:t>Not cut in pieces, fresh or chilled</w:t>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lastRenderedPageBreak/>
              <w:t>Not cut in pieces, frozen</w:t>
            </w:r>
          </w:p>
        </w:tc>
        <w:tc>
          <w:tcPr>
            <w:tcW w:w="1448" w:type="dxa"/>
            <w:vAlign w:val="center"/>
          </w:tcPr>
          <w:p>
            <w:pPr>
              <w:spacing w:before="0" w:after="0"/>
              <w:jc w:val="center"/>
              <w:rPr>
                <w:rFonts w:eastAsia="Calibri"/>
                <w:noProof/>
                <w:sz w:val="22"/>
              </w:rPr>
            </w:pPr>
            <w:r>
              <w:rPr>
                <w:rFonts w:eastAsia="Calibri"/>
                <w:noProof/>
                <w:sz w:val="22"/>
              </w:rPr>
              <w:lastRenderedPageBreak/>
              <w:t>950</w:t>
            </w:r>
          </w:p>
        </w:tc>
        <w:tc>
          <w:tcPr>
            <w:tcW w:w="1351" w:type="dxa"/>
            <w:vAlign w:val="center"/>
          </w:tcPr>
          <w:p>
            <w:pPr>
              <w:spacing w:before="0" w:after="0"/>
              <w:jc w:val="center"/>
              <w:rPr>
                <w:rFonts w:eastAsia="Calibri"/>
                <w:noProof/>
                <w:sz w:val="22"/>
                <w:lang w:val="en-US"/>
              </w:rPr>
            </w:pPr>
            <w:r>
              <w:rPr>
                <w:rFonts w:eastAsia="Calibri"/>
                <w:noProof/>
                <w:sz w:val="22"/>
                <w:lang w:val="en-US"/>
              </w:rPr>
              <w:t>150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rPr>
            </w:pPr>
            <w:r>
              <w:rPr>
                <w:rFonts w:eastAsia="Calibri"/>
                <w:noProof/>
                <w:sz w:val="22"/>
              </w:rPr>
              <w:t>02.07.4401</w:t>
            </w:r>
          </w:p>
        </w:tc>
        <w:tc>
          <w:tcPr>
            <w:tcW w:w="3304" w:type="dxa"/>
          </w:tcPr>
          <w:p>
            <w:pPr>
              <w:spacing w:before="0" w:after="0"/>
              <w:jc w:val="left"/>
              <w:rPr>
                <w:rFonts w:eastAsia="Calibri"/>
                <w:noProof/>
                <w:sz w:val="22"/>
              </w:rPr>
            </w:pPr>
            <w:r>
              <w:rPr>
                <w:rFonts w:eastAsia="Calibri"/>
                <w:noProof/>
                <w:sz w:val="22"/>
              </w:rPr>
              <w:t>Of ducks, fresh or chilled;</w:t>
            </w:r>
          </w:p>
          <w:p>
            <w:pPr>
              <w:spacing w:before="0" w:after="0"/>
              <w:jc w:val="left"/>
              <w:rPr>
                <w:rFonts w:eastAsia="Calibri"/>
                <w:noProof/>
                <w:sz w:val="22"/>
              </w:rPr>
            </w:pPr>
            <w:r>
              <w:rPr>
                <w:rFonts w:eastAsia="Calibri"/>
                <w:noProof/>
                <w:sz w:val="22"/>
              </w:rPr>
              <w:t>breasts and cuts thereof</w:t>
            </w:r>
          </w:p>
        </w:tc>
        <w:tc>
          <w:tcPr>
            <w:tcW w:w="1448" w:type="dxa"/>
            <w:vAlign w:val="center"/>
          </w:tcPr>
          <w:p>
            <w:pPr>
              <w:spacing w:before="0" w:after="0"/>
              <w:jc w:val="center"/>
              <w:rPr>
                <w:rFonts w:eastAsia="Calibri"/>
                <w:noProof/>
                <w:sz w:val="22"/>
                <w:lang w:val="en-US"/>
              </w:rPr>
            </w:pPr>
            <w:r>
              <w:rPr>
                <w:rFonts w:eastAsia="Calibri"/>
                <w:noProof/>
                <w:sz w:val="22"/>
                <w:lang w:val="en-US"/>
              </w:rPr>
              <w:t>200</w:t>
            </w:r>
          </w:p>
        </w:tc>
        <w:tc>
          <w:tcPr>
            <w:tcW w:w="1351" w:type="dxa"/>
            <w:vAlign w:val="center"/>
          </w:tcPr>
          <w:p>
            <w:pPr>
              <w:spacing w:before="0" w:after="0"/>
              <w:jc w:val="center"/>
              <w:rPr>
                <w:rFonts w:eastAsia="Calibri"/>
                <w:noProof/>
                <w:sz w:val="22"/>
                <w:lang w:val="en-US"/>
              </w:rPr>
            </w:pPr>
            <w:r>
              <w:rPr>
                <w:rFonts w:eastAsia="Calibri"/>
                <w:noProof/>
                <w:sz w:val="22"/>
                <w:lang w:val="en-US"/>
              </w:rPr>
              <w:t>100</w:t>
            </w:r>
          </w:p>
        </w:tc>
        <w:tc>
          <w:tcPr>
            <w:tcW w:w="1121" w:type="dxa"/>
            <w:vAlign w:val="center"/>
          </w:tcPr>
          <w:p>
            <w:pPr>
              <w:spacing w:before="0" w:after="0"/>
              <w:jc w:val="center"/>
              <w:rPr>
                <w:rFonts w:eastAsia="Calibri"/>
                <w:noProof/>
                <w:sz w:val="22"/>
                <w:lang w:val="en-US"/>
              </w:rPr>
            </w:pPr>
            <w:r>
              <w:rPr>
                <w:rFonts w:eastAsia="Calibri"/>
                <w:noProof/>
                <w:sz w:val="22"/>
                <w:lang w:val="en-US"/>
              </w:rPr>
              <w:t>30</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r>
              <w:rPr>
                <w:rFonts w:eastAsia="Calibri"/>
                <w:noProof/>
                <w:sz w:val="22"/>
              </w:rPr>
              <w:t>02.10.1101</w:t>
            </w:r>
          </w:p>
          <w:p>
            <w:pPr>
              <w:spacing w:before="0" w:after="0"/>
              <w:jc w:val="left"/>
              <w:rPr>
                <w:rFonts w:eastAsia="Calibri"/>
                <w:noProof/>
                <w:sz w:val="22"/>
              </w:rPr>
            </w:pP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02.10.1109</w:t>
            </w:r>
          </w:p>
          <w:p>
            <w:pPr>
              <w:spacing w:before="0" w:after="0"/>
              <w:jc w:val="left"/>
              <w:rPr>
                <w:rFonts w:eastAsia="Calibri"/>
                <w:noProof/>
                <w:sz w:val="12"/>
              </w:rPr>
            </w:pPr>
          </w:p>
          <w:p>
            <w:pPr>
              <w:spacing w:before="0" w:after="0"/>
              <w:jc w:val="left"/>
              <w:rPr>
                <w:rFonts w:eastAsia="Calibri"/>
                <w:noProof/>
                <w:sz w:val="22"/>
                <w:u w:val="single"/>
              </w:rPr>
            </w:pPr>
            <w:r>
              <w:rPr>
                <w:rFonts w:eastAsia="Calibri"/>
                <w:noProof/>
                <w:sz w:val="22"/>
              </w:rPr>
              <w:t>02.10.1900</w:t>
            </w:r>
          </w:p>
        </w:tc>
        <w:tc>
          <w:tcPr>
            <w:tcW w:w="3304" w:type="dxa"/>
          </w:tcPr>
          <w:p>
            <w:pPr>
              <w:spacing w:before="0" w:after="0"/>
              <w:jc w:val="left"/>
              <w:rPr>
                <w:rFonts w:eastAsia="Calibri"/>
                <w:b/>
                <w:noProof/>
                <w:sz w:val="22"/>
              </w:rPr>
            </w:pPr>
            <w:r>
              <w:rPr>
                <w:rFonts w:eastAsia="Calibri"/>
                <w:b/>
                <w:noProof/>
                <w:sz w:val="22"/>
              </w:rPr>
              <w:t>Meat and edible meat offal, salted, in brine, dried or smoked; edible flours and meals of meat or meat offal</w:t>
            </w:r>
          </w:p>
          <w:p>
            <w:pPr>
              <w:spacing w:before="0" w:after="0"/>
              <w:jc w:val="left"/>
              <w:rPr>
                <w:rFonts w:eastAsia="Calibri"/>
                <w:noProof/>
                <w:sz w:val="22"/>
              </w:rPr>
            </w:pPr>
            <w:r>
              <w:rPr>
                <w:rFonts w:eastAsia="Calibri"/>
                <w:noProof/>
                <w:sz w:val="22"/>
              </w:rPr>
              <w:t>Meat of swine; Hams, shoulders and cuts thereof, with bone in;</w:t>
            </w:r>
          </w:p>
          <w:p>
            <w:pPr>
              <w:spacing w:before="0" w:after="0"/>
              <w:jc w:val="left"/>
              <w:rPr>
                <w:rFonts w:eastAsia="Calibri"/>
                <w:noProof/>
                <w:sz w:val="22"/>
              </w:rPr>
            </w:pPr>
            <w:r>
              <w:rPr>
                <w:rFonts w:eastAsia="Calibri"/>
                <w:noProof/>
                <w:sz w:val="22"/>
              </w:rPr>
              <w:t>Containing 15 % or more by weight of bones</w:t>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Other (less than 15% bone in)</w:t>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Other (than Hams, shoulders and cuts thereof or Bellies and cuts thereof, with bone in)</w:t>
            </w:r>
          </w:p>
        </w:tc>
        <w:tc>
          <w:tcPr>
            <w:tcW w:w="1448" w:type="dxa"/>
            <w:vAlign w:val="center"/>
          </w:tcPr>
          <w:p>
            <w:pPr>
              <w:spacing w:before="0" w:after="0"/>
              <w:jc w:val="center"/>
              <w:rPr>
                <w:rFonts w:eastAsia="Calibri"/>
                <w:noProof/>
                <w:sz w:val="22"/>
                <w:lang w:val="en-US"/>
              </w:rPr>
            </w:pPr>
            <w:r>
              <w:rPr>
                <w:rFonts w:eastAsia="Calibri"/>
                <w:noProof/>
                <w:sz w:val="22"/>
                <w:lang w:val="en-US"/>
              </w:rPr>
              <w:t>600</w:t>
            </w:r>
            <w:r>
              <w:rPr>
                <w:rFonts w:eastAsia="Calibri"/>
                <w:noProof/>
                <w:sz w:val="22"/>
                <w:vertAlign w:val="superscript"/>
                <w:lang w:val="en-US"/>
              </w:rPr>
              <w:t>(</w:t>
            </w:r>
            <w:r>
              <w:rPr>
                <w:rStyle w:val="FootnoteReference"/>
                <w:noProof/>
              </w:rPr>
              <w:footnoteReference w:id="3"/>
            </w:r>
            <w:r>
              <w:rPr>
                <w:rFonts w:eastAsia="Calibri"/>
                <w:noProof/>
                <w:sz w:val="22"/>
                <w:vertAlign w:val="superscript"/>
                <w:lang w:val="en-US"/>
              </w:rPr>
              <w:t>)</w:t>
            </w:r>
          </w:p>
        </w:tc>
        <w:tc>
          <w:tcPr>
            <w:tcW w:w="1351" w:type="dxa"/>
            <w:vAlign w:val="center"/>
          </w:tcPr>
          <w:p>
            <w:pPr>
              <w:spacing w:before="0" w:after="0"/>
              <w:jc w:val="center"/>
              <w:rPr>
                <w:rFonts w:eastAsia="Calibri"/>
                <w:noProof/>
                <w:sz w:val="22"/>
                <w:vertAlign w:val="superscript"/>
                <w:lang w:val="en-US"/>
              </w:rPr>
            </w:pPr>
            <w:r>
              <w:rPr>
                <w:rFonts w:eastAsia="Calibri"/>
                <w:noProof/>
                <w:sz w:val="22"/>
                <w:lang w:val="en-US"/>
              </w:rPr>
              <w:t>200</w:t>
            </w:r>
            <w:r>
              <w:rPr>
                <w:rFonts w:eastAsia="Calibri"/>
                <w:noProof/>
                <w:sz w:val="22"/>
                <w:vertAlign w:val="superscript"/>
                <w:lang w:val="en-US"/>
              </w:rPr>
              <w:t>(3)</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tcPr>
          <w:p>
            <w:pPr>
              <w:spacing w:before="0" w:after="0"/>
              <w:jc w:val="left"/>
              <w:rPr>
                <w:rFonts w:eastAsia="Calibri"/>
                <w:noProof/>
                <w:sz w:val="22"/>
              </w:rPr>
            </w:pPr>
            <w:r>
              <w:rPr>
                <w:rFonts w:eastAsia="Calibri"/>
                <w:noProof/>
                <w:sz w:val="22"/>
              </w:rPr>
              <w:t>04.06</w:t>
            </w:r>
          </w:p>
        </w:tc>
        <w:tc>
          <w:tcPr>
            <w:tcW w:w="3304" w:type="dxa"/>
          </w:tcPr>
          <w:p>
            <w:pPr>
              <w:spacing w:before="0" w:after="0"/>
              <w:jc w:val="left"/>
              <w:rPr>
                <w:rFonts w:eastAsia="Calibri"/>
                <w:noProof/>
                <w:sz w:val="22"/>
              </w:rPr>
            </w:pPr>
            <w:r>
              <w:rPr>
                <w:rFonts w:eastAsia="Calibri"/>
                <w:noProof/>
                <w:sz w:val="22"/>
              </w:rPr>
              <w:t>Cheese and curd</w:t>
            </w:r>
          </w:p>
        </w:tc>
        <w:tc>
          <w:tcPr>
            <w:tcW w:w="1448" w:type="dxa"/>
            <w:vAlign w:val="center"/>
          </w:tcPr>
          <w:p>
            <w:pPr>
              <w:spacing w:before="0" w:after="0"/>
              <w:jc w:val="center"/>
              <w:rPr>
                <w:rFonts w:eastAsia="Calibri"/>
                <w:noProof/>
                <w:sz w:val="22"/>
                <w:lang w:val="en-US"/>
              </w:rPr>
            </w:pPr>
            <w:r>
              <w:rPr>
                <w:rFonts w:eastAsia="Calibri"/>
                <w:noProof/>
                <w:sz w:val="22"/>
                <w:lang w:val="en-US"/>
              </w:rPr>
              <w:t>8400</w:t>
            </w:r>
          </w:p>
        </w:tc>
        <w:tc>
          <w:tcPr>
            <w:tcW w:w="1351" w:type="dxa"/>
            <w:vAlign w:val="center"/>
          </w:tcPr>
          <w:p>
            <w:pPr>
              <w:spacing w:before="0" w:after="0"/>
              <w:jc w:val="center"/>
              <w:rPr>
                <w:rFonts w:eastAsia="Calibri"/>
                <w:noProof/>
                <w:sz w:val="22"/>
                <w:lang w:val="en-US"/>
              </w:rPr>
            </w:pPr>
            <w:r>
              <w:rPr>
                <w:rFonts w:eastAsia="Calibri"/>
                <w:noProof/>
                <w:sz w:val="22"/>
                <w:lang w:val="en-US"/>
              </w:rPr>
              <w:t>1200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u w:val="single"/>
              </w:rPr>
            </w:pPr>
          </w:p>
          <w:p>
            <w:pPr>
              <w:spacing w:before="0" w:after="0"/>
              <w:jc w:val="left"/>
              <w:rPr>
                <w:rFonts w:eastAsia="Calibri"/>
                <w:noProof/>
                <w:sz w:val="22"/>
              </w:rPr>
            </w:pPr>
            <w:r>
              <w:rPr>
                <w:rFonts w:eastAsia="Calibri"/>
                <w:noProof/>
                <w:sz w:val="22"/>
              </w:rPr>
              <w:t>ex 06.02.9043</w:t>
            </w:r>
            <w:r>
              <w:rPr>
                <w:rFonts w:eastAsia="Calibri"/>
                <w:noProof/>
                <w:sz w:val="22"/>
                <w:vertAlign w:val="superscript"/>
              </w:rPr>
              <w:t>(</w:t>
            </w:r>
            <w:r>
              <w:rPr>
                <w:rStyle w:val="FootnoteReference"/>
                <w:noProof/>
              </w:rPr>
              <w:footnoteReference w:id="4"/>
            </w:r>
            <w:r>
              <w:rPr>
                <w:rFonts w:eastAsia="Calibri"/>
                <w:noProof/>
                <w:sz w:val="22"/>
                <w:vertAlign w:val="superscript"/>
              </w:rPr>
              <w:t>)</w:t>
            </w:r>
          </w:p>
          <w:p>
            <w:pPr>
              <w:spacing w:before="0" w:after="0"/>
              <w:jc w:val="left"/>
              <w:rPr>
                <w:rFonts w:eastAsia="Calibri"/>
                <w:noProof/>
                <w:sz w:val="22"/>
              </w:rPr>
            </w:pPr>
            <w:r>
              <w:rPr>
                <w:rFonts w:eastAsia="Calibri"/>
                <w:noProof/>
                <w:sz w:val="22"/>
              </w:rPr>
              <w:t>06.02.9044</w:t>
            </w:r>
          </w:p>
        </w:tc>
        <w:tc>
          <w:tcPr>
            <w:tcW w:w="3304" w:type="dxa"/>
          </w:tcPr>
          <w:p>
            <w:pPr>
              <w:spacing w:before="0" w:after="0"/>
              <w:jc w:val="left"/>
              <w:rPr>
                <w:rFonts w:eastAsia="Calibri"/>
                <w:b/>
                <w:noProof/>
                <w:sz w:val="22"/>
              </w:rPr>
            </w:pPr>
            <w:r>
              <w:rPr>
                <w:rFonts w:eastAsia="Calibri"/>
                <w:b/>
                <w:noProof/>
                <w:sz w:val="22"/>
              </w:rPr>
              <w:t>Other live plants (including their roots), cuttings and slips; mushroom spawn</w:t>
            </w:r>
          </w:p>
          <w:p>
            <w:pPr>
              <w:spacing w:before="0" w:after="0"/>
              <w:jc w:val="left"/>
              <w:rPr>
                <w:rFonts w:eastAsia="Calibri"/>
                <w:noProof/>
                <w:sz w:val="22"/>
              </w:rPr>
            </w:pPr>
            <w:r>
              <w:rPr>
                <w:rFonts w:eastAsia="Calibri"/>
                <w:noProof/>
                <w:sz w:val="22"/>
              </w:rPr>
              <w:t>Other; Pot plants or bedding plants, in flower;</w:t>
            </w:r>
          </w:p>
        </w:tc>
        <w:tc>
          <w:tcPr>
            <w:tcW w:w="1448" w:type="dxa"/>
            <w:vAlign w:val="center"/>
          </w:tcPr>
          <w:p>
            <w:pPr>
              <w:spacing w:before="0" w:after="0"/>
              <w:jc w:val="center"/>
              <w:rPr>
                <w:rFonts w:eastAsia="Calibri"/>
                <w:noProof/>
                <w:sz w:val="22"/>
                <w:lang w:val="en-US"/>
              </w:rPr>
            </w:pPr>
            <w:r>
              <w:rPr>
                <w:rFonts w:eastAsia="Calibri"/>
                <w:noProof/>
                <w:sz w:val="22"/>
                <w:lang w:val="en-US"/>
              </w:rPr>
              <w:t>20 million NOK</w:t>
            </w:r>
          </w:p>
        </w:tc>
        <w:tc>
          <w:tcPr>
            <w:tcW w:w="1351" w:type="dxa"/>
            <w:vAlign w:val="center"/>
          </w:tcPr>
          <w:p>
            <w:pPr>
              <w:spacing w:before="0" w:after="0"/>
              <w:jc w:val="center"/>
              <w:rPr>
                <w:rFonts w:eastAsia="Calibri"/>
                <w:noProof/>
                <w:sz w:val="22"/>
                <w:lang w:val="en-US"/>
              </w:rPr>
            </w:pPr>
            <w:r>
              <w:rPr>
                <w:rFonts w:eastAsia="Calibri"/>
                <w:noProof/>
                <w:sz w:val="22"/>
                <w:lang w:val="en-US"/>
              </w:rPr>
              <w:t>12 million NOK</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vAlign w:val="center"/>
          </w:tcPr>
          <w:p>
            <w:pPr>
              <w:spacing w:before="0" w:after="0"/>
              <w:jc w:val="left"/>
              <w:rPr>
                <w:rFonts w:eastAsia="Calibri"/>
                <w:noProof/>
                <w:sz w:val="22"/>
              </w:rPr>
            </w:pPr>
            <w:r>
              <w:rPr>
                <w:rFonts w:eastAsia="Calibri"/>
                <w:noProof/>
                <w:sz w:val="22"/>
              </w:rPr>
              <w:t>06.02.9031</w:t>
            </w:r>
          </w:p>
        </w:tc>
        <w:tc>
          <w:tcPr>
            <w:tcW w:w="3304" w:type="dxa"/>
          </w:tcPr>
          <w:p>
            <w:pPr>
              <w:spacing w:before="0" w:after="0"/>
              <w:jc w:val="left"/>
              <w:rPr>
                <w:rFonts w:eastAsia="Calibri"/>
                <w:b/>
                <w:noProof/>
                <w:sz w:val="22"/>
              </w:rPr>
            </w:pPr>
            <w:r>
              <w:rPr>
                <w:rFonts w:eastAsia="Calibri"/>
                <w:noProof/>
                <w:sz w:val="22"/>
              </w:rPr>
              <w:t>Green pot plants from 1 May to 14</w:t>
            </w:r>
            <w:r>
              <w:rPr>
                <w:rFonts w:ascii="Calibri" w:eastAsia="Calibri" w:hAnsi="Calibri"/>
                <w:noProof/>
                <w:sz w:val="22"/>
              </w:rPr>
              <w:t xml:space="preserve"> </w:t>
            </w:r>
            <w:r>
              <w:rPr>
                <w:rFonts w:eastAsia="Calibri"/>
                <w:noProof/>
                <w:sz w:val="22"/>
              </w:rPr>
              <w:t>December</w:t>
            </w:r>
            <w:r>
              <w:rPr>
                <w:rFonts w:ascii="Calibri" w:eastAsia="Calibri" w:hAnsi="Calibri"/>
                <w:noProof/>
                <w:sz w:val="22"/>
                <w:vertAlign w:val="superscript"/>
              </w:rPr>
              <w:t>(</w:t>
            </w:r>
            <w:r>
              <w:rPr>
                <w:rStyle w:val="FootnoteReference"/>
                <w:noProof/>
              </w:rPr>
              <w:footnoteReference w:id="5"/>
            </w:r>
            <w:r>
              <w:rPr>
                <w:rFonts w:ascii="Calibri" w:eastAsia="Calibri" w:hAnsi="Calibri"/>
                <w:noProof/>
                <w:sz w:val="22"/>
                <w:vertAlign w:val="superscript"/>
              </w:rPr>
              <w:t>)</w:t>
            </w:r>
          </w:p>
        </w:tc>
        <w:tc>
          <w:tcPr>
            <w:tcW w:w="1448" w:type="dxa"/>
            <w:vAlign w:val="center"/>
          </w:tcPr>
          <w:p>
            <w:pPr>
              <w:spacing w:before="0" w:after="0"/>
              <w:jc w:val="center"/>
              <w:rPr>
                <w:rFonts w:eastAsia="Calibri"/>
                <w:noProof/>
                <w:sz w:val="22"/>
                <w:lang w:val="en-US"/>
              </w:rPr>
            </w:pPr>
            <w:r>
              <w:rPr>
                <w:rFonts w:eastAsia="Calibri"/>
                <w:noProof/>
                <w:sz w:val="22"/>
                <w:lang w:val="en-US"/>
              </w:rPr>
              <w:t>7 million NOK</w:t>
            </w:r>
          </w:p>
        </w:tc>
        <w:tc>
          <w:tcPr>
            <w:tcW w:w="1351" w:type="dxa"/>
            <w:vAlign w:val="center"/>
          </w:tcPr>
          <w:p>
            <w:pPr>
              <w:spacing w:before="0" w:after="0"/>
              <w:jc w:val="center"/>
              <w:rPr>
                <w:rFonts w:eastAsia="Calibri"/>
                <w:noProof/>
                <w:sz w:val="22"/>
                <w:lang w:val="en-US"/>
              </w:rPr>
            </w:pPr>
            <w:r>
              <w:rPr>
                <w:rFonts w:eastAsia="Calibri"/>
                <w:noProof/>
                <w:sz w:val="22"/>
                <w:lang w:val="en-US"/>
              </w:rPr>
              <w:t>3 million NOK</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u w:val="single"/>
              </w:rPr>
            </w:pPr>
          </w:p>
          <w:p>
            <w:pPr>
              <w:spacing w:before="0" w:after="0"/>
              <w:jc w:val="left"/>
              <w:rPr>
                <w:rFonts w:eastAsia="Calibri"/>
                <w:noProof/>
                <w:sz w:val="22"/>
                <w:u w:val="single"/>
              </w:rPr>
            </w:pPr>
          </w:p>
          <w:p>
            <w:pPr>
              <w:spacing w:before="0" w:after="0"/>
              <w:jc w:val="left"/>
              <w:rPr>
                <w:rFonts w:eastAsia="Calibri"/>
                <w:noProof/>
                <w:sz w:val="22"/>
                <w:u w:val="single"/>
              </w:rPr>
            </w:pPr>
          </w:p>
          <w:p>
            <w:pPr>
              <w:spacing w:before="0" w:after="0"/>
              <w:jc w:val="left"/>
              <w:rPr>
                <w:rFonts w:eastAsia="Calibri"/>
                <w:noProof/>
                <w:sz w:val="22"/>
              </w:rPr>
            </w:pPr>
          </w:p>
          <w:p>
            <w:pPr>
              <w:spacing w:before="0" w:after="0"/>
              <w:jc w:val="left"/>
              <w:rPr>
                <w:rFonts w:eastAsia="Calibri"/>
                <w:noProof/>
                <w:sz w:val="22"/>
              </w:rPr>
            </w:pPr>
            <w:r>
              <w:rPr>
                <w:rFonts w:eastAsia="Calibri"/>
                <w:noProof/>
                <w:sz w:val="22"/>
              </w:rPr>
              <w:t>07.05.1112</w:t>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07.05.1119</w:t>
            </w:r>
          </w:p>
        </w:tc>
        <w:tc>
          <w:tcPr>
            <w:tcW w:w="3304" w:type="dxa"/>
          </w:tcPr>
          <w:p>
            <w:pPr>
              <w:spacing w:before="0" w:after="0"/>
              <w:jc w:val="left"/>
              <w:rPr>
                <w:rFonts w:eastAsia="Calibri"/>
                <w:b/>
                <w:noProof/>
                <w:sz w:val="22"/>
              </w:rPr>
            </w:pPr>
            <w:r>
              <w:rPr>
                <w:rFonts w:eastAsia="Calibri"/>
                <w:b/>
                <w:noProof/>
                <w:sz w:val="22"/>
              </w:rPr>
              <w:t>Lettuce (Lactuca sativa) and chicory (Cichorium spp.), fresh or chilled</w:t>
            </w:r>
          </w:p>
          <w:p>
            <w:pPr>
              <w:spacing w:before="0" w:after="0"/>
              <w:jc w:val="left"/>
              <w:rPr>
                <w:rFonts w:eastAsia="Calibri"/>
                <w:noProof/>
                <w:sz w:val="22"/>
              </w:rPr>
            </w:pPr>
            <w:r>
              <w:rPr>
                <w:rFonts w:eastAsia="Calibri"/>
                <w:noProof/>
                <w:sz w:val="22"/>
              </w:rPr>
              <w:t>Iceberg lettuce;</w:t>
            </w:r>
          </w:p>
          <w:p>
            <w:pPr>
              <w:spacing w:before="0" w:after="0"/>
              <w:jc w:val="left"/>
              <w:rPr>
                <w:rFonts w:eastAsia="Calibri"/>
                <w:noProof/>
                <w:sz w:val="22"/>
              </w:rPr>
            </w:pPr>
            <w:r>
              <w:rPr>
                <w:rFonts w:eastAsia="Calibri"/>
                <w:noProof/>
                <w:sz w:val="22"/>
              </w:rPr>
              <w:t>From 1 March to 31 May;</w:t>
            </w:r>
          </w:p>
          <w:p>
            <w:pPr>
              <w:spacing w:before="0" w:after="0"/>
              <w:jc w:val="left"/>
              <w:rPr>
                <w:rFonts w:eastAsia="Calibri"/>
                <w:noProof/>
                <w:sz w:val="22"/>
              </w:rPr>
            </w:pPr>
            <w:r>
              <w:rPr>
                <w:rFonts w:eastAsia="Calibri"/>
                <w:noProof/>
                <w:sz w:val="22"/>
              </w:rPr>
              <w:t>Whole</w:t>
            </w:r>
          </w:p>
          <w:p>
            <w:pPr>
              <w:spacing w:before="0" w:after="0"/>
              <w:jc w:val="left"/>
              <w:rPr>
                <w:rFonts w:eastAsia="Calibri"/>
                <w:noProof/>
                <w:sz w:val="12"/>
              </w:rPr>
            </w:pPr>
          </w:p>
          <w:p>
            <w:pPr>
              <w:spacing w:before="0" w:after="0"/>
              <w:jc w:val="left"/>
              <w:rPr>
                <w:rFonts w:eastAsia="Calibri"/>
                <w:noProof/>
                <w:sz w:val="22"/>
              </w:rPr>
            </w:pPr>
            <w:r>
              <w:rPr>
                <w:rFonts w:eastAsia="Calibri"/>
                <w:noProof/>
                <w:sz w:val="22"/>
              </w:rPr>
              <w:t>Other</w:t>
            </w:r>
          </w:p>
        </w:tc>
        <w:tc>
          <w:tcPr>
            <w:tcW w:w="1448" w:type="dxa"/>
            <w:vAlign w:val="center"/>
          </w:tcPr>
          <w:p>
            <w:pPr>
              <w:spacing w:before="0" w:after="0"/>
              <w:jc w:val="center"/>
              <w:rPr>
                <w:rFonts w:eastAsia="Calibri"/>
                <w:noProof/>
                <w:sz w:val="22"/>
                <w:lang w:val="en-US"/>
              </w:rPr>
            </w:pPr>
            <w:r>
              <w:rPr>
                <w:rFonts w:eastAsia="Calibri"/>
                <w:noProof/>
                <w:sz w:val="22"/>
                <w:lang w:val="en-US"/>
              </w:rPr>
              <w:t>500</w:t>
            </w:r>
            <w:r>
              <w:rPr>
                <w:rFonts w:eastAsia="Calibri"/>
                <w:noProof/>
                <w:sz w:val="22"/>
                <w:vertAlign w:val="superscript"/>
                <w:lang w:val="en-US"/>
              </w:rPr>
              <w:t>(</w:t>
            </w:r>
            <w:r>
              <w:rPr>
                <w:rStyle w:val="FootnoteReference"/>
                <w:noProof/>
              </w:rPr>
              <w:footnoteReference w:id="6"/>
            </w:r>
            <w:r>
              <w:rPr>
                <w:rFonts w:eastAsia="Calibri"/>
                <w:noProof/>
                <w:sz w:val="22"/>
                <w:vertAlign w:val="superscript"/>
                <w:lang w:val="en-US"/>
              </w:rPr>
              <w:t>)</w:t>
            </w:r>
          </w:p>
        </w:tc>
        <w:tc>
          <w:tcPr>
            <w:tcW w:w="1351" w:type="dxa"/>
            <w:vAlign w:val="center"/>
          </w:tcPr>
          <w:p>
            <w:pPr>
              <w:spacing w:before="0" w:after="0"/>
              <w:jc w:val="center"/>
              <w:rPr>
                <w:rFonts w:eastAsia="Calibri"/>
                <w:noProof/>
                <w:sz w:val="22"/>
                <w:lang w:val="en-US"/>
              </w:rPr>
            </w:pPr>
            <w:r>
              <w:rPr>
                <w:rFonts w:eastAsia="Calibri"/>
                <w:noProof/>
                <w:sz w:val="22"/>
                <w:lang w:val="en-US"/>
              </w:rPr>
              <w:t>100</w:t>
            </w:r>
            <w:r>
              <w:rPr>
                <w:rFonts w:eastAsia="Calibri"/>
                <w:noProof/>
                <w:sz w:val="22"/>
                <w:vertAlign w:val="superscript"/>
                <w:lang w:val="en-US"/>
              </w:rPr>
              <w:t>(6)</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rPr>
            </w:pPr>
            <w:r>
              <w:rPr>
                <w:rFonts w:eastAsia="Calibri"/>
                <w:noProof/>
                <w:sz w:val="22"/>
              </w:rPr>
              <w:t>10.05.9010</w:t>
            </w:r>
          </w:p>
        </w:tc>
        <w:tc>
          <w:tcPr>
            <w:tcW w:w="3304" w:type="dxa"/>
          </w:tcPr>
          <w:p>
            <w:pPr>
              <w:spacing w:before="0" w:after="0"/>
              <w:jc w:val="left"/>
              <w:rPr>
                <w:rFonts w:eastAsia="Calibri"/>
                <w:b/>
                <w:noProof/>
                <w:sz w:val="22"/>
              </w:rPr>
            </w:pPr>
            <w:r>
              <w:rPr>
                <w:rFonts w:eastAsia="Calibri"/>
                <w:b/>
                <w:noProof/>
                <w:sz w:val="22"/>
              </w:rPr>
              <w:t>Maize (corn)</w:t>
            </w:r>
          </w:p>
          <w:p>
            <w:pPr>
              <w:spacing w:before="0" w:after="0"/>
              <w:jc w:val="left"/>
              <w:rPr>
                <w:rFonts w:eastAsia="Calibri"/>
                <w:noProof/>
                <w:sz w:val="22"/>
              </w:rPr>
            </w:pPr>
            <w:r>
              <w:rPr>
                <w:rFonts w:eastAsia="Calibri"/>
                <w:noProof/>
                <w:sz w:val="22"/>
              </w:rPr>
              <w:t>For feed purpose</w:t>
            </w:r>
          </w:p>
        </w:tc>
        <w:tc>
          <w:tcPr>
            <w:tcW w:w="1448" w:type="dxa"/>
            <w:vAlign w:val="center"/>
          </w:tcPr>
          <w:p>
            <w:pPr>
              <w:spacing w:before="0" w:after="0"/>
              <w:jc w:val="center"/>
              <w:rPr>
                <w:rFonts w:eastAsia="Calibri"/>
                <w:noProof/>
                <w:sz w:val="22"/>
                <w:lang w:val="en-US"/>
              </w:rPr>
            </w:pPr>
            <w:r>
              <w:rPr>
                <w:rFonts w:eastAsia="Calibri"/>
                <w:noProof/>
                <w:sz w:val="22"/>
                <w:lang w:val="en-US"/>
              </w:rPr>
              <w:t>15000</w:t>
            </w:r>
          </w:p>
        </w:tc>
        <w:tc>
          <w:tcPr>
            <w:tcW w:w="1351" w:type="dxa"/>
            <w:vAlign w:val="center"/>
          </w:tcPr>
          <w:p>
            <w:pPr>
              <w:spacing w:before="0" w:after="0"/>
              <w:jc w:val="center"/>
              <w:rPr>
                <w:rFonts w:eastAsia="Calibri"/>
                <w:noProof/>
                <w:sz w:val="22"/>
                <w:lang w:val="en-US"/>
              </w:rPr>
            </w:pPr>
            <w:r>
              <w:rPr>
                <w:rFonts w:eastAsia="Calibri"/>
                <w:noProof/>
                <w:sz w:val="22"/>
                <w:lang w:val="en-US"/>
              </w:rPr>
              <w:t>5000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r>
        <w:tc>
          <w:tcPr>
            <w:tcW w:w="1838" w:type="dxa"/>
            <w:vAlign w:val="center"/>
          </w:tcPr>
          <w:p>
            <w:pPr>
              <w:spacing w:before="0" w:after="0"/>
              <w:jc w:val="left"/>
              <w:rPr>
                <w:rFonts w:eastAsia="Calibri"/>
                <w:noProof/>
                <w:sz w:val="22"/>
              </w:rPr>
            </w:pPr>
            <w:r>
              <w:rPr>
                <w:rFonts w:eastAsia="Calibri"/>
                <w:noProof/>
                <w:sz w:val="22"/>
              </w:rPr>
              <w:t>16.01.0000</w:t>
            </w:r>
          </w:p>
        </w:tc>
        <w:tc>
          <w:tcPr>
            <w:tcW w:w="3304" w:type="dxa"/>
          </w:tcPr>
          <w:p>
            <w:pPr>
              <w:spacing w:before="0" w:after="0"/>
              <w:jc w:val="left"/>
              <w:rPr>
                <w:rFonts w:eastAsia="Calibri"/>
                <w:noProof/>
                <w:sz w:val="22"/>
              </w:rPr>
            </w:pPr>
            <w:r>
              <w:rPr>
                <w:rFonts w:eastAsia="Calibri"/>
                <w:noProof/>
                <w:sz w:val="22"/>
              </w:rPr>
              <w:t>Sausages and similar products, of meat, meat offal or blood; food preparations based on these products</w:t>
            </w:r>
          </w:p>
        </w:tc>
        <w:tc>
          <w:tcPr>
            <w:tcW w:w="1448" w:type="dxa"/>
            <w:vAlign w:val="center"/>
          </w:tcPr>
          <w:p>
            <w:pPr>
              <w:spacing w:before="0" w:after="0"/>
              <w:jc w:val="center"/>
              <w:rPr>
                <w:rFonts w:eastAsia="Calibri"/>
                <w:noProof/>
                <w:sz w:val="22"/>
                <w:lang w:val="en-US"/>
              </w:rPr>
            </w:pPr>
            <w:r>
              <w:rPr>
                <w:rFonts w:eastAsia="Calibri"/>
                <w:noProof/>
                <w:sz w:val="22"/>
                <w:lang w:val="en-US"/>
              </w:rPr>
              <w:t>600</w:t>
            </w:r>
          </w:p>
        </w:tc>
        <w:tc>
          <w:tcPr>
            <w:tcW w:w="1351" w:type="dxa"/>
            <w:vAlign w:val="center"/>
          </w:tcPr>
          <w:p>
            <w:pPr>
              <w:spacing w:before="0" w:after="0"/>
              <w:jc w:val="center"/>
              <w:rPr>
                <w:rFonts w:eastAsia="Calibri"/>
                <w:noProof/>
                <w:sz w:val="22"/>
                <w:lang w:val="en-US"/>
              </w:rPr>
            </w:pPr>
            <w:r>
              <w:rPr>
                <w:rFonts w:eastAsia="Calibri"/>
                <w:noProof/>
                <w:sz w:val="22"/>
                <w:lang w:val="en-US"/>
              </w:rPr>
              <w:t>200</w:t>
            </w:r>
          </w:p>
        </w:tc>
        <w:tc>
          <w:tcPr>
            <w:tcW w:w="1121" w:type="dxa"/>
            <w:vAlign w:val="center"/>
          </w:tcPr>
          <w:p>
            <w:pPr>
              <w:spacing w:before="0" w:after="0"/>
              <w:jc w:val="center"/>
              <w:rPr>
                <w:rFonts w:eastAsia="Calibri"/>
                <w:noProof/>
                <w:sz w:val="22"/>
                <w:lang w:val="en-US"/>
              </w:rPr>
            </w:pPr>
            <w:r>
              <w:rPr>
                <w:rFonts w:eastAsia="Calibri"/>
                <w:noProof/>
                <w:sz w:val="22"/>
                <w:lang w:val="en-US"/>
              </w:rPr>
              <w:t>0</w:t>
            </w:r>
          </w:p>
        </w:tc>
      </w:tr>
    </w:tbl>
    <w:p>
      <w:pPr>
        <w:spacing w:before="0" w:after="160" w:line="259" w:lineRule="auto"/>
        <w:jc w:val="center"/>
        <w:rPr>
          <w:rFonts w:ascii="Calibri" w:eastAsia="Calibri" w:hAnsi="Calibri"/>
          <w:b/>
          <w:noProof/>
          <w:sz w:val="22"/>
          <w:lang w:val="en-US"/>
        </w:rPr>
      </w:pPr>
    </w:p>
    <w:p>
      <w:pPr>
        <w:spacing w:before="0" w:after="160" w:line="259" w:lineRule="auto"/>
        <w:jc w:val="center"/>
        <w:rPr>
          <w:rFonts w:ascii="Calibri" w:eastAsia="Calibri" w:hAnsi="Calibri"/>
          <w:b/>
          <w:noProof/>
          <w:sz w:val="22"/>
          <w:lang w:val="en-US"/>
        </w:rPr>
      </w:pPr>
    </w:p>
    <w:p>
      <w:pPr>
        <w:pStyle w:val="Objetacteprincipal"/>
        <w:jc w:val="left"/>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vertAlign w:val="superscript"/>
        </w:rPr>
        <w:t>(</w:t>
      </w:r>
      <w:r>
        <w:rPr>
          <w:rStyle w:val="FootnoteReference"/>
        </w:rPr>
        <w:footnoteRef/>
      </w:r>
      <w:r>
        <w:rPr>
          <w:vertAlign w:val="superscript"/>
        </w:rPr>
        <w:t>)</w:t>
      </w:r>
      <w:r>
        <w:rPr>
          <w:vertAlign w:val="superscript"/>
        </w:rPr>
        <w:tab/>
      </w:r>
      <w:r>
        <w:rPr>
          <w:lang w:val="en-US"/>
        </w:rPr>
        <w:t xml:space="preserve">For the period 1.1-31.12, and during the first year of the application of the agreement </w:t>
      </w:r>
      <w:r>
        <w:rPr>
          <w:i/>
          <w:lang w:val="en-US"/>
        </w:rPr>
        <w:t>pro rata</w:t>
      </w:r>
      <w:r>
        <w:rPr>
          <w:lang w:val="en-US"/>
        </w:rPr>
        <w:t xml:space="preserve">, if necessary. </w:t>
      </w:r>
      <w:r>
        <w:t>Additional quotas to be added to existing quotas negotiated under previous EU-Norway agreements.</w:t>
      </w:r>
    </w:p>
  </w:footnote>
  <w:footnote w:id="2">
    <w:p>
      <w:pPr>
        <w:pStyle w:val="FootnoteText"/>
        <w:rPr>
          <w:lang w:val="en-US"/>
        </w:rPr>
      </w:pPr>
      <w:r>
        <w:rPr>
          <w:vertAlign w:val="superscript"/>
          <w:lang w:val="en-US"/>
        </w:rPr>
        <w:t>(</w:t>
      </w:r>
      <w:r>
        <w:rPr>
          <w:rStyle w:val="FootnoteReference"/>
          <w:lang w:val="en-US"/>
        </w:rPr>
        <w:footnoteRef/>
      </w:r>
      <w:r>
        <w:rPr>
          <w:vertAlign w:val="superscript"/>
          <w:lang w:val="en-US"/>
        </w:rPr>
        <w:t>)</w:t>
      </w:r>
      <w:r>
        <w:rPr>
          <w:vertAlign w:val="superscript"/>
          <w:lang w:val="en-US"/>
        </w:rPr>
        <w:tab/>
      </w:r>
      <w:r>
        <w:rPr>
          <w:lang w:val="en-US"/>
        </w:rPr>
        <w:t>In the period 1.12-31.12.</w:t>
      </w:r>
    </w:p>
  </w:footnote>
  <w:footnote w:id="3">
    <w:p>
      <w:pPr>
        <w:pStyle w:val="FootnoteText"/>
        <w:rPr>
          <w:lang w:val="en-US"/>
        </w:rPr>
      </w:pPr>
      <w:r>
        <w:rPr>
          <w:vertAlign w:val="superscript"/>
          <w:lang w:val="en-US"/>
        </w:rPr>
        <w:t>(</w:t>
      </w:r>
      <w:r>
        <w:rPr>
          <w:rStyle w:val="FootnoteReference"/>
        </w:rPr>
        <w:footnoteRef/>
      </w:r>
      <w:r>
        <w:rPr>
          <w:vertAlign w:val="superscript"/>
          <w:lang w:val="en-US"/>
        </w:rPr>
        <w:t>)</w:t>
      </w:r>
      <w:r>
        <w:rPr>
          <w:vertAlign w:val="superscript"/>
          <w:lang w:val="en-US"/>
        </w:rPr>
        <w:tab/>
      </w:r>
      <w:r>
        <w:rPr>
          <w:lang w:val="en-US"/>
        </w:rPr>
        <w:t>Quantity is given for imports of hams with bone in. A conversion factor of 1.15 is used for imports of hams without bone in.</w:t>
      </w:r>
    </w:p>
  </w:footnote>
  <w:footnote w:id="4">
    <w:p>
      <w:pPr>
        <w:pStyle w:val="FootnoteText"/>
        <w:rPr>
          <w:lang w:val="en-US"/>
        </w:rPr>
      </w:pPr>
      <w:r>
        <w:rPr>
          <w:vertAlign w:val="superscript"/>
          <w:lang w:val="en-US"/>
        </w:rPr>
        <w:t>(</w:t>
      </w:r>
      <w:r>
        <w:rPr>
          <w:rStyle w:val="FootnoteReference"/>
        </w:rPr>
        <w:footnoteRef/>
      </w:r>
      <w:r>
        <w:rPr>
          <w:vertAlign w:val="superscript"/>
          <w:lang w:val="en-US"/>
        </w:rPr>
        <w:t>)</w:t>
      </w:r>
      <w:r>
        <w:rPr>
          <w:vertAlign w:val="superscript"/>
          <w:lang w:val="en-US"/>
        </w:rPr>
        <w:tab/>
      </w:r>
      <w:r>
        <w:rPr>
          <w:lang w:val="en-US"/>
        </w:rPr>
        <w:t>Exception for the following plants:  Argyranthemum frutescens, Chrsanthemum frutescens, Begonia x hiemalis, Begonia elatior, Campanula, Dendranthema x grandiflora, Chrysanthemum x morifolium, Euphorbia pulcherrima, Poinsettia pulcherrima, Hibiscus, Kalanchoe, Pelargonium, Primula and Saintpaulia.</w:t>
      </w:r>
    </w:p>
  </w:footnote>
  <w:footnote w:id="5">
    <w:p>
      <w:pPr>
        <w:pStyle w:val="FootnoteText"/>
        <w:rPr>
          <w:lang w:val="en-US"/>
        </w:rPr>
      </w:pPr>
      <w:r>
        <w:rPr>
          <w:vertAlign w:val="superscript"/>
          <w:lang w:val="en-US"/>
        </w:rPr>
        <w:t>(</w:t>
      </w:r>
      <w:r>
        <w:rPr>
          <w:rStyle w:val="FootnoteReference"/>
        </w:rPr>
        <w:footnoteRef/>
      </w:r>
      <w:r>
        <w:rPr>
          <w:vertAlign w:val="superscript"/>
          <w:lang w:val="en-US"/>
        </w:rPr>
        <w:t>)</w:t>
      </w:r>
      <w:r>
        <w:rPr>
          <w:vertAlign w:val="superscript"/>
          <w:lang w:val="en-US"/>
        </w:rPr>
        <w:tab/>
      </w:r>
      <w:r>
        <w:rPr>
          <w:lang w:val="en-US"/>
        </w:rPr>
        <w:t>The following plants are included: Condiaeum, Croton, Dieffenbachia, Epipremnum, Scindapsus aureum, Hedera, Nephrolepis, Peperomia obtusifolia, Peperomia rotundifolia, Schefflera, Soleirolia and Helxine, also when imported as part of mixed groups of plants.</w:t>
      </w:r>
    </w:p>
  </w:footnote>
  <w:footnote w:id="6">
    <w:p>
      <w:pPr>
        <w:pStyle w:val="FootnoteText"/>
      </w:pPr>
      <w:r>
        <w:rPr>
          <w:vertAlign w:val="superscript"/>
        </w:rPr>
        <w:t>(</w:t>
      </w:r>
      <w:r>
        <w:rPr>
          <w:rStyle w:val="FootnoteReference"/>
        </w:rPr>
        <w:footnoteRef/>
      </w:r>
      <w:r>
        <w:rPr>
          <w:vertAlign w:val="superscript"/>
        </w:rPr>
        <w:t>)</w:t>
      </w:r>
      <w:r>
        <w:rPr>
          <w:vertAlign w:val="superscript"/>
        </w:rPr>
        <w:tab/>
      </w:r>
      <w:r>
        <w:t>End user criteria: Processing industry.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0ABE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A0664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2691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C2AF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4EE9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E6D5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0A4BBE8"/>
    <w:lvl w:ilvl="0">
      <w:start w:val="1"/>
      <w:numFmt w:val="decimal"/>
      <w:pStyle w:val="ListNumber"/>
      <w:lvlText w:val="%1."/>
      <w:lvlJc w:val="left"/>
      <w:pPr>
        <w:tabs>
          <w:tab w:val="num" w:pos="360"/>
        </w:tabs>
        <w:ind w:left="360" w:hanging="360"/>
      </w:pPr>
    </w:lvl>
  </w:abstractNum>
  <w:abstractNum w:abstractNumId="7">
    <w:nsid w:val="FFFFFF89"/>
    <w:multiLevelType w:val="singleLevel"/>
    <w:tmpl w:val="BD2006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7: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DEF4527FE7F54E2D8FD572CA89B0767D"/>
    <w:docVar w:name="LW_CROSSREFERENCE" w:val="&lt;UNUSED&gt;"/>
    <w:docVar w:name="LW_DocType" w:val="ANNEX"/>
    <w:docVar w:name="LW_EMISSION" w:val="17.10.2017"/>
    <w:docVar w:name="LW_EMISSION_ISODATE" w:val="2017-10-1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an agreement in the form of an exchange of letters between the European Union and the Kingdom of Norway concerning additional trade preferences in agricultural products_x000b__x000b__x000b_Agreement in the form of an exchange of letters between the European Union and the Kingdom of Norway concerning additional trade preferences in agricultural products, reached on the basis of Article 19 of the Agreement on the European Economic Area_x000b_"/>
    <w:docVar w:name="LW_PART_NBR" w:val="3"/>
    <w:docVar w:name="LW_PART_NBR_TOTAL" w:val="5"/>
    <w:docVar w:name="LW_REF.INST.NEW" w:val="COM"/>
    <w:docVar w:name="LW_REF.INST.NEW_ADOPTED" w:val="final"/>
    <w:docVar w:name="LW_REF.INST.NEW_TEXT" w:val="(2017) 595"/>
    <w:docVar w:name="LW_REF.INTERNE" w:val="&lt;UNUSED&gt;"/>
    <w:docVar w:name="LW_SUPERTITRE" w:val="&lt;UNUSED&gt;"/>
    <w:docVar w:name="LW_TITRE.OBJ.CP" w:val="&lt;UNUSED&gt;"/>
    <w:docVar w:name="LW_TYPE.DOC.CP" w:val="ANNEX"/>
    <w:docVar w:name="LW_TYPEACTEPRINCIPAL.CP" w:val="Proposal for a 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rPr>
      <w:lang w:val="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rPr>
      <w:lang w:val="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392</Words>
  <Characters>2082</Characters>
  <Application>Microsoft Office Word</Application>
  <DocSecurity>0</DocSecurity>
  <Lines>231</Lines>
  <Paragraphs>130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Ulle (AGRI)</dc:creator>
  <cp:lastModifiedBy>DIGIT/A3</cp:lastModifiedBy>
  <cp:revision>7</cp:revision>
  <dcterms:created xsi:type="dcterms:W3CDTF">2017-09-14T08:52:00Z</dcterms:created>
  <dcterms:modified xsi:type="dcterms:W3CDTF">2017-10-10T05:53:00Z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3</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Green (DQC version 03)</vt:lpwstr>
  </property>
</Properties>
</file>