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B571A4F25194F4CB803A1E7F0D81BEB" style="width:450.75pt;height:50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jc w:val="center"/>
        <w:rPr>
          <w:rFonts w:eastAsia="Calibri"/>
          <w:b/>
          <w:noProof/>
          <w:sz w:val="22"/>
        </w:rPr>
      </w:pPr>
      <w:bookmarkStart w:id="0" w:name="_GoBack"/>
      <w:bookmarkEnd w:id="0"/>
      <w:r>
        <w:rPr>
          <w:b/>
          <w:noProof/>
          <w:sz w:val="22"/>
        </w:rPr>
        <w:t>Annexe II</w:t>
      </w:r>
    </w:p>
    <w:p>
      <w:pPr>
        <w:spacing w:before="0" w:after="160" w:line="259" w:lineRule="auto"/>
        <w:jc w:val="center"/>
        <w:rPr>
          <w:rFonts w:eastAsia="Calibri"/>
          <w:b/>
          <w:noProof/>
          <w:sz w:val="22"/>
        </w:rPr>
      </w:pPr>
      <w:r>
        <w:rPr>
          <w:b/>
          <w:noProof/>
          <w:sz w:val="22"/>
        </w:rPr>
        <w:t>Contingents tarifaires applicables aux importations en Norvège de produits originaires de l'Union européenne</w:t>
      </w:r>
    </w:p>
    <w:tbl>
      <w:tblPr>
        <w:tblStyle w:val="TableGrid"/>
        <w:tblW w:w="0" w:type="auto"/>
        <w:tblLook w:val="04A0" w:firstRow="1" w:lastRow="0" w:firstColumn="1" w:lastColumn="0" w:noHBand="0" w:noVBand="1"/>
      </w:tblPr>
      <w:tblGrid>
        <w:gridCol w:w="1777"/>
        <w:gridCol w:w="3068"/>
        <w:gridCol w:w="1426"/>
        <w:gridCol w:w="1873"/>
        <w:gridCol w:w="1145"/>
      </w:tblGrid>
      <w:tr>
        <w:tc>
          <w:tcPr>
            <w:tcW w:w="1838" w:type="dxa"/>
          </w:tcPr>
          <w:p>
            <w:pPr>
              <w:spacing w:before="0" w:after="0"/>
              <w:jc w:val="center"/>
              <w:rPr>
                <w:rFonts w:eastAsia="Calibri"/>
                <w:noProof/>
                <w:sz w:val="22"/>
              </w:rPr>
            </w:pPr>
            <w:r>
              <w:rPr>
                <w:noProof/>
                <w:sz w:val="22"/>
              </w:rPr>
              <w:t>Code tarifaire douanier norvégien</w:t>
            </w:r>
          </w:p>
        </w:tc>
        <w:tc>
          <w:tcPr>
            <w:tcW w:w="3304" w:type="dxa"/>
          </w:tcPr>
          <w:p>
            <w:pPr>
              <w:spacing w:before="0" w:after="0"/>
              <w:jc w:val="center"/>
              <w:rPr>
                <w:rFonts w:eastAsia="Calibri"/>
                <w:noProof/>
                <w:sz w:val="22"/>
              </w:rPr>
            </w:pPr>
            <w:r>
              <w:rPr>
                <w:noProof/>
                <w:sz w:val="22"/>
              </w:rPr>
              <w:t>Désignation des marchandises</w:t>
            </w:r>
          </w:p>
        </w:tc>
        <w:tc>
          <w:tcPr>
            <w:tcW w:w="1448" w:type="dxa"/>
          </w:tcPr>
          <w:p>
            <w:pPr>
              <w:spacing w:before="0" w:after="0"/>
              <w:jc w:val="center"/>
              <w:rPr>
                <w:rFonts w:eastAsia="Calibri"/>
                <w:noProof/>
                <w:sz w:val="22"/>
              </w:rPr>
            </w:pPr>
            <w:r>
              <w:rPr>
                <w:noProof/>
                <w:sz w:val="22"/>
              </w:rPr>
              <w:t>Contingents tarifaires consolidés (quantités annuelles en tonnes)</w:t>
            </w:r>
          </w:p>
        </w:tc>
        <w:tc>
          <w:tcPr>
            <w:tcW w:w="1351" w:type="dxa"/>
          </w:tcPr>
          <w:p>
            <w:pPr>
              <w:spacing w:before="0" w:after="0"/>
              <w:jc w:val="center"/>
              <w:rPr>
                <w:rFonts w:eastAsia="Calibri"/>
                <w:noProof/>
                <w:sz w:val="22"/>
              </w:rPr>
            </w:pPr>
            <w:r>
              <w:rPr>
                <w:noProof/>
                <w:sz w:val="22"/>
              </w:rPr>
              <w:t>Dont contingents supplémentaires(</w:t>
            </w:r>
            <w:r>
              <w:rPr>
                <w:rStyle w:val="FootnoteReference"/>
                <w:noProof/>
              </w:rPr>
              <w:footnoteReference w:id="1"/>
            </w:r>
            <w:r>
              <w:rPr>
                <w:noProof/>
                <w:sz w:val="22"/>
              </w:rPr>
              <w:t>)</w:t>
            </w:r>
          </w:p>
          <w:p>
            <w:pPr>
              <w:spacing w:before="0" w:after="0"/>
              <w:jc w:val="center"/>
              <w:rPr>
                <w:rFonts w:eastAsia="Calibri"/>
                <w:noProof/>
                <w:sz w:val="22"/>
              </w:rPr>
            </w:pPr>
          </w:p>
        </w:tc>
        <w:tc>
          <w:tcPr>
            <w:tcW w:w="1121" w:type="dxa"/>
          </w:tcPr>
          <w:p>
            <w:pPr>
              <w:spacing w:before="0" w:after="0"/>
              <w:jc w:val="center"/>
              <w:rPr>
                <w:rFonts w:eastAsia="Calibri"/>
                <w:noProof/>
                <w:sz w:val="22"/>
              </w:rPr>
            </w:pPr>
            <w:r>
              <w:rPr>
                <w:noProof/>
                <w:sz w:val="22"/>
              </w:rPr>
              <w:t>Droits dans le cadre du contingent (NOK/kg)</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noProof/>
                <w:sz w:val="22"/>
              </w:rPr>
              <w:t xml:space="preserve">02.01.1000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02.01.2001 </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02.01.2002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02.01.2003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02.01.2004 </w:t>
            </w:r>
          </w:p>
          <w:p>
            <w:pPr>
              <w:spacing w:before="0" w:after="0"/>
              <w:jc w:val="left"/>
              <w:rPr>
                <w:rFonts w:eastAsia="Calibri"/>
                <w:noProof/>
                <w:sz w:val="12"/>
              </w:rPr>
            </w:pPr>
          </w:p>
          <w:p>
            <w:pPr>
              <w:spacing w:before="0" w:after="0"/>
              <w:jc w:val="left"/>
              <w:rPr>
                <w:rFonts w:eastAsia="Calibri"/>
                <w:noProof/>
                <w:sz w:val="22"/>
              </w:rPr>
            </w:pPr>
          </w:p>
          <w:p>
            <w:pPr>
              <w:spacing w:before="0" w:after="0"/>
              <w:jc w:val="left"/>
              <w:rPr>
                <w:rFonts w:eastAsia="Calibri"/>
                <w:noProof/>
                <w:sz w:val="22"/>
              </w:rPr>
            </w:pPr>
            <w:r>
              <w:rPr>
                <w:noProof/>
                <w:sz w:val="22"/>
              </w:rPr>
              <w:t xml:space="preserve">02.02.1000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02.02.2001 </w:t>
            </w: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noProof/>
                <w:sz w:val="22"/>
              </w:rPr>
              <w:t xml:space="preserve">02.02.2002 </w:t>
            </w:r>
          </w:p>
          <w:p>
            <w:pPr>
              <w:spacing w:before="0" w:after="0"/>
              <w:jc w:val="left"/>
              <w:rPr>
                <w:rFonts w:eastAsia="Calibri"/>
                <w:noProof/>
                <w:sz w:val="12"/>
              </w:rPr>
            </w:pPr>
          </w:p>
          <w:p>
            <w:pPr>
              <w:spacing w:before="0" w:after="0"/>
              <w:jc w:val="left"/>
              <w:rPr>
                <w:rFonts w:eastAsia="Calibri"/>
                <w:noProof/>
                <w:sz w:val="22"/>
              </w:rPr>
            </w:pPr>
            <w:r>
              <w:rPr>
                <w:noProof/>
                <w:sz w:val="22"/>
              </w:rPr>
              <w:t xml:space="preserve">02.02.2003 </w:t>
            </w:r>
          </w:p>
          <w:p>
            <w:pPr>
              <w:spacing w:before="0" w:after="0"/>
              <w:jc w:val="left"/>
              <w:rPr>
                <w:rFonts w:eastAsia="Calibri"/>
                <w:noProof/>
                <w:sz w:val="12"/>
              </w:rPr>
            </w:pPr>
          </w:p>
          <w:p>
            <w:pPr>
              <w:spacing w:before="0" w:after="0"/>
              <w:jc w:val="left"/>
              <w:rPr>
                <w:rFonts w:eastAsia="Calibri"/>
                <w:noProof/>
                <w:sz w:val="22"/>
              </w:rPr>
            </w:pPr>
            <w:r>
              <w:rPr>
                <w:noProof/>
                <w:sz w:val="22"/>
              </w:rPr>
              <w:t>02.02.2004</w:t>
            </w:r>
          </w:p>
        </w:tc>
        <w:tc>
          <w:tcPr>
            <w:tcW w:w="3304" w:type="dxa"/>
          </w:tcPr>
          <w:p>
            <w:pPr>
              <w:spacing w:before="0" w:after="0"/>
              <w:jc w:val="left"/>
              <w:rPr>
                <w:rFonts w:eastAsia="Calibri"/>
                <w:b/>
                <w:noProof/>
                <w:sz w:val="22"/>
              </w:rPr>
            </w:pPr>
            <w:r>
              <w:rPr>
                <w:b/>
                <w:noProof/>
                <w:sz w:val="22"/>
              </w:rPr>
              <w:t>Viandes des animaux de l'espèce bovine, fraîches ou réfrigérées</w:t>
            </w:r>
          </w:p>
          <w:p>
            <w:pPr>
              <w:spacing w:before="0" w:after="0"/>
              <w:jc w:val="left"/>
              <w:rPr>
                <w:rFonts w:eastAsia="Calibri"/>
                <w:noProof/>
                <w:sz w:val="22"/>
              </w:rPr>
            </w:pPr>
            <w:r>
              <w:rPr>
                <w:noProof/>
                <w:sz w:val="22"/>
              </w:rPr>
              <w:t>en carcasses ou demi-carcasses</w:t>
            </w:r>
          </w:p>
          <w:p>
            <w:pPr>
              <w:spacing w:before="0" w:after="0"/>
              <w:jc w:val="left"/>
              <w:rPr>
                <w:rFonts w:eastAsia="Calibri"/>
                <w:noProof/>
                <w:sz w:val="12"/>
              </w:rPr>
            </w:pPr>
          </w:p>
          <w:p>
            <w:pPr>
              <w:spacing w:before="0" w:after="0"/>
              <w:jc w:val="left"/>
              <w:rPr>
                <w:rFonts w:eastAsia="Calibri"/>
                <w:noProof/>
                <w:sz w:val="22"/>
              </w:rPr>
            </w:pPr>
            <w:r>
              <w:rPr>
                <w:noProof/>
              </w:rPr>
              <w:t>quartiers dits «compensés» (partie avant et partie arrière de la même bête devant être présentés en même temps)</w:t>
            </w:r>
          </w:p>
          <w:p>
            <w:pPr>
              <w:spacing w:before="0" w:after="0"/>
              <w:jc w:val="left"/>
              <w:rPr>
                <w:rFonts w:eastAsia="Calibri"/>
                <w:noProof/>
                <w:sz w:val="12"/>
              </w:rPr>
            </w:pPr>
          </w:p>
          <w:p>
            <w:pPr>
              <w:spacing w:before="0" w:after="0"/>
              <w:jc w:val="left"/>
              <w:rPr>
                <w:rFonts w:eastAsia="Calibri"/>
                <w:noProof/>
                <w:sz w:val="22"/>
              </w:rPr>
            </w:pPr>
            <w:r>
              <w:rPr>
                <w:noProof/>
                <w:sz w:val="22"/>
              </w:rPr>
              <w:t>autres quartiers avant</w:t>
            </w:r>
            <w:r>
              <w:rPr>
                <w:noProof/>
              </w:rPr>
              <w:tab/>
            </w:r>
          </w:p>
          <w:p>
            <w:pPr>
              <w:spacing w:before="0" w:after="0"/>
              <w:jc w:val="left"/>
              <w:rPr>
                <w:rFonts w:eastAsia="Calibri"/>
                <w:noProof/>
                <w:sz w:val="12"/>
              </w:rPr>
            </w:pPr>
          </w:p>
          <w:p>
            <w:pPr>
              <w:spacing w:before="0" w:after="0"/>
              <w:jc w:val="left"/>
              <w:rPr>
                <w:rFonts w:eastAsia="Calibri"/>
                <w:noProof/>
                <w:sz w:val="22"/>
              </w:rPr>
            </w:pPr>
            <w:r>
              <w:rPr>
                <w:noProof/>
                <w:sz w:val="22"/>
              </w:rPr>
              <w:t>autres quartiers arrière</w:t>
            </w:r>
            <w:r>
              <w:rPr>
                <w:noProof/>
              </w:rPr>
              <w:tab/>
            </w:r>
          </w:p>
          <w:p>
            <w:pPr>
              <w:spacing w:before="0" w:after="0"/>
              <w:jc w:val="left"/>
              <w:rPr>
                <w:rFonts w:eastAsia="Calibri"/>
                <w:noProof/>
                <w:sz w:val="12"/>
              </w:rPr>
            </w:pPr>
          </w:p>
          <w:p>
            <w:pPr>
              <w:spacing w:before="0" w:after="0"/>
              <w:jc w:val="left"/>
              <w:rPr>
                <w:rFonts w:eastAsia="Calibri"/>
                <w:noProof/>
                <w:sz w:val="22"/>
              </w:rPr>
            </w:pPr>
            <w:r>
              <w:rPr>
                <w:noProof/>
                <w:sz w:val="22"/>
              </w:rPr>
              <w:t>coupe dite «pistola»</w:t>
            </w:r>
          </w:p>
          <w:p>
            <w:pPr>
              <w:spacing w:before="0" w:after="0"/>
              <w:jc w:val="left"/>
              <w:rPr>
                <w:rFonts w:eastAsia="Calibri"/>
                <w:noProof/>
                <w:sz w:val="12"/>
              </w:rPr>
            </w:pPr>
          </w:p>
          <w:p>
            <w:pPr>
              <w:spacing w:before="0" w:after="0"/>
              <w:jc w:val="left"/>
              <w:rPr>
                <w:rFonts w:eastAsia="Calibri"/>
                <w:b/>
                <w:noProof/>
                <w:sz w:val="22"/>
              </w:rPr>
            </w:pPr>
            <w:r>
              <w:rPr>
                <w:b/>
                <w:noProof/>
                <w:sz w:val="22"/>
              </w:rPr>
              <w:t>Viandes des animaux de l'espèce bovine, congelées</w:t>
            </w:r>
          </w:p>
          <w:p>
            <w:pPr>
              <w:spacing w:before="0" w:after="0"/>
              <w:jc w:val="left"/>
              <w:rPr>
                <w:rFonts w:eastAsia="Calibri"/>
                <w:noProof/>
                <w:sz w:val="22"/>
              </w:rPr>
            </w:pPr>
            <w:r>
              <w:rPr>
                <w:noProof/>
                <w:sz w:val="22"/>
              </w:rPr>
              <w:t>en carcasses ou demi-carcasses</w:t>
            </w:r>
          </w:p>
          <w:p>
            <w:pPr>
              <w:spacing w:before="0" w:after="0"/>
              <w:jc w:val="left"/>
              <w:rPr>
                <w:rFonts w:eastAsia="Calibri"/>
                <w:noProof/>
                <w:sz w:val="12"/>
              </w:rPr>
            </w:pPr>
          </w:p>
          <w:p>
            <w:pPr>
              <w:spacing w:before="0" w:after="0"/>
              <w:jc w:val="left"/>
              <w:rPr>
                <w:rFonts w:eastAsia="Calibri"/>
                <w:noProof/>
                <w:sz w:val="22"/>
              </w:rPr>
            </w:pPr>
            <w:r>
              <w:rPr>
                <w:noProof/>
              </w:rPr>
              <w:t>quartiers dits «compensés» (partie avant et partie arrière de la même bête devant être présentés en même temps)</w:t>
            </w:r>
          </w:p>
          <w:p>
            <w:pPr>
              <w:spacing w:before="0" w:after="0"/>
              <w:jc w:val="left"/>
              <w:rPr>
                <w:rFonts w:eastAsia="Calibri"/>
                <w:noProof/>
                <w:sz w:val="12"/>
              </w:rPr>
            </w:pPr>
          </w:p>
          <w:p>
            <w:pPr>
              <w:spacing w:before="0" w:after="0"/>
              <w:jc w:val="left"/>
              <w:rPr>
                <w:rFonts w:eastAsia="Calibri"/>
                <w:noProof/>
                <w:sz w:val="22"/>
              </w:rPr>
            </w:pPr>
            <w:r>
              <w:rPr>
                <w:noProof/>
                <w:sz w:val="22"/>
              </w:rPr>
              <w:t>autres quartiers avant</w:t>
            </w:r>
            <w:r>
              <w:rPr>
                <w:noProof/>
              </w:rPr>
              <w:tab/>
            </w:r>
          </w:p>
          <w:p>
            <w:pPr>
              <w:spacing w:before="0" w:after="0"/>
              <w:jc w:val="left"/>
              <w:rPr>
                <w:rFonts w:eastAsia="Calibri"/>
                <w:noProof/>
                <w:sz w:val="12"/>
              </w:rPr>
            </w:pPr>
          </w:p>
          <w:p>
            <w:pPr>
              <w:spacing w:before="0" w:after="0"/>
              <w:jc w:val="left"/>
              <w:rPr>
                <w:rFonts w:eastAsia="Calibri"/>
                <w:noProof/>
                <w:sz w:val="22"/>
              </w:rPr>
            </w:pPr>
            <w:r>
              <w:rPr>
                <w:noProof/>
                <w:sz w:val="22"/>
              </w:rPr>
              <w:t>autres quartiers arrière</w:t>
            </w:r>
          </w:p>
          <w:p>
            <w:pPr>
              <w:spacing w:before="0" w:after="0"/>
              <w:jc w:val="left"/>
              <w:rPr>
                <w:rFonts w:eastAsia="Calibri"/>
                <w:noProof/>
                <w:sz w:val="12"/>
              </w:rPr>
            </w:pPr>
          </w:p>
          <w:p>
            <w:pPr>
              <w:spacing w:before="0" w:after="0"/>
              <w:jc w:val="left"/>
              <w:rPr>
                <w:rFonts w:eastAsia="Calibri"/>
                <w:noProof/>
                <w:sz w:val="22"/>
              </w:rPr>
            </w:pPr>
            <w:r>
              <w:rPr>
                <w:noProof/>
                <w:sz w:val="22"/>
              </w:rPr>
              <w:t>coupe dite «pistola»</w:t>
            </w:r>
          </w:p>
        </w:tc>
        <w:tc>
          <w:tcPr>
            <w:tcW w:w="1448" w:type="dxa"/>
            <w:vAlign w:val="center"/>
          </w:tcPr>
          <w:p>
            <w:pPr>
              <w:spacing w:before="0" w:after="0"/>
              <w:jc w:val="center"/>
              <w:rPr>
                <w:rFonts w:eastAsia="Calibri"/>
                <w:noProof/>
                <w:sz w:val="22"/>
              </w:rPr>
            </w:pPr>
            <w:r>
              <w:rPr>
                <w:noProof/>
                <w:sz w:val="22"/>
              </w:rPr>
              <w:t>2500</w:t>
            </w:r>
          </w:p>
        </w:tc>
        <w:tc>
          <w:tcPr>
            <w:tcW w:w="1351" w:type="dxa"/>
            <w:vAlign w:val="center"/>
          </w:tcPr>
          <w:p>
            <w:pPr>
              <w:spacing w:before="0" w:after="0"/>
              <w:jc w:val="center"/>
              <w:rPr>
                <w:rFonts w:eastAsia="Calibri"/>
                <w:noProof/>
                <w:sz w:val="22"/>
              </w:rPr>
            </w:pPr>
            <w:r>
              <w:rPr>
                <w:noProof/>
                <w:sz w:val="22"/>
              </w:rPr>
              <w:t>1600</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noProof/>
                <w:sz w:val="22"/>
              </w:rPr>
              <w:t>02.03.1904</w:t>
            </w:r>
          </w:p>
        </w:tc>
        <w:tc>
          <w:tcPr>
            <w:tcW w:w="3304" w:type="dxa"/>
          </w:tcPr>
          <w:p>
            <w:pPr>
              <w:spacing w:before="0" w:after="0"/>
              <w:jc w:val="left"/>
              <w:rPr>
                <w:rFonts w:eastAsia="Calibri"/>
                <w:b/>
                <w:noProof/>
                <w:sz w:val="22"/>
              </w:rPr>
            </w:pPr>
            <w:r>
              <w:rPr>
                <w:b/>
                <w:noProof/>
                <w:sz w:val="22"/>
              </w:rPr>
              <w:t>Viandes des animaux de l'espèce porcine, fraîches, réfrigérées ou congelées</w:t>
            </w:r>
          </w:p>
          <w:p>
            <w:pPr>
              <w:spacing w:before="0" w:after="0"/>
              <w:jc w:val="left"/>
              <w:rPr>
                <w:rFonts w:eastAsia="Calibri"/>
                <w:noProof/>
                <w:sz w:val="22"/>
              </w:rPr>
            </w:pPr>
            <w:r>
              <w:rPr>
                <w:noProof/>
                <w:sz w:val="22"/>
              </w:rPr>
              <w:t>poitrines (entrelardées) et leurs morceaux, non désossés</w:t>
            </w:r>
          </w:p>
        </w:tc>
        <w:tc>
          <w:tcPr>
            <w:tcW w:w="1448" w:type="dxa"/>
            <w:vAlign w:val="center"/>
          </w:tcPr>
          <w:p>
            <w:pPr>
              <w:spacing w:before="0" w:after="0"/>
              <w:jc w:val="center"/>
              <w:rPr>
                <w:rFonts w:eastAsia="Calibri"/>
                <w:noProof/>
                <w:sz w:val="22"/>
              </w:rPr>
            </w:pPr>
            <w:r>
              <w:rPr>
                <w:noProof/>
                <w:sz w:val="22"/>
              </w:rPr>
              <w:t>300</w:t>
            </w:r>
            <w:r>
              <w:rPr>
                <w:noProof/>
                <w:sz w:val="22"/>
                <w:vertAlign w:val="superscript"/>
              </w:rPr>
              <w:t>(</w:t>
            </w:r>
            <w:r>
              <w:rPr>
                <w:rStyle w:val="FootnoteReference"/>
                <w:noProof/>
              </w:rPr>
              <w:footnoteReference w:id="2"/>
            </w:r>
            <w:r>
              <w:rPr>
                <w:noProof/>
                <w:sz w:val="22"/>
                <w:vertAlign w:val="superscript"/>
              </w:rPr>
              <w:t>)</w:t>
            </w:r>
          </w:p>
        </w:tc>
        <w:tc>
          <w:tcPr>
            <w:tcW w:w="1351" w:type="dxa"/>
            <w:vAlign w:val="center"/>
          </w:tcPr>
          <w:p>
            <w:pPr>
              <w:spacing w:before="0" w:after="0"/>
              <w:jc w:val="center"/>
              <w:rPr>
                <w:rFonts w:eastAsia="Calibri"/>
                <w:noProof/>
                <w:sz w:val="22"/>
                <w:vertAlign w:val="superscript"/>
              </w:rPr>
            </w:pPr>
            <w:r>
              <w:rPr>
                <w:noProof/>
                <w:sz w:val="22"/>
              </w:rPr>
              <w:t>300</w:t>
            </w:r>
            <w:r>
              <w:rPr>
                <w:noProof/>
                <w:sz w:val="22"/>
                <w:vertAlign w:val="superscript"/>
              </w:rPr>
              <w:t>(2)</w:t>
            </w:r>
          </w:p>
        </w:tc>
        <w:tc>
          <w:tcPr>
            <w:tcW w:w="1121" w:type="dxa"/>
            <w:vAlign w:val="center"/>
          </w:tcPr>
          <w:p>
            <w:pPr>
              <w:spacing w:before="0" w:after="0"/>
              <w:jc w:val="center"/>
              <w:rPr>
                <w:rFonts w:eastAsia="Calibri"/>
                <w:noProof/>
                <w:sz w:val="22"/>
              </w:rPr>
            </w:pPr>
            <w:r>
              <w:rPr>
                <w:noProof/>
                <w:sz w:val="22"/>
              </w:rPr>
              <w:t>15</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noProof/>
                <w:sz w:val="22"/>
              </w:rPr>
              <w:t>02.07.1100</w:t>
            </w:r>
          </w:p>
          <w:p>
            <w:pPr>
              <w:spacing w:before="0" w:after="0"/>
              <w:jc w:val="left"/>
              <w:rPr>
                <w:rFonts w:eastAsia="Calibri"/>
                <w:noProof/>
                <w:sz w:val="12"/>
              </w:rPr>
            </w:pPr>
          </w:p>
          <w:p>
            <w:pPr>
              <w:spacing w:before="0" w:after="0"/>
              <w:jc w:val="left"/>
              <w:rPr>
                <w:rFonts w:eastAsia="Calibri"/>
                <w:noProof/>
                <w:sz w:val="22"/>
              </w:rPr>
            </w:pPr>
            <w:r>
              <w:rPr>
                <w:noProof/>
                <w:sz w:val="22"/>
              </w:rPr>
              <w:t>02.07.1200</w:t>
            </w:r>
          </w:p>
          <w:p>
            <w:pPr>
              <w:spacing w:before="0" w:after="0"/>
              <w:jc w:val="left"/>
              <w:rPr>
                <w:rFonts w:eastAsia="Calibri"/>
                <w:noProof/>
                <w:sz w:val="12"/>
              </w:rPr>
            </w:pPr>
          </w:p>
          <w:p>
            <w:pPr>
              <w:spacing w:before="0" w:after="0"/>
              <w:jc w:val="left"/>
              <w:rPr>
                <w:rFonts w:eastAsia="Calibri"/>
                <w:noProof/>
                <w:sz w:val="22"/>
              </w:rPr>
            </w:pPr>
          </w:p>
          <w:p>
            <w:pPr>
              <w:spacing w:before="0" w:after="0"/>
              <w:jc w:val="left"/>
              <w:rPr>
                <w:rFonts w:eastAsia="Calibri"/>
                <w:noProof/>
                <w:sz w:val="22"/>
              </w:rPr>
            </w:pPr>
            <w:r>
              <w:rPr>
                <w:noProof/>
                <w:sz w:val="22"/>
              </w:rPr>
              <w:t>02.07.2400</w:t>
            </w:r>
          </w:p>
          <w:p>
            <w:pPr>
              <w:spacing w:before="0" w:after="0"/>
              <w:jc w:val="left"/>
              <w:rPr>
                <w:rFonts w:eastAsia="Calibri"/>
                <w:noProof/>
                <w:sz w:val="12"/>
              </w:rPr>
            </w:pPr>
          </w:p>
          <w:p>
            <w:pPr>
              <w:spacing w:before="0" w:after="0"/>
              <w:jc w:val="left"/>
              <w:rPr>
                <w:rFonts w:eastAsia="Calibri"/>
                <w:noProof/>
                <w:sz w:val="22"/>
              </w:rPr>
            </w:pPr>
            <w:r>
              <w:rPr>
                <w:noProof/>
                <w:sz w:val="22"/>
              </w:rPr>
              <w:t>02.07.2500</w:t>
            </w:r>
          </w:p>
        </w:tc>
        <w:tc>
          <w:tcPr>
            <w:tcW w:w="3304" w:type="dxa"/>
          </w:tcPr>
          <w:p>
            <w:pPr>
              <w:spacing w:before="0" w:after="0"/>
              <w:jc w:val="left"/>
              <w:rPr>
                <w:rFonts w:eastAsia="Calibri"/>
                <w:b/>
                <w:noProof/>
                <w:sz w:val="22"/>
              </w:rPr>
            </w:pPr>
            <w:r>
              <w:rPr>
                <w:b/>
                <w:noProof/>
                <w:sz w:val="22"/>
              </w:rPr>
              <w:t xml:space="preserve">Viandes et abats comestibles, frais, réfrigérés ou congelés, des volailles du n° 01.05 </w:t>
            </w:r>
          </w:p>
          <w:p>
            <w:pPr>
              <w:spacing w:before="0" w:after="0"/>
              <w:jc w:val="left"/>
              <w:rPr>
                <w:rFonts w:eastAsia="Calibri"/>
                <w:noProof/>
                <w:sz w:val="22"/>
              </w:rPr>
            </w:pPr>
            <w:r>
              <w:rPr>
                <w:noProof/>
                <w:sz w:val="22"/>
              </w:rPr>
              <w:t xml:space="preserve">de coqs ou de poules de l’espèce </w:t>
            </w:r>
            <w:r>
              <w:rPr>
                <w:i/>
                <w:noProof/>
                <w:sz w:val="22"/>
              </w:rPr>
              <w:t>Gallus domesticus</w:t>
            </w:r>
            <w:r>
              <w:rPr>
                <w:noProof/>
                <w:sz w:val="22"/>
              </w:rPr>
              <w:t>;</w:t>
            </w:r>
          </w:p>
          <w:p>
            <w:pPr>
              <w:spacing w:before="0" w:after="0"/>
              <w:jc w:val="left"/>
              <w:rPr>
                <w:rFonts w:eastAsia="Calibri"/>
                <w:noProof/>
                <w:sz w:val="22"/>
              </w:rPr>
            </w:pPr>
            <w:r>
              <w:rPr>
                <w:noProof/>
                <w:sz w:val="22"/>
              </w:rPr>
              <w:t>non découpés en morceaux, frais ou réfrigérés</w:t>
            </w:r>
          </w:p>
          <w:p>
            <w:pPr>
              <w:spacing w:before="0" w:after="0"/>
              <w:jc w:val="left"/>
              <w:rPr>
                <w:rFonts w:eastAsia="Calibri"/>
                <w:noProof/>
                <w:sz w:val="12"/>
              </w:rPr>
            </w:pPr>
          </w:p>
          <w:p>
            <w:pPr>
              <w:spacing w:before="0" w:after="0"/>
              <w:jc w:val="left"/>
              <w:rPr>
                <w:rFonts w:eastAsia="Calibri"/>
                <w:noProof/>
                <w:sz w:val="22"/>
              </w:rPr>
            </w:pPr>
            <w:r>
              <w:rPr>
                <w:noProof/>
                <w:sz w:val="22"/>
              </w:rPr>
              <w:t>non découpés en morceaux, congelés</w:t>
            </w:r>
          </w:p>
          <w:p>
            <w:pPr>
              <w:spacing w:before="0" w:after="0"/>
              <w:jc w:val="left"/>
              <w:rPr>
                <w:rFonts w:eastAsia="Calibri"/>
                <w:noProof/>
                <w:sz w:val="12"/>
              </w:rPr>
            </w:pPr>
          </w:p>
          <w:p>
            <w:pPr>
              <w:spacing w:before="0" w:after="0"/>
              <w:jc w:val="left"/>
              <w:rPr>
                <w:rFonts w:eastAsia="Calibri"/>
                <w:noProof/>
                <w:sz w:val="22"/>
              </w:rPr>
            </w:pPr>
            <w:r>
              <w:rPr>
                <w:noProof/>
                <w:sz w:val="22"/>
              </w:rPr>
              <w:t>de dindes;</w:t>
            </w:r>
          </w:p>
          <w:p>
            <w:pPr>
              <w:spacing w:before="0" w:after="0"/>
              <w:jc w:val="left"/>
              <w:rPr>
                <w:rFonts w:eastAsia="Calibri"/>
                <w:noProof/>
                <w:sz w:val="22"/>
              </w:rPr>
            </w:pPr>
            <w:r>
              <w:rPr>
                <w:noProof/>
                <w:sz w:val="22"/>
              </w:rPr>
              <w:t>non découpés en morceaux, frais ou réfrigérés</w:t>
            </w:r>
          </w:p>
          <w:p>
            <w:pPr>
              <w:spacing w:before="0" w:after="0"/>
              <w:jc w:val="left"/>
              <w:rPr>
                <w:rFonts w:eastAsia="Calibri"/>
                <w:noProof/>
                <w:sz w:val="12"/>
              </w:rPr>
            </w:pPr>
          </w:p>
          <w:p>
            <w:pPr>
              <w:spacing w:before="0" w:after="0"/>
              <w:jc w:val="left"/>
              <w:rPr>
                <w:rFonts w:eastAsia="Calibri"/>
                <w:noProof/>
                <w:sz w:val="22"/>
              </w:rPr>
            </w:pPr>
            <w:r>
              <w:rPr>
                <w:noProof/>
                <w:sz w:val="22"/>
              </w:rPr>
              <w:t>non découpés en morceaux, congelés</w:t>
            </w:r>
          </w:p>
        </w:tc>
        <w:tc>
          <w:tcPr>
            <w:tcW w:w="1448" w:type="dxa"/>
            <w:vAlign w:val="center"/>
          </w:tcPr>
          <w:p>
            <w:pPr>
              <w:spacing w:before="0" w:after="0"/>
              <w:jc w:val="center"/>
              <w:rPr>
                <w:rFonts w:eastAsia="Calibri"/>
                <w:noProof/>
                <w:sz w:val="22"/>
              </w:rPr>
            </w:pPr>
            <w:r>
              <w:rPr>
                <w:noProof/>
                <w:sz w:val="22"/>
              </w:rPr>
              <w:t>950</w:t>
            </w:r>
          </w:p>
        </w:tc>
        <w:tc>
          <w:tcPr>
            <w:tcW w:w="1351" w:type="dxa"/>
            <w:vAlign w:val="center"/>
          </w:tcPr>
          <w:p>
            <w:pPr>
              <w:spacing w:before="0" w:after="0"/>
              <w:jc w:val="center"/>
              <w:rPr>
                <w:rFonts w:eastAsia="Calibri"/>
                <w:noProof/>
                <w:sz w:val="22"/>
              </w:rPr>
            </w:pPr>
            <w:r>
              <w:rPr>
                <w:noProof/>
                <w:sz w:val="22"/>
              </w:rPr>
              <w:t>150</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r>
              <w:rPr>
                <w:noProof/>
                <w:sz w:val="22"/>
              </w:rPr>
              <w:t>02.07.4401</w:t>
            </w:r>
          </w:p>
        </w:tc>
        <w:tc>
          <w:tcPr>
            <w:tcW w:w="3304" w:type="dxa"/>
          </w:tcPr>
          <w:p>
            <w:pPr>
              <w:spacing w:before="0" w:after="0"/>
              <w:jc w:val="left"/>
              <w:rPr>
                <w:rFonts w:eastAsia="Calibri"/>
                <w:noProof/>
                <w:sz w:val="22"/>
              </w:rPr>
            </w:pPr>
            <w:r>
              <w:rPr>
                <w:noProof/>
                <w:sz w:val="22"/>
              </w:rPr>
              <w:t>de canards, frais ou réfrigérés;</w:t>
            </w:r>
          </w:p>
          <w:p>
            <w:pPr>
              <w:spacing w:before="0" w:after="0"/>
              <w:jc w:val="left"/>
              <w:rPr>
                <w:rFonts w:eastAsia="Calibri"/>
                <w:noProof/>
                <w:sz w:val="22"/>
              </w:rPr>
            </w:pPr>
            <w:r>
              <w:rPr>
                <w:noProof/>
                <w:sz w:val="22"/>
              </w:rPr>
              <w:t>poitrines et morceaux de poitrines</w:t>
            </w:r>
          </w:p>
        </w:tc>
        <w:tc>
          <w:tcPr>
            <w:tcW w:w="1448" w:type="dxa"/>
            <w:vAlign w:val="center"/>
          </w:tcPr>
          <w:p>
            <w:pPr>
              <w:spacing w:before="0" w:after="0"/>
              <w:jc w:val="center"/>
              <w:rPr>
                <w:rFonts w:eastAsia="Calibri"/>
                <w:noProof/>
                <w:sz w:val="22"/>
              </w:rPr>
            </w:pPr>
            <w:r>
              <w:rPr>
                <w:noProof/>
                <w:sz w:val="22"/>
              </w:rPr>
              <w:t>200</w:t>
            </w:r>
          </w:p>
        </w:tc>
        <w:tc>
          <w:tcPr>
            <w:tcW w:w="1351" w:type="dxa"/>
            <w:vAlign w:val="center"/>
          </w:tcPr>
          <w:p>
            <w:pPr>
              <w:spacing w:before="0" w:after="0"/>
              <w:jc w:val="center"/>
              <w:rPr>
                <w:rFonts w:eastAsia="Calibri"/>
                <w:noProof/>
                <w:sz w:val="22"/>
              </w:rPr>
            </w:pPr>
            <w:r>
              <w:rPr>
                <w:noProof/>
                <w:sz w:val="22"/>
              </w:rPr>
              <w:t>100</w:t>
            </w:r>
          </w:p>
        </w:tc>
        <w:tc>
          <w:tcPr>
            <w:tcW w:w="1121" w:type="dxa"/>
            <w:vAlign w:val="center"/>
          </w:tcPr>
          <w:p>
            <w:pPr>
              <w:spacing w:before="0" w:after="0"/>
              <w:jc w:val="center"/>
              <w:rPr>
                <w:rFonts w:eastAsia="Calibri"/>
                <w:noProof/>
                <w:sz w:val="22"/>
              </w:rPr>
            </w:pPr>
            <w:r>
              <w:rPr>
                <w:noProof/>
                <w:sz w:val="22"/>
              </w:rPr>
              <w:t>30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p>
          <w:p>
            <w:pPr>
              <w:spacing w:before="0" w:after="0"/>
              <w:jc w:val="left"/>
              <w:rPr>
                <w:rFonts w:eastAsia="Calibri"/>
                <w:noProof/>
                <w:sz w:val="22"/>
              </w:rPr>
            </w:pPr>
            <w:r>
              <w:rPr>
                <w:noProof/>
                <w:sz w:val="22"/>
              </w:rPr>
              <w:t>02.10.1101</w:t>
            </w:r>
          </w:p>
          <w:p>
            <w:pPr>
              <w:spacing w:before="0" w:after="0"/>
              <w:jc w:val="left"/>
              <w:rPr>
                <w:rFonts w:eastAsia="Calibri"/>
                <w:noProof/>
                <w:sz w:val="22"/>
              </w:rPr>
            </w:pPr>
          </w:p>
          <w:p>
            <w:pPr>
              <w:spacing w:before="0" w:after="0"/>
              <w:jc w:val="left"/>
              <w:rPr>
                <w:rFonts w:eastAsia="Calibri"/>
                <w:noProof/>
                <w:sz w:val="12"/>
              </w:rPr>
            </w:pPr>
          </w:p>
          <w:p>
            <w:pPr>
              <w:spacing w:before="0" w:after="0"/>
              <w:jc w:val="left"/>
              <w:rPr>
                <w:rFonts w:eastAsia="Calibri"/>
                <w:noProof/>
                <w:sz w:val="22"/>
              </w:rPr>
            </w:pPr>
            <w:r>
              <w:rPr>
                <w:noProof/>
                <w:sz w:val="22"/>
              </w:rPr>
              <w:t>02.10.1109</w:t>
            </w:r>
          </w:p>
          <w:p>
            <w:pPr>
              <w:spacing w:before="0" w:after="0"/>
              <w:jc w:val="left"/>
              <w:rPr>
                <w:rFonts w:eastAsia="Calibri"/>
                <w:noProof/>
                <w:sz w:val="12"/>
              </w:rPr>
            </w:pPr>
          </w:p>
          <w:p>
            <w:pPr>
              <w:spacing w:before="0" w:after="0"/>
              <w:jc w:val="left"/>
              <w:rPr>
                <w:rFonts w:eastAsia="Calibri"/>
                <w:noProof/>
                <w:sz w:val="22"/>
                <w:u w:val="single"/>
              </w:rPr>
            </w:pPr>
            <w:r>
              <w:rPr>
                <w:noProof/>
                <w:sz w:val="22"/>
              </w:rPr>
              <w:t>02.10.1900</w:t>
            </w:r>
          </w:p>
        </w:tc>
        <w:tc>
          <w:tcPr>
            <w:tcW w:w="3304" w:type="dxa"/>
          </w:tcPr>
          <w:p>
            <w:pPr>
              <w:spacing w:before="0" w:after="0"/>
              <w:jc w:val="left"/>
              <w:rPr>
                <w:rFonts w:eastAsia="Calibri"/>
                <w:b/>
                <w:noProof/>
                <w:sz w:val="22"/>
              </w:rPr>
            </w:pPr>
            <w:r>
              <w:rPr>
                <w:b/>
                <w:noProof/>
                <w:sz w:val="22"/>
              </w:rPr>
              <w:t>Viandes et abats comestibles, salés, en saumure, séchés ou fumés, farines et poudres, comestibles de viande ou d'abats</w:t>
            </w:r>
          </w:p>
          <w:p>
            <w:pPr>
              <w:spacing w:before="0" w:after="0"/>
              <w:jc w:val="left"/>
              <w:rPr>
                <w:rFonts w:eastAsia="Calibri"/>
                <w:noProof/>
                <w:sz w:val="22"/>
              </w:rPr>
            </w:pPr>
            <w:r>
              <w:rPr>
                <w:noProof/>
                <w:sz w:val="22"/>
              </w:rPr>
              <w:t>viandes de l’espèce porcine; jambons, épaules et leurs morceaux, non désossés;</w:t>
            </w:r>
          </w:p>
          <w:p>
            <w:pPr>
              <w:spacing w:before="0" w:after="0"/>
              <w:jc w:val="left"/>
              <w:rPr>
                <w:rFonts w:eastAsia="Calibri"/>
                <w:noProof/>
                <w:sz w:val="22"/>
              </w:rPr>
            </w:pPr>
            <w:r>
              <w:rPr>
                <w:noProof/>
                <w:sz w:val="22"/>
              </w:rPr>
              <w:t>contenant au moins 15 % en poids d’os</w:t>
            </w:r>
          </w:p>
          <w:p>
            <w:pPr>
              <w:spacing w:before="0" w:after="0"/>
              <w:jc w:val="left"/>
              <w:rPr>
                <w:rFonts w:eastAsia="Calibri"/>
                <w:noProof/>
                <w:sz w:val="12"/>
              </w:rPr>
            </w:pPr>
          </w:p>
          <w:p>
            <w:pPr>
              <w:spacing w:before="0" w:after="0"/>
              <w:jc w:val="left"/>
              <w:rPr>
                <w:rFonts w:eastAsia="Calibri"/>
                <w:noProof/>
                <w:sz w:val="22"/>
              </w:rPr>
            </w:pPr>
            <w:r>
              <w:rPr>
                <w:noProof/>
                <w:sz w:val="22"/>
              </w:rPr>
              <w:t>autres (moins de 15 % d’os)</w:t>
            </w:r>
          </w:p>
          <w:p>
            <w:pPr>
              <w:spacing w:before="0" w:after="0"/>
              <w:jc w:val="left"/>
              <w:rPr>
                <w:rFonts w:eastAsia="Calibri"/>
                <w:noProof/>
                <w:sz w:val="12"/>
              </w:rPr>
            </w:pPr>
          </w:p>
          <w:p>
            <w:pPr>
              <w:spacing w:before="0" w:after="0"/>
              <w:jc w:val="left"/>
              <w:rPr>
                <w:rFonts w:eastAsia="Calibri"/>
                <w:noProof/>
                <w:sz w:val="22"/>
              </w:rPr>
            </w:pPr>
            <w:r>
              <w:rPr>
                <w:noProof/>
                <w:sz w:val="22"/>
              </w:rPr>
              <w:t>autres (que les jambons, épaules et leurs morceaux ou poitrines et morceaux de poitrines, non désossés)</w:t>
            </w:r>
          </w:p>
        </w:tc>
        <w:tc>
          <w:tcPr>
            <w:tcW w:w="1448" w:type="dxa"/>
            <w:vAlign w:val="center"/>
          </w:tcPr>
          <w:p>
            <w:pPr>
              <w:spacing w:before="0" w:after="0"/>
              <w:jc w:val="center"/>
              <w:rPr>
                <w:rFonts w:eastAsia="Calibri"/>
                <w:noProof/>
                <w:sz w:val="22"/>
              </w:rPr>
            </w:pPr>
            <w:r>
              <w:rPr>
                <w:noProof/>
                <w:sz w:val="22"/>
              </w:rPr>
              <w:t>600</w:t>
            </w:r>
            <w:r>
              <w:rPr>
                <w:noProof/>
                <w:sz w:val="22"/>
                <w:vertAlign w:val="superscript"/>
              </w:rPr>
              <w:t>(</w:t>
            </w:r>
            <w:r>
              <w:rPr>
                <w:rStyle w:val="FootnoteReference"/>
                <w:noProof/>
              </w:rPr>
              <w:footnoteReference w:id="3"/>
            </w:r>
            <w:r>
              <w:rPr>
                <w:noProof/>
                <w:sz w:val="22"/>
                <w:vertAlign w:val="superscript"/>
              </w:rPr>
              <w:t>)</w:t>
            </w:r>
          </w:p>
        </w:tc>
        <w:tc>
          <w:tcPr>
            <w:tcW w:w="1351" w:type="dxa"/>
            <w:vAlign w:val="center"/>
          </w:tcPr>
          <w:p>
            <w:pPr>
              <w:spacing w:before="0" w:after="0"/>
              <w:jc w:val="center"/>
              <w:rPr>
                <w:rFonts w:eastAsia="Calibri"/>
                <w:noProof/>
                <w:sz w:val="22"/>
                <w:vertAlign w:val="superscript"/>
              </w:rPr>
            </w:pPr>
            <w:r>
              <w:rPr>
                <w:noProof/>
                <w:sz w:val="22"/>
              </w:rPr>
              <w:t>200</w:t>
            </w:r>
            <w:r>
              <w:rPr>
                <w:noProof/>
                <w:sz w:val="22"/>
                <w:vertAlign w:val="superscript"/>
              </w:rPr>
              <w:t>(3)</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rPr>
            </w:pPr>
            <w:r>
              <w:rPr>
                <w:noProof/>
                <w:sz w:val="22"/>
              </w:rPr>
              <w:t>04.06</w:t>
            </w:r>
          </w:p>
        </w:tc>
        <w:tc>
          <w:tcPr>
            <w:tcW w:w="3304" w:type="dxa"/>
          </w:tcPr>
          <w:p>
            <w:pPr>
              <w:spacing w:before="0" w:after="0"/>
              <w:jc w:val="left"/>
              <w:rPr>
                <w:rFonts w:eastAsia="Calibri"/>
                <w:noProof/>
                <w:sz w:val="22"/>
              </w:rPr>
            </w:pPr>
            <w:r>
              <w:rPr>
                <w:noProof/>
                <w:sz w:val="22"/>
              </w:rPr>
              <w:t>Fromages et caillebotte</w:t>
            </w:r>
          </w:p>
        </w:tc>
        <w:tc>
          <w:tcPr>
            <w:tcW w:w="1448" w:type="dxa"/>
            <w:vAlign w:val="center"/>
          </w:tcPr>
          <w:p>
            <w:pPr>
              <w:spacing w:before="0" w:after="0"/>
              <w:jc w:val="center"/>
              <w:rPr>
                <w:rFonts w:eastAsia="Calibri"/>
                <w:noProof/>
                <w:sz w:val="22"/>
              </w:rPr>
            </w:pPr>
            <w:r>
              <w:rPr>
                <w:noProof/>
                <w:sz w:val="22"/>
              </w:rPr>
              <w:t>8400</w:t>
            </w:r>
          </w:p>
        </w:tc>
        <w:tc>
          <w:tcPr>
            <w:tcW w:w="1351" w:type="dxa"/>
            <w:vAlign w:val="center"/>
          </w:tcPr>
          <w:p>
            <w:pPr>
              <w:spacing w:before="0" w:after="0"/>
              <w:jc w:val="center"/>
              <w:rPr>
                <w:rFonts w:eastAsia="Calibri"/>
                <w:noProof/>
                <w:sz w:val="22"/>
              </w:rPr>
            </w:pPr>
            <w:r>
              <w:rPr>
                <w:noProof/>
                <w:sz w:val="22"/>
              </w:rPr>
              <w:t>1200</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rPr>
            </w:pPr>
            <w:r>
              <w:rPr>
                <w:noProof/>
                <w:sz w:val="22"/>
              </w:rPr>
              <w:t>ex 06.02.9043</w:t>
            </w:r>
            <w:r>
              <w:rPr>
                <w:noProof/>
                <w:sz w:val="22"/>
                <w:vertAlign w:val="superscript"/>
              </w:rPr>
              <w:t>(</w:t>
            </w:r>
            <w:r>
              <w:rPr>
                <w:rStyle w:val="FootnoteReference"/>
                <w:noProof/>
              </w:rPr>
              <w:footnoteReference w:id="4"/>
            </w:r>
            <w:r>
              <w:rPr>
                <w:noProof/>
                <w:sz w:val="22"/>
                <w:vertAlign w:val="superscript"/>
              </w:rPr>
              <w:t>)</w:t>
            </w:r>
          </w:p>
          <w:p>
            <w:pPr>
              <w:spacing w:before="0" w:after="0"/>
              <w:jc w:val="left"/>
              <w:rPr>
                <w:rFonts w:eastAsia="Calibri"/>
                <w:noProof/>
                <w:sz w:val="22"/>
              </w:rPr>
            </w:pPr>
            <w:r>
              <w:rPr>
                <w:noProof/>
                <w:sz w:val="22"/>
              </w:rPr>
              <w:t>06.02.9044</w:t>
            </w:r>
          </w:p>
        </w:tc>
        <w:tc>
          <w:tcPr>
            <w:tcW w:w="3304" w:type="dxa"/>
          </w:tcPr>
          <w:p>
            <w:pPr>
              <w:spacing w:before="0" w:after="0"/>
              <w:jc w:val="left"/>
              <w:rPr>
                <w:rFonts w:eastAsia="Calibri"/>
                <w:b/>
                <w:noProof/>
                <w:sz w:val="22"/>
              </w:rPr>
            </w:pPr>
            <w:r>
              <w:rPr>
                <w:b/>
                <w:noProof/>
                <w:sz w:val="22"/>
              </w:rPr>
              <w:t>Autres plantes vivantes (y compris leurs racines), boutures et greffons; blanc de champignons</w:t>
            </w:r>
          </w:p>
          <w:p>
            <w:pPr>
              <w:spacing w:before="0" w:after="0"/>
              <w:jc w:val="left"/>
              <w:rPr>
                <w:rFonts w:eastAsia="Calibri"/>
                <w:noProof/>
                <w:sz w:val="22"/>
              </w:rPr>
            </w:pPr>
            <w:r>
              <w:rPr>
                <w:noProof/>
                <w:sz w:val="22"/>
              </w:rPr>
              <w:t>autres; plantes en pot ou à repiquer, en fleurs;</w:t>
            </w:r>
          </w:p>
        </w:tc>
        <w:tc>
          <w:tcPr>
            <w:tcW w:w="1448" w:type="dxa"/>
            <w:vAlign w:val="center"/>
          </w:tcPr>
          <w:p>
            <w:pPr>
              <w:spacing w:before="0" w:after="0"/>
              <w:jc w:val="center"/>
              <w:rPr>
                <w:rFonts w:eastAsia="Calibri"/>
                <w:noProof/>
                <w:sz w:val="22"/>
              </w:rPr>
            </w:pPr>
            <w:r>
              <w:rPr>
                <w:noProof/>
                <w:sz w:val="22"/>
              </w:rPr>
              <w:t>20 Mio NOK</w:t>
            </w:r>
          </w:p>
        </w:tc>
        <w:tc>
          <w:tcPr>
            <w:tcW w:w="1351" w:type="dxa"/>
            <w:vAlign w:val="center"/>
          </w:tcPr>
          <w:p>
            <w:pPr>
              <w:spacing w:before="0" w:after="0"/>
              <w:jc w:val="center"/>
              <w:rPr>
                <w:rFonts w:eastAsia="Calibri"/>
                <w:noProof/>
                <w:sz w:val="22"/>
              </w:rPr>
            </w:pPr>
            <w:r>
              <w:rPr>
                <w:noProof/>
                <w:sz w:val="22"/>
              </w:rPr>
              <w:t>12 Mio NOK</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06.02.9031</w:t>
            </w:r>
          </w:p>
        </w:tc>
        <w:tc>
          <w:tcPr>
            <w:tcW w:w="3304" w:type="dxa"/>
          </w:tcPr>
          <w:p>
            <w:pPr>
              <w:spacing w:before="0" w:after="0"/>
              <w:jc w:val="left"/>
              <w:rPr>
                <w:rFonts w:eastAsia="Calibri"/>
                <w:b/>
                <w:noProof/>
                <w:sz w:val="22"/>
              </w:rPr>
            </w:pPr>
            <w:r>
              <w:rPr>
                <w:noProof/>
                <w:sz w:val="22"/>
              </w:rPr>
              <w:t>Plantes vertes en pot du 1.5 au 14.</w:t>
            </w:r>
            <w:r>
              <w:rPr>
                <w:rFonts w:ascii="Calibri" w:hAnsi="Calibri"/>
                <w:noProof/>
                <w:sz w:val="22"/>
              </w:rPr>
              <w:t xml:space="preserve"> </w:t>
            </w:r>
            <w:r>
              <w:rPr>
                <w:noProof/>
                <w:sz w:val="22"/>
              </w:rPr>
              <w:t>12</w:t>
            </w:r>
            <w:r>
              <w:rPr>
                <w:rFonts w:ascii="Calibri" w:hAnsi="Calibri"/>
                <w:noProof/>
                <w:sz w:val="22"/>
                <w:vertAlign w:val="superscript"/>
              </w:rPr>
              <w:t>(</w:t>
            </w:r>
            <w:r>
              <w:rPr>
                <w:rStyle w:val="FootnoteReference"/>
                <w:noProof/>
              </w:rPr>
              <w:footnoteReference w:id="5"/>
            </w:r>
            <w:r>
              <w:rPr>
                <w:rFonts w:ascii="Calibri" w:hAnsi="Calibri"/>
                <w:noProof/>
                <w:sz w:val="22"/>
                <w:vertAlign w:val="superscript"/>
              </w:rPr>
              <w:t>)</w:t>
            </w:r>
          </w:p>
        </w:tc>
        <w:tc>
          <w:tcPr>
            <w:tcW w:w="1448" w:type="dxa"/>
            <w:vAlign w:val="center"/>
          </w:tcPr>
          <w:p>
            <w:pPr>
              <w:spacing w:before="0" w:after="0"/>
              <w:jc w:val="center"/>
              <w:rPr>
                <w:rFonts w:eastAsia="Calibri"/>
                <w:noProof/>
                <w:sz w:val="22"/>
              </w:rPr>
            </w:pPr>
            <w:r>
              <w:rPr>
                <w:noProof/>
                <w:sz w:val="22"/>
              </w:rPr>
              <w:t>7 Mio NOK</w:t>
            </w:r>
          </w:p>
        </w:tc>
        <w:tc>
          <w:tcPr>
            <w:tcW w:w="1351" w:type="dxa"/>
            <w:vAlign w:val="center"/>
          </w:tcPr>
          <w:p>
            <w:pPr>
              <w:spacing w:before="0" w:after="0"/>
              <w:jc w:val="center"/>
              <w:rPr>
                <w:rFonts w:eastAsia="Calibri"/>
                <w:noProof/>
                <w:sz w:val="22"/>
              </w:rPr>
            </w:pPr>
            <w:r>
              <w:rPr>
                <w:noProof/>
                <w:sz w:val="22"/>
              </w:rPr>
              <w:t>3 Mio NOK</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u w:val="single"/>
              </w:rPr>
            </w:pPr>
          </w:p>
          <w:p>
            <w:pPr>
              <w:spacing w:before="0" w:after="0"/>
              <w:jc w:val="left"/>
              <w:rPr>
                <w:rFonts w:eastAsia="Calibri"/>
                <w:noProof/>
                <w:sz w:val="22"/>
              </w:rPr>
            </w:pPr>
          </w:p>
          <w:p>
            <w:pPr>
              <w:spacing w:before="0" w:after="0"/>
              <w:jc w:val="left"/>
              <w:rPr>
                <w:rFonts w:eastAsia="Calibri"/>
                <w:noProof/>
                <w:sz w:val="22"/>
              </w:rPr>
            </w:pPr>
            <w:r>
              <w:rPr>
                <w:noProof/>
                <w:sz w:val="22"/>
              </w:rPr>
              <w:t>07.05.1112</w:t>
            </w:r>
          </w:p>
          <w:p>
            <w:pPr>
              <w:spacing w:before="0" w:after="0"/>
              <w:jc w:val="left"/>
              <w:rPr>
                <w:rFonts w:eastAsia="Calibri"/>
                <w:noProof/>
                <w:sz w:val="12"/>
              </w:rPr>
            </w:pPr>
          </w:p>
          <w:p>
            <w:pPr>
              <w:spacing w:before="0" w:after="0"/>
              <w:jc w:val="left"/>
              <w:rPr>
                <w:rFonts w:eastAsia="Calibri"/>
                <w:noProof/>
                <w:sz w:val="22"/>
              </w:rPr>
            </w:pPr>
            <w:r>
              <w:rPr>
                <w:noProof/>
                <w:sz w:val="22"/>
              </w:rPr>
              <w:t>07.05.1119</w:t>
            </w:r>
          </w:p>
        </w:tc>
        <w:tc>
          <w:tcPr>
            <w:tcW w:w="3304" w:type="dxa"/>
          </w:tcPr>
          <w:p>
            <w:pPr>
              <w:spacing w:before="0" w:after="0"/>
              <w:jc w:val="left"/>
              <w:rPr>
                <w:rFonts w:eastAsia="Calibri"/>
                <w:b/>
                <w:noProof/>
                <w:sz w:val="22"/>
              </w:rPr>
            </w:pPr>
            <w:r>
              <w:rPr>
                <w:b/>
                <w:noProof/>
                <w:sz w:val="22"/>
              </w:rPr>
              <w:t>Laitues (</w:t>
            </w:r>
            <w:r>
              <w:rPr>
                <w:b/>
                <w:i/>
                <w:noProof/>
                <w:sz w:val="22"/>
              </w:rPr>
              <w:t>Lactuca sativa</w:t>
            </w:r>
            <w:r>
              <w:rPr>
                <w:b/>
                <w:noProof/>
                <w:sz w:val="22"/>
              </w:rPr>
              <w:t>) et chicorées (</w:t>
            </w:r>
            <w:r>
              <w:rPr>
                <w:b/>
                <w:i/>
                <w:noProof/>
                <w:sz w:val="22"/>
              </w:rPr>
              <w:t>Cichorium</w:t>
            </w:r>
            <w:r>
              <w:rPr>
                <w:b/>
                <w:noProof/>
                <w:sz w:val="22"/>
              </w:rPr>
              <w:t xml:space="preserve"> spp.), à l'état frais ou réfrigéré</w:t>
            </w:r>
          </w:p>
          <w:p>
            <w:pPr>
              <w:spacing w:before="0" w:after="0"/>
              <w:jc w:val="left"/>
              <w:rPr>
                <w:rFonts w:eastAsia="Calibri"/>
                <w:noProof/>
                <w:sz w:val="22"/>
              </w:rPr>
            </w:pPr>
            <w:r>
              <w:rPr>
                <w:noProof/>
                <w:sz w:val="22"/>
              </w:rPr>
              <w:t>Laitues Iceberg;</w:t>
            </w:r>
          </w:p>
          <w:p>
            <w:pPr>
              <w:spacing w:before="0" w:after="0"/>
              <w:jc w:val="left"/>
              <w:rPr>
                <w:rFonts w:eastAsia="Calibri"/>
                <w:noProof/>
                <w:sz w:val="22"/>
              </w:rPr>
            </w:pPr>
            <w:r>
              <w:rPr>
                <w:noProof/>
                <w:sz w:val="22"/>
              </w:rPr>
              <w:t>du 1.3 au 31.5;</w:t>
            </w:r>
          </w:p>
          <w:p>
            <w:pPr>
              <w:spacing w:before="0" w:after="0"/>
              <w:jc w:val="left"/>
              <w:rPr>
                <w:rFonts w:eastAsia="Calibri"/>
                <w:noProof/>
                <w:sz w:val="22"/>
              </w:rPr>
            </w:pPr>
            <w:r>
              <w:rPr>
                <w:noProof/>
                <w:sz w:val="22"/>
              </w:rPr>
              <w:t>entières</w:t>
            </w:r>
          </w:p>
          <w:p>
            <w:pPr>
              <w:spacing w:before="0" w:after="0"/>
              <w:jc w:val="left"/>
              <w:rPr>
                <w:rFonts w:eastAsia="Calibri"/>
                <w:noProof/>
                <w:sz w:val="12"/>
              </w:rPr>
            </w:pPr>
          </w:p>
          <w:p>
            <w:pPr>
              <w:spacing w:before="0" w:after="0"/>
              <w:jc w:val="left"/>
              <w:rPr>
                <w:rFonts w:eastAsia="Calibri"/>
                <w:noProof/>
                <w:sz w:val="22"/>
              </w:rPr>
            </w:pPr>
            <w:r>
              <w:rPr>
                <w:noProof/>
                <w:sz w:val="22"/>
              </w:rPr>
              <w:t>autres</w:t>
            </w:r>
          </w:p>
        </w:tc>
        <w:tc>
          <w:tcPr>
            <w:tcW w:w="1448" w:type="dxa"/>
            <w:vAlign w:val="center"/>
          </w:tcPr>
          <w:p>
            <w:pPr>
              <w:spacing w:before="0" w:after="0"/>
              <w:jc w:val="center"/>
              <w:rPr>
                <w:rFonts w:eastAsia="Calibri"/>
                <w:noProof/>
                <w:sz w:val="22"/>
              </w:rPr>
            </w:pPr>
            <w:r>
              <w:rPr>
                <w:noProof/>
                <w:sz w:val="22"/>
              </w:rPr>
              <w:t>500</w:t>
            </w:r>
            <w:r>
              <w:rPr>
                <w:noProof/>
                <w:sz w:val="22"/>
                <w:vertAlign w:val="superscript"/>
              </w:rPr>
              <w:t>(</w:t>
            </w:r>
            <w:r>
              <w:rPr>
                <w:rStyle w:val="FootnoteReference"/>
                <w:noProof/>
              </w:rPr>
              <w:footnoteReference w:id="6"/>
            </w:r>
            <w:r>
              <w:rPr>
                <w:noProof/>
                <w:sz w:val="22"/>
                <w:vertAlign w:val="superscript"/>
              </w:rPr>
              <w:t>)</w:t>
            </w:r>
          </w:p>
        </w:tc>
        <w:tc>
          <w:tcPr>
            <w:tcW w:w="1351" w:type="dxa"/>
            <w:vAlign w:val="center"/>
          </w:tcPr>
          <w:p>
            <w:pPr>
              <w:spacing w:before="0" w:after="0"/>
              <w:jc w:val="center"/>
              <w:rPr>
                <w:rFonts w:eastAsia="Calibri"/>
                <w:noProof/>
                <w:sz w:val="22"/>
              </w:rPr>
            </w:pPr>
            <w:r>
              <w:rPr>
                <w:noProof/>
                <w:sz w:val="22"/>
              </w:rPr>
              <w:t>100</w:t>
            </w:r>
            <w:r>
              <w:rPr>
                <w:noProof/>
                <w:sz w:val="22"/>
                <w:vertAlign w:val="superscript"/>
              </w:rPr>
              <w:t>(6)</w:t>
            </w:r>
          </w:p>
        </w:tc>
        <w:tc>
          <w:tcPr>
            <w:tcW w:w="1121" w:type="dxa"/>
            <w:vAlign w:val="center"/>
          </w:tcPr>
          <w:p>
            <w:pPr>
              <w:spacing w:before="0" w:after="0"/>
              <w:jc w:val="center"/>
              <w:rPr>
                <w:rFonts w:eastAsia="Calibri"/>
                <w:noProof/>
                <w:sz w:val="22"/>
              </w:rPr>
            </w:pPr>
            <w:r>
              <w:rPr>
                <w:noProof/>
                <w:sz w:val="22"/>
              </w:rPr>
              <w:t>0</w:t>
            </w:r>
          </w:p>
        </w:tc>
      </w:tr>
      <w:tr>
        <w:tc>
          <w:tcPr>
            <w:tcW w:w="1838" w:type="dxa"/>
          </w:tcPr>
          <w:p>
            <w:pPr>
              <w:spacing w:before="0" w:after="0"/>
              <w:jc w:val="left"/>
              <w:rPr>
                <w:rFonts w:eastAsia="Calibri"/>
                <w:noProof/>
                <w:sz w:val="22"/>
                <w:u w:val="single"/>
              </w:rPr>
            </w:pPr>
          </w:p>
          <w:p>
            <w:pPr>
              <w:spacing w:before="0" w:after="0"/>
              <w:jc w:val="left"/>
              <w:rPr>
                <w:rFonts w:eastAsia="Calibri"/>
                <w:noProof/>
                <w:sz w:val="22"/>
              </w:rPr>
            </w:pPr>
            <w:r>
              <w:rPr>
                <w:noProof/>
                <w:sz w:val="22"/>
              </w:rPr>
              <w:t>10.05.9010</w:t>
            </w:r>
          </w:p>
        </w:tc>
        <w:tc>
          <w:tcPr>
            <w:tcW w:w="3304" w:type="dxa"/>
          </w:tcPr>
          <w:p>
            <w:pPr>
              <w:spacing w:before="0" w:after="0"/>
              <w:jc w:val="left"/>
              <w:rPr>
                <w:rFonts w:eastAsia="Calibri"/>
                <w:b/>
                <w:noProof/>
                <w:sz w:val="22"/>
              </w:rPr>
            </w:pPr>
            <w:r>
              <w:rPr>
                <w:b/>
                <w:noProof/>
                <w:sz w:val="22"/>
              </w:rPr>
              <w:t>Maïs</w:t>
            </w:r>
          </w:p>
          <w:p>
            <w:pPr>
              <w:spacing w:before="0" w:after="0"/>
              <w:jc w:val="left"/>
              <w:rPr>
                <w:rFonts w:eastAsia="Calibri"/>
                <w:noProof/>
                <w:sz w:val="22"/>
              </w:rPr>
            </w:pPr>
            <w:r>
              <w:rPr>
                <w:noProof/>
                <w:sz w:val="22"/>
              </w:rPr>
              <w:t>destiné à l'alimentation des animaux</w:t>
            </w:r>
          </w:p>
        </w:tc>
        <w:tc>
          <w:tcPr>
            <w:tcW w:w="1448" w:type="dxa"/>
            <w:vAlign w:val="center"/>
          </w:tcPr>
          <w:p>
            <w:pPr>
              <w:spacing w:before="0" w:after="0"/>
              <w:jc w:val="center"/>
              <w:rPr>
                <w:rFonts w:eastAsia="Calibri"/>
                <w:noProof/>
                <w:sz w:val="22"/>
              </w:rPr>
            </w:pPr>
            <w:r>
              <w:rPr>
                <w:noProof/>
                <w:sz w:val="22"/>
              </w:rPr>
              <w:t>15000</w:t>
            </w:r>
          </w:p>
        </w:tc>
        <w:tc>
          <w:tcPr>
            <w:tcW w:w="1351" w:type="dxa"/>
            <w:vAlign w:val="center"/>
          </w:tcPr>
          <w:p>
            <w:pPr>
              <w:spacing w:before="0" w:after="0"/>
              <w:jc w:val="center"/>
              <w:rPr>
                <w:rFonts w:eastAsia="Calibri"/>
                <w:noProof/>
                <w:sz w:val="22"/>
              </w:rPr>
            </w:pPr>
            <w:r>
              <w:rPr>
                <w:noProof/>
                <w:sz w:val="22"/>
              </w:rPr>
              <w:t>5000</w:t>
            </w:r>
          </w:p>
        </w:tc>
        <w:tc>
          <w:tcPr>
            <w:tcW w:w="1121" w:type="dxa"/>
            <w:vAlign w:val="center"/>
          </w:tcPr>
          <w:p>
            <w:pPr>
              <w:spacing w:before="0" w:after="0"/>
              <w:jc w:val="center"/>
              <w:rPr>
                <w:rFonts w:eastAsia="Calibri"/>
                <w:noProof/>
                <w:sz w:val="22"/>
              </w:rPr>
            </w:pPr>
            <w:r>
              <w:rPr>
                <w:noProof/>
                <w:sz w:val="22"/>
              </w:rPr>
              <w:t>0</w:t>
            </w:r>
          </w:p>
        </w:tc>
      </w:tr>
      <w:tr>
        <w:tc>
          <w:tcPr>
            <w:tcW w:w="1838" w:type="dxa"/>
            <w:vAlign w:val="center"/>
          </w:tcPr>
          <w:p>
            <w:pPr>
              <w:spacing w:before="0" w:after="0"/>
              <w:jc w:val="left"/>
              <w:rPr>
                <w:rFonts w:eastAsia="Calibri"/>
                <w:noProof/>
                <w:sz w:val="22"/>
              </w:rPr>
            </w:pPr>
            <w:r>
              <w:rPr>
                <w:noProof/>
                <w:sz w:val="22"/>
              </w:rPr>
              <w:t>16.01.0000</w:t>
            </w:r>
          </w:p>
        </w:tc>
        <w:tc>
          <w:tcPr>
            <w:tcW w:w="3304" w:type="dxa"/>
          </w:tcPr>
          <w:p>
            <w:pPr>
              <w:spacing w:before="0" w:after="0"/>
              <w:jc w:val="left"/>
              <w:rPr>
                <w:rFonts w:eastAsia="Calibri"/>
                <w:noProof/>
                <w:sz w:val="22"/>
              </w:rPr>
            </w:pPr>
            <w:r>
              <w:rPr>
                <w:noProof/>
                <w:sz w:val="22"/>
              </w:rPr>
              <w:t>Saucisses, saucissons et produits similaires, de viande, d'abats ou de sang; préparations alimentaires à base de ces produits</w:t>
            </w:r>
          </w:p>
        </w:tc>
        <w:tc>
          <w:tcPr>
            <w:tcW w:w="1448" w:type="dxa"/>
            <w:vAlign w:val="center"/>
          </w:tcPr>
          <w:p>
            <w:pPr>
              <w:spacing w:before="0" w:after="0"/>
              <w:jc w:val="center"/>
              <w:rPr>
                <w:rFonts w:eastAsia="Calibri"/>
                <w:noProof/>
                <w:sz w:val="22"/>
              </w:rPr>
            </w:pPr>
            <w:r>
              <w:rPr>
                <w:noProof/>
                <w:sz w:val="22"/>
              </w:rPr>
              <w:t>600</w:t>
            </w:r>
          </w:p>
        </w:tc>
        <w:tc>
          <w:tcPr>
            <w:tcW w:w="1351" w:type="dxa"/>
            <w:vAlign w:val="center"/>
          </w:tcPr>
          <w:p>
            <w:pPr>
              <w:spacing w:before="0" w:after="0"/>
              <w:jc w:val="center"/>
              <w:rPr>
                <w:rFonts w:eastAsia="Calibri"/>
                <w:noProof/>
                <w:sz w:val="22"/>
              </w:rPr>
            </w:pPr>
            <w:r>
              <w:rPr>
                <w:noProof/>
                <w:sz w:val="22"/>
              </w:rPr>
              <w:t>200</w:t>
            </w:r>
          </w:p>
        </w:tc>
        <w:tc>
          <w:tcPr>
            <w:tcW w:w="1121" w:type="dxa"/>
            <w:vAlign w:val="center"/>
          </w:tcPr>
          <w:p>
            <w:pPr>
              <w:spacing w:before="0" w:after="0"/>
              <w:jc w:val="center"/>
              <w:rPr>
                <w:rFonts w:eastAsia="Calibri"/>
                <w:noProof/>
                <w:sz w:val="22"/>
              </w:rPr>
            </w:pPr>
            <w:r>
              <w:rPr>
                <w:noProof/>
                <w:sz w:val="22"/>
              </w:rPr>
              <w:t>0</w:t>
            </w:r>
          </w:p>
        </w:tc>
      </w:tr>
    </w:tbl>
    <w:p>
      <w:pPr>
        <w:spacing w:before="0" w:after="160" w:line="259" w:lineRule="auto"/>
        <w:jc w:val="center"/>
        <w:rPr>
          <w:rFonts w:ascii="Calibri" w:eastAsia="Calibri" w:hAnsi="Calibri"/>
          <w:b/>
          <w:noProof/>
          <w:sz w:val="22"/>
        </w:rPr>
      </w:pPr>
    </w:p>
    <w:p>
      <w:pPr>
        <w:spacing w:before="0" w:after="160" w:line="259" w:lineRule="auto"/>
        <w:jc w:val="center"/>
        <w:rPr>
          <w:rFonts w:ascii="Calibri" w:eastAsia="Calibri" w:hAnsi="Calibri"/>
          <w:b/>
          <w:noProof/>
          <w:sz w:val="22"/>
        </w:rPr>
      </w:pPr>
    </w:p>
    <w:p>
      <w:pPr>
        <w:pStyle w:val="Objetacteprincipal"/>
        <w:jc w:val="left"/>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vertAlign w:val="superscript"/>
        </w:rPr>
        <w:t>(</w:t>
      </w:r>
      <w:r>
        <w:rPr>
          <w:rStyle w:val="FootnoteReference"/>
        </w:rPr>
        <w:footnoteRef/>
      </w:r>
      <w:r>
        <w:rPr>
          <w:vertAlign w:val="superscript"/>
        </w:rPr>
        <w:t>)</w:t>
      </w:r>
      <w:r>
        <w:rPr>
          <w:vertAlign w:val="superscript"/>
        </w:rPr>
        <w:tab/>
      </w:r>
      <w:r>
        <w:t>Pour la période du 1.1 au 31.12, ainsi qu’au cours de la première année d’application de l’accord, le cas échéant au prorata. Des contingents supplémentaires à ajouter aux contingents existants négociés dans le cadre des accords antérieurs entre l’UE et la Norvège.</w:t>
      </w:r>
    </w:p>
  </w:footnote>
  <w:footnote w:id="2">
    <w:p>
      <w:pPr>
        <w:pStyle w:val="FootnoteText"/>
        <w:rPr>
          <w:lang w:val="fr-BE"/>
        </w:rPr>
      </w:pPr>
      <w:r>
        <w:rPr>
          <w:vertAlign w:val="superscript"/>
        </w:rPr>
        <w:t>(</w:t>
      </w:r>
      <w:r>
        <w:rPr>
          <w:rStyle w:val="FootnoteReference"/>
        </w:rPr>
        <w:footnoteRef/>
      </w:r>
      <w:r>
        <w:rPr>
          <w:vertAlign w:val="superscript"/>
        </w:rPr>
        <w:t>)</w:t>
      </w:r>
      <w:r>
        <w:tab/>
        <w:t>Pour la période du 1.12 au 31.12.</w:t>
      </w:r>
    </w:p>
  </w:footnote>
  <w:footnote w:id="3">
    <w:p>
      <w:pPr>
        <w:pStyle w:val="FootnoteText"/>
        <w:rPr>
          <w:lang w:val="fr-BE"/>
        </w:rPr>
      </w:pPr>
      <w:r>
        <w:rPr>
          <w:vertAlign w:val="superscript"/>
        </w:rPr>
        <w:t>(</w:t>
      </w:r>
      <w:r>
        <w:rPr>
          <w:rStyle w:val="FootnoteReference"/>
        </w:rPr>
        <w:footnoteRef/>
      </w:r>
      <w:r>
        <w:rPr>
          <w:vertAlign w:val="superscript"/>
        </w:rPr>
        <w:t>)</w:t>
      </w:r>
      <w:r>
        <w:rPr>
          <w:vertAlign w:val="superscript"/>
        </w:rPr>
        <w:tab/>
      </w:r>
      <w:r>
        <w:t>La quantité concerne les importations de jambons non désossés. Un facteur de conversion de 1,15 est utilisé pour les importations de jambons désossés.</w:t>
      </w:r>
    </w:p>
  </w:footnote>
  <w:footnote w:id="4">
    <w:p>
      <w:pPr>
        <w:pStyle w:val="FootnoteText"/>
        <w:rPr>
          <w:lang w:val="fr-BE"/>
        </w:rPr>
      </w:pPr>
      <w:r>
        <w:rPr>
          <w:vertAlign w:val="superscript"/>
        </w:rPr>
        <w:t>(</w:t>
      </w:r>
      <w:r>
        <w:rPr>
          <w:rStyle w:val="FootnoteReference"/>
        </w:rPr>
        <w:footnoteRef/>
      </w:r>
      <w:r>
        <w:rPr>
          <w:vertAlign w:val="superscript"/>
        </w:rPr>
        <w:t>)</w:t>
      </w:r>
      <w:r>
        <w:tab/>
        <w:t xml:space="preserve">Excepté pour les plantes suivantes:  </w:t>
      </w:r>
      <w:r>
        <w:rPr>
          <w:i/>
        </w:rPr>
        <w:t>Argyranthemum frutescens, Chrsanthemum frutescens, Begonia x hiemalis, Begonia elatior, Campanula, Dendranthema x grandiflora, Chrysanthemum x morifolium, Euphorbia pulcherrima, Poinsettia pulcherrima, Hibiscus, Kalanchoe, Pelargonium, Primula</w:t>
      </w:r>
      <w:r>
        <w:t xml:space="preserve"> et </w:t>
      </w:r>
      <w:r>
        <w:rPr>
          <w:i/>
        </w:rPr>
        <w:t>Saintpaulia.</w:t>
      </w:r>
    </w:p>
  </w:footnote>
  <w:footnote w:id="5">
    <w:p>
      <w:pPr>
        <w:pStyle w:val="FootnoteText"/>
        <w:rPr>
          <w:lang w:val="fr-BE"/>
        </w:rPr>
      </w:pPr>
      <w:r>
        <w:rPr>
          <w:vertAlign w:val="superscript"/>
        </w:rPr>
        <w:t>(</w:t>
      </w:r>
      <w:r>
        <w:rPr>
          <w:rStyle w:val="FootnoteReference"/>
        </w:rPr>
        <w:footnoteRef/>
      </w:r>
      <w:r>
        <w:rPr>
          <w:vertAlign w:val="superscript"/>
        </w:rPr>
        <w:t>)</w:t>
      </w:r>
      <w:r>
        <w:tab/>
        <w:t xml:space="preserve">Ce poste comprend: </w:t>
      </w:r>
      <w:r>
        <w:rPr>
          <w:i/>
        </w:rPr>
        <w:t>Condiaeum, Croton, Dieffenbachia, Epipremnum, Scindapsus aureum, Hedera, Nephrolepis, Peperomia obtusifolia, Peperomia rotundifolia, Schefflera, Soleirolia</w:t>
      </w:r>
      <w:r>
        <w:t xml:space="preserve"> et </w:t>
      </w:r>
      <w:r>
        <w:rPr>
          <w:i/>
        </w:rPr>
        <w:t>Helxine</w:t>
      </w:r>
      <w:r>
        <w:t>, même si importées comme parties de lots mélangés.</w:t>
      </w:r>
    </w:p>
  </w:footnote>
  <w:footnote w:id="6">
    <w:p>
      <w:pPr>
        <w:pStyle w:val="FootnoteText"/>
      </w:pPr>
      <w:r>
        <w:rPr>
          <w:vertAlign w:val="superscript"/>
        </w:rPr>
        <w:t>(</w:t>
      </w:r>
      <w:r>
        <w:rPr>
          <w:rStyle w:val="FootnoteReference"/>
        </w:rPr>
        <w:footnoteRef/>
      </w:r>
      <w:r>
        <w:rPr>
          <w:vertAlign w:val="superscript"/>
        </w:rPr>
        <w:t>)</w:t>
      </w:r>
      <w:r>
        <w:tab/>
        <w:t>Critère de l’utilisateur final: Industrie de transformation.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0ABE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A066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2691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C2A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4EE9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6D5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A4BBE8"/>
    <w:lvl w:ilvl="0">
      <w:start w:val="1"/>
      <w:numFmt w:val="decimal"/>
      <w:pStyle w:val="ListNumber"/>
      <w:lvlText w:val="%1."/>
      <w:lvlJc w:val="left"/>
      <w:pPr>
        <w:tabs>
          <w:tab w:val="num" w:pos="360"/>
        </w:tabs>
        <w:ind w:left="360" w:hanging="360"/>
      </w:pPr>
    </w:lvl>
  </w:abstractNum>
  <w:abstractNum w:abstractNumId="7">
    <w:nsid w:val="FFFFFF89"/>
    <w:multiLevelType w:val="singleLevel"/>
    <w:tmpl w:val="BD2006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3: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B571A4F25194F4CB803A1E7F0D81BEB"/>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sous forme d'échange de lettres entre l'Union européenne et le Royaume de Norvège concernant l\u8217?octroi de préférences commerciales supplémentaires pour des produits agricoles_x000b__x000b__x000b_Accord sous forme d'échange de lettres entre l'Union européenne et le Royaume de Norvège concernant l\u8217?octroi de préférences commerciales supplémentaires pour des produits agricoles, conclu sur la base de l'article 19 de l'accord sur l'Espace économique européen_x000b_"/>
    <w:docVar w:name="LW_PART_NBR" w:val="3"/>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E"/>
    <w:docVar w:name="LW_TYPEACTEPRINCIPAL.CP" w:val="proposition de 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417</Words>
  <Characters>2397</Characters>
  <Application>Microsoft Office Word</Application>
  <DocSecurity>0</DocSecurity>
  <Lines>239</Lines>
  <Paragraphs>127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2017-09-29T09:56:00Z</dcterms:created>
  <dcterms:modified xsi:type="dcterms:W3CDTF">2017-10-10T05:53:00Z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3</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