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F247EA9B30FA458B8DCD330AE0D2B7C3" style="width:450.75pt;height:506.2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Objetacteprincipal"/>
        <w:rPr>
          <w:noProof/>
        </w:rPr>
      </w:pPr>
      <w:bookmarkStart w:id="0" w:name="_GoBack"/>
      <w:bookmarkEnd w:id="0"/>
      <w:r>
        <w:rPr>
          <w:noProof/>
        </w:rPr>
        <w:br/>
      </w:r>
      <w:r>
        <w:rPr>
          <w:noProof/>
          <w:sz w:val="22"/>
        </w:rPr>
        <w:t>Приложениe II</w:t>
      </w:r>
    </w:p>
    <w:p>
      <w:pPr>
        <w:spacing w:before="0" w:after="160" w:line="259" w:lineRule="auto"/>
        <w:jc w:val="center"/>
        <w:rPr>
          <w:rFonts w:eastAsia="Calibri"/>
          <w:b/>
          <w:noProof/>
          <w:sz w:val="22"/>
        </w:rPr>
      </w:pPr>
      <w:r>
        <w:rPr>
          <w:b/>
          <w:noProof/>
          <w:sz w:val="22"/>
        </w:rPr>
        <w:t>Тарифни квоти за внос в Норвегия на продукти с произход от Европейския съюз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3130"/>
        <w:gridCol w:w="1699"/>
        <w:gridCol w:w="1554"/>
        <w:gridCol w:w="1121"/>
      </w:tblGrid>
      <w:tr>
        <w:tc>
          <w:tcPr>
            <w:tcW w:w="1838" w:type="dxa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Норвежки тарифен код</w:t>
            </w:r>
          </w:p>
        </w:tc>
        <w:tc>
          <w:tcPr>
            <w:tcW w:w="3304" w:type="dxa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Описание на продуктите</w:t>
            </w:r>
          </w:p>
        </w:tc>
        <w:tc>
          <w:tcPr>
            <w:tcW w:w="1448" w:type="dxa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Консолидирани тарифни квоти (годишно количество в тонове)</w:t>
            </w:r>
          </w:p>
        </w:tc>
        <w:tc>
          <w:tcPr>
            <w:tcW w:w="1351" w:type="dxa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От които допълнителни квоти(</w:t>
            </w:r>
            <w:r>
              <w:rPr>
                <w:rStyle w:val="FootnoteReference"/>
                <w:noProof/>
              </w:rPr>
              <w:footnoteReference w:id="1"/>
            </w:r>
            <w:r>
              <w:rPr>
                <w:noProof/>
                <w:sz w:val="22"/>
              </w:rPr>
              <w:t>)</w:t>
            </w:r>
          </w:p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</w:p>
        </w:tc>
        <w:tc>
          <w:tcPr>
            <w:tcW w:w="1121" w:type="dxa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Мито в рамките на квотата (NOK/kg)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02.01.1000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02.01.2001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02.01.2002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02.01.2003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02.01.2004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02.02.1000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02.02.2001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02.02.2002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 xml:space="preserve">02.02.2003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02.02.2004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Меса от животни от рода на едрия рогат добитък, пресни или охладени: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Цели или половин трупове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„Компенсирани“ четвъртинки, т.е. предни четвъртинки и задни четвъртинки от едно и също животно, представени заедно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 предни четвъртинки</w:t>
            </w:r>
            <w:r>
              <w:rPr>
                <w:noProof/>
              </w:rPr>
              <w:tab/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 задни четвъртинки</w:t>
            </w:r>
            <w:r>
              <w:rPr>
                <w:noProof/>
              </w:rPr>
              <w:tab/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Разфасовки, наречени „Pistola“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Меса от животни от рода на едрия рогат добитък, замразени: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Цели или половин трупове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„Компенсирани“ четвъртинки, т.е. предни четвъртинки и задни четвъртинки от едно и също животно, представени заедно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 предни четвъртинки</w:t>
            </w:r>
            <w:r>
              <w:rPr>
                <w:noProof/>
              </w:rPr>
              <w:tab/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 задни четвъртинки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Разфасовки, наречени „Pistola“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2500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1600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02.03.1904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Меса от животни от рода на свинете, пресни, охладени или замразени: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Гърди (шарено месо) и разфасовки от тях, необезкостени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300</w:t>
            </w:r>
            <w:r>
              <w:rPr>
                <w:noProof/>
                <w:sz w:val="22"/>
                <w:vertAlign w:val="superscript"/>
              </w:rPr>
              <w:t>(</w:t>
            </w:r>
            <w:r>
              <w:rPr>
                <w:rStyle w:val="FootnoteReference"/>
                <w:noProof/>
              </w:rPr>
              <w:footnoteReference w:id="2"/>
            </w:r>
            <w:r>
              <w:rPr>
                <w:noProof/>
                <w:sz w:val="22"/>
                <w:vertAlign w:val="superscript"/>
              </w:rPr>
              <w:t>)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  <w:vertAlign w:val="superscript"/>
              </w:rPr>
            </w:pPr>
            <w:r>
              <w:rPr>
                <w:noProof/>
                <w:sz w:val="22"/>
              </w:rPr>
              <w:t>300</w:t>
            </w:r>
            <w:r>
              <w:rPr>
                <w:noProof/>
                <w:sz w:val="22"/>
                <w:vertAlign w:val="superscript"/>
              </w:rPr>
              <w:t>(2)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15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02.07.1100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02.07.1200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02.07.2400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02.07.2500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Меса и карантии, годни за консумация, от домашни птици от № 01.05, пресни, охладени или замразени: 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От петли и кокошки: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Неразфасовани, пресни или охладени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Неразфасовани, замразени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От пуйки: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Неразфасовани, пресни или охладени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Неразфасовани, замразени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950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150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02.07.4401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От патици, пресни или охладени;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гърди и разфасовки от тях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200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100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30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02.10.1101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02.10.1109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  <w:r>
              <w:rPr>
                <w:noProof/>
                <w:sz w:val="22"/>
              </w:rPr>
              <w:t>02.10.1900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Меса и карантии, годни за консумация, осолени или в саламура, сушени или пушени; брашна и прахове, годни за консумация, от меса или карантии: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Меса от животни от рода на свинете: бутове, плешки и техните разфасовки, необезкостени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Съдържащи тегловно 15 % или повече кости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 (по-малко от 15 % кости)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 (различни от бутове, плешки и разфасовки от тях, гърди и разфасовки от тях, необезкостени)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600</w:t>
            </w:r>
            <w:r>
              <w:rPr>
                <w:noProof/>
                <w:sz w:val="22"/>
                <w:vertAlign w:val="superscript"/>
              </w:rPr>
              <w:t>(</w:t>
            </w:r>
            <w:r>
              <w:rPr>
                <w:rStyle w:val="FootnoteReference"/>
                <w:noProof/>
              </w:rPr>
              <w:footnoteReference w:id="3"/>
            </w:r>
            <w:r>
              <w:rPr>
                <w:noProof/>
                <w:sz w:val="22"/>
                <w:vertAlign w:val="superscript"/>
              </w:rPr>
              <w:t>)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  <w:vertAlign w:val="superscript"/>
              </w:rPr>
            </w:pPr>
            <w:r>
              <w:rPr>
                <w:noProof/>
                <w:sz w:val="22"/>
              </w:rPr>
              <w:t>200</w:t>
            </w:r>
            <w:r>
              <w:rPr>
                <w:noProof/>
                <w:sz w:val="22"/>
                <w:vertAlign w:val="superscript"/>
              </w:rPr>
              <w:t>(3)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04.06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Сирене и извара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8400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1200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ex 06.02.9043</w:t>
            </w:r>
            <w:r>
              <w:rPr>
                <w:noProof/>
                <w:sz w:val="22"/>
                <w:vertAlign w:val="superscript"/>
              </w:rPr>
              <w:t>(</w:t>
            </w:r>
            <w:r>
              <w:rPr>
                <w:rStyle w:val="FootnoteReference"/>
                <w:noProof/>
              </w:rPr>
              <w:footnoteReference w:id="4"/>
            </w:r>
            <w:r>
              <w:rPr>
                <w:noProof/>
                <w:sz w:val="22"/>
                <w:vertAlign w:val="superscript"/>
              </w:rPr>
              <w:t>)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06.02.9044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Други живи растения (включително корените им), издънки и калеми; гъбен мицел: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Други; растения в саксии или разсад, с цвят;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20 милиона норвежки крони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12 милиона норвежки крони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06.02.9031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noProof/>
                <w:sz w:val="22"/>
              </w:rPr>
              <w:t>Зелени растения в саксии от 1 май до 14 декември</w:t>
            </w:r>
            <w:r>
              <w:rPr>
                <w:rFonts w:ascii="Calibri" w:hAnsi="Calibri"/>
                <w:noProof/>
                <w:sz w:val="22"/>
                <w:vertAlign w:val="superscript"/>
              </w:rPr>
              <w:t>(</w:t>
            </w:r>
            <w:r>
              <w:rPr>
                <w:rStyle w:val="FootnoteReference"/>
                <w:noProof/>
              </w:rPr>
              <w:footnoteReference w:id="5"/>
            </w:r>
            <w:r>
              <w:rPr>
                <w:rFonts w:ascii="Calibri" w:hAnsi="Calibri"/>
                <w:noProof/>
                <w:sz w:val="22"/>
                <w:vertAlign w:val="superscript"/>
              </w:rPr>
              <w:t>)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7 милиона норвежки крони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3 милиона норвежки крони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07.05.1112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07.05.1119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Марули (</w:t>
            </w:r>
            <w:r>
              <w:rPr>
                <w:b/>
                <w:i/>
                <w:noProof/>
                <w:sz w:val="22"/>
              </w:rPr>
              <w:t>Lactuca sativa</w:t>
            </w:r>
            <w:r>
              <w:rPr>
                <w:b/>
                <w:noProof/>
                <w:sz w:val="22"/>
              </w:rPr>
              <w:t>) и цикория (</w:t>
            </w:r>
            <w:r>
              <w:rPr>
                <w:b/>
                <w:i/>
                <w:noProof/>
                <w:sz w:val="22"/>
              </w:rPr>
              <w:t>Cichorium</w:t>
            </w:r>
            <w:r>
              <w:rPr>
                <w:b/>
                <w:noProof/>
                <w:sz w:val="22"/>
              </w:rPr>
              <w:t xml:space="preserve"> spp.), пресни или охладени: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Айсбергова маруля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От 1 март до 31 май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Цяла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12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Друга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500</w:t>
            </w:r>
            <w:r>
              <w:rPr>
                <w:noProof/>
                <w:sz w:val="22"/>
                <w:vertAlign w:val="superscript"/>
              </w:rPr>
              <w:t>(</w:t>
            </w:r>
            <w:r>
              <w:rPr>
                <w:rStyle w:val="FootnoteReference"/>
                <w:noProof/>
              </w:rPr>
              <w:footnoteReference w:id="6"/>
            </w:r>
            <w:r>
              <w:rPr>
                <w:noProof/>
                <w:sz w:val="22"/>
                <w:vertAlign w:val="superscript"/>
              </w:rPr>
              <w:t>)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100</w:t>
            </w:r>
            <w:r>
              <w:rPr>
                <w:noProof/>
                <w:sz w:val="22"/>
                <w:vertAlign w:val="superscript"/>
              </w:rPr>
              <w:t>(6)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  <w:u w:val="single"/>
              </w:rPr>
            </w:pP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10.05.9010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Царевица:</w:t>
            </w:r>
          </w:p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За фураж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15000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5000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  <w:tr>
        <w:tc>
          <w:tcPr>
            <w:tcW w:w="1838" w:type="dxa"/>
            <w:vAlign w:val="center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16.01.0000</w:t>
            </w:r>
          </w:p>
        </w:tc>
        <w:tc>
          <w:tcPr>
            <w:tcW w:w="3304" w:type="dxa"/>
          </w:tcPr>
          <w:p>
            <w:pPr>
              <w:spacing w:before="0" w:after="0"/>
              <w:jc w:val="left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Колбаси и подобни продукти от месо, карантии или кръв; приготвени храни на база на тези продукти</w:t>
            </w:r>
          </w:p>
        </w:tc>
        <w:tc>
          <w:tcPr>
            <w:tcW w:w="1448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600</w:t>
            </w:r>
          </w:p>
        </w:tc>
        <w:tc>
          <w:tcPr>
            <w:tcW w:w="135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200</w:t>
            </w:r>
          </w:p>
        </w:tc>
        <w:tc>
          <w:tcPr>
            <w:tcW w:w="1121" w:type="dxa"/>
            <w:vAlign w:val="center"/>
          </w:tcPr>
          <w:p>
            <w:pPr>
              <w:spacing w:before="0" w:after="0"/>
              <w:jc w:val="center"/>
              <w:rPr>
                <w:rFonts w:eastAsia="Calibri"/>
                <w:noProof/>
                <w:sz w:val="22"/>
              </w:rPr>
            </w:pPr>
            <w:r>
              <w:rPr>
                <w:noProof/>
                <w:sz w:val="22"/>
              </w:rPr>
              <w:t>0</w:t>
            </w:r>
          </w:p>
        </w:tc>
      </w:tr>
    </w:tbl>
    <w:p>
      <w:pPr>
        <w:spacing w:before="0" w:after="160" w:line="259" w:lineRule="auto"/>
        <w:jc w:val="center"/>
        <w:rPr>
          <w:rFonts w:ascii="Calibri" w:eastAsia="Calibri" w:hAnsi="Calibri"/>
          <w:b/>
          <w:noProof/>
          <w:sz w:val="22"/>
        </w:rPr>
      </w:pPr>
    </w:p>
    <w:p>
      <w:pPr>
        <w:spacing w:before="0" w:after="160" w:line="259" w:lineRule="auto"/>
        <w:jc w:val="center"/>
        <w:rPr>
          <w:rFonts w:ascii="Calibri" w:eastAsia="Calibri" w:hAnsi="Calibri"/>
          <w:b/>
          <w:noProof/>
          <w:sz w:val="22"/>
        </w:rPr>
      </w:pPr>
    </w:p>
    <w:p>
      <w:pPr>
        <w:pStyle w:val="Objetacteprincipal"/>
        <w:jc w:val="left"/>
        <w:rPr>
          <w:noProof/>
        </w:rPr>
      </w:pPr>
    </w:p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 xml:space="preserve">За периода 1.1—31.12 и по време на първата година от прилагането на споразумението </w:t>
      </w:r>
      <w:r>
        <w:rPr>
          <w:i/>
        </w:rPr>
        <w:t>pro rata</w:t>
      </w:r>
      <w:r>
        <w:t>, ако е необходимо. Допълнителни квоти, които да се добавят към съществуващите квоти, договорени по предишни споразумения между ЕС и Норвегия.</w:t>
      </w:r>
    </w:p>
  </w:footnote>
  <w:footnote w:id="2">
    <w:p>
      <w:pPr>
        <w:pStyle w:val="FootnoteText"/>
        <w:rPr>
          <w:lang w:val="ru-RU"/>
        </w:rPr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В периода 1.12—31.12.</w:t>
      </w:r>
    </w:p>
  </w:footnote>
  <w:footnote w:id="3">
    <w:p>
      <w:pPr>
        <w:pStyle w:val="FootnoteText"/>
        <w:rPr>
          <w:lang w:val="ru-RU"/>
        </w:rPr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Количеството е за внос на необезкостени бутове. За обезкостени бутове се използва коефициент на преобразуване 1,15.</w:t>
      </w:r>
    </w:p>
  </w:footnote>
  <w:footnote w:id="4">
    <w:p>
      <w:pPr>
        <w:pStyle w:val="FootnoteText"/>
        <w:rPr>
          <w:lang w:val="ru-RU"/>
        </w:rPr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 xml:space="preserve">С изключение на следните растения:  </w:t>
      </w:r>
      <w:r>
        <w:rPr>
          <w:i/>
        </w:rPr>
        <w:t>Argyranthemum frutescens</w:t>
      </w:r>
      <w:r>
        <w:t xml:space="preserve">, </w:t>
      </w:r>
      <w:r>
        <w:rPr>
          <w:i/>
        </w:rPr>
        <w:t>Chrysanthemum frutescens</w:t>
      </w:r>
      <w:r>
        <w:t xml:space="preserve">, </w:t>
      </w:r>
      <w:r>
        <w:rPr>
          <w:i/>
        </w:rPr>
        <w:t>Begonia x hiemalis</w:t>
      </w:r>
      <w:r>
        <w:t xml:space="preserve">, </w:t>
      </w:r>
      <w:r>
        <w:rPr>
          <w:i/>
        </w:rPr>
        <w:t>Begonia elatior</w:t>
      </w:r>
      <w:r>
        <w:t xml:space="preserve">, </w:t>
      </w:r>
      <w:r>
        <w:rPr>
          <w:i/>
        </w:rPr>
        <w:t>Campanula</w:t>
      </w:r>
      <w:r>
        <w:t xml:space="preserve">, </w:t>
      </w:r>
      <w:r>
        <w:rPr>
          <w:i/>
        </w:rPr>
        <w:t>Dendranthema x grandiflora</w:t>
      </w:r>
      <w:r>
        <w:t xml:space="preserve">, </w:t>
      </w:r>
      <w:r>
        <w:rPr>
          <w:i/>
        </w:rPr>
        <w:t>Chrysanthemum x morifolium</w:t>
      </w:r>
      <w:r>
        <w:t xml:space="preserve">, </w:t>
      </w:r>
      <w:r>
        <w:rPr>
          <w:i/>
        </w:rPr>
        <w:t>Euphorbia pulcherrima</w:t>
      </w:r>
      <w:r>
        <w:t xml:space="preserve">, </w:t>
      </w:r>
      <w:r>
        <w:rPr>
          <w:i/>
        </w:rPr>
        <w:t>Poinsettia pulcherrima</w:t>
      </w:r>
      <w:r>
        <w:t xml:space="preserve">, </w:t>
      </w:r>
      <w:r>
        <w:rPr>
          <w:i/>
        </w:rPr>
        <w:t>Hibiscus</w:t>
      </w:r>
      <w:r>
        <w:t xml:space="preserve">, </w:t>
      </w:r>
      <w:r>
        <w:rPr>
          <w:i/>
        </w:rPr>
        <w:t>Kalanchoe</w:t>
      </w:r>
      <w:r>
        <w:t xml:space="preserve">, </w:t>
      </w:r>
      <w:r>
        <w:rPr>
          <w:i/>
        </w:rPr>
        <w:t>Pelargonium</w:t>
      </w:r>
      <w:r>
        <w:t xml:space="preserve">, </w:t>
      </w:r>
      <w:r>
        <w:rPr>
          <w:i/>
        </w:rPr>
        <w:t>Primula</w:t>
      </w:r>
      <w:r>
        <w:t xml:space="preserve"> и </w:t>
      </w:r>
      <w:r>
        <w:rPr>
          <w:i/>
        </w:rPr>
        <w:t>Saintpaulia</w:t>
      </w:r>
      <w:r>
        <w:t>.</w:t>
      </w:r>
    </w:p>
  </w:footnote>
  <w:footnote w:id="5">
    <w:p>
      <w:pPr>
        <w:pStyle w:val="FootnoteText"/>
        <w:rPr>
          <w:lang w:val="ru-RU"/>
        </w:rPr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 xml:space="preserve">Включват следните растения: </w:t>
      </w:r>
      <w:r>
        <w:rPr>
          <w:i/>
        </w:rPr>
        <w:t>Condiaeum</w:t>
      </w:r>
      <w:r>
        <w:t xml:space="preserve">, </w:t>
      </w:r>
      <w:r>
        <w:rPr>
          <w:i/>
        </w:rPr>
        <w:t>Croton</w:t>
      </w:r>
      <w:r>
        <w:t xml:space="preserve">, </w:t>
      </w:r>
      <w:r>
        <w:rPr>
          <w:i/>
        </w:rPr>
        <w:t>Dieffenbachia</w:t>
      </w:r>
      <w:r>
        <w:t xml:space="preserve">, </w:t>
      </w:r>
      <w:r>
        <w:rPr>
          <w:i/>
        </w:rPr>
        <w:t>Epipremnum</w:t>
      </w:r>
      <w:r>
        <w:t xml:space="preserve">, </w:t>
      </w:r>
      <w:r>
        <w:rPr>
          <w:i/>
        </w:rPr>
        <w:t>Scindapsus aureum</w:t>
      </w:r>
      <w:r>
        <w:t xml:space="preserve">, </w:t>
      </w:r>
      <w:r>
        <w:rPr>
          <w:i/>
        </w:rPr>
        <w:t>Hedera</w:t>
      </w:r>
      <w:r>
        <w:t xml:space="preserve">, </w:t>
      </w:r>
      <w:r>
        <w:rPr>
          <w:i/>
        </w:rPr>
        <w:t>Nephrolepis</w:t>
      </w:r>
      <w:r>
        <w:t xml:space="preserve">, </w:t>
      </w:r>
      <w:r>
        <w:rPr>
          <w:i/>
        </w:rPr>
        <w:t>Peperomia obtusifolia</w:t>
      </w:r>
      <w:r>
        <w:t xml:space="preserve">, </w:t>
      </w:r>
      <w:r>
        <w:rPr>
          <w:i/>
        </w:rPr>
        <w:t>Peperomia rotundifolia</w:t>
      </w:r>
      <w:r>
        <w:t xml:space="preserve">, </w:t>
      </w:r>
      <w:r>
        <w:rPr>
          <w:i/>
        </w:rPr>
        <w:t>Schefflera</w:t>
      </w:r>
      <w:r>
        <w:t xml:space="preserve">, </w:t>
      </w:r>
      <w:r>
        <w:rPr>
          <w:i/>
        </w:rPr>
        <w:t>Soleirolia</w:t>
      </w:r>
      <w:r>
        <w:t xml:space="preserve"> и </w:t>
      </w:r>
      <w:r>
        <w:rPr>
          <w:i/>
        </w:rPr>
        <w:t>Helxine</w:t>
      </w:r>
      <w:r>
        <w:t>, също при внос като част от разнородни групи растения.</w:t>
      </w:r>
    </w:p>
  </w:footnote>
  <w:footnote w:id="6">
    <w:p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Критерий за краен потребител: преработвателна промишленост.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F0ABE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A066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02691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01C2AF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1E4EE9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FE6D5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20A4B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D2006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displayBackgroundShape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10-10 07:55:4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F247EA9B30FA458B8DCD330AE0D2B7C3"/>
    <w:docVar w:name="LW_CROSSREFERENCE" w:val="&lt;UNUSED&gt;"/>
    <w:docVar w:name="LW_DocType" w:val="ANNEX"/>
    <w:docVar w:name="LW_EMISSION" w:val="17.10.2017"/>
    <w:docVar w:name="LW_EMISSION_ISODATE" w:val="2017-10-17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89?\u1082?\u1083?\u1102?\u1095?\u1074?\u1072?\u1085?\u1077? \u1085?\u1072? \u1057?\u1087?\u1086?\u1088?\u1072?\u1079?\u1091?\u1084?\u1077?\u1085?\u1080?\u1077? \u1087?\u1086?\u1076? \u1092?\u1086?\u1088?\u1084?\u1072?\u1090?\u1072? \u1085?\u1072? \u1088?\u1072?\u1079?\u1084?\u1103?\u1085?\u1072? \u1085?\u1072? \u1087?\u1080?\u1089?\u1084?\u1072? \u1084?\u1077?\u1078?\u1076?\u1091? \u1045?\u1074?\u1088?\u1086?\u1087?\u1077?\u1081?\u1089?\u1082?\u1080?\u1103? \u1089?\u1098?\u1102?\u1079? \u1080? \u1050?\u1088?\u1072?\u1083?\u1089?\u1090?\u1074?\u1086? \u1053?\u1086?\u1088?\u1074?\u1077?\u1075?\u1080?\u1103? \u1086?\u1090?\u1085?\u1086?\u1089?\u1085?\u1086? \u1076?\u1086?\u1087?\u1098?\u1083?\u1085?\u1080?\u1090?\u1077?\u1083?\u1085?\u1080? \u1090?\u1098?\u1088?\u1075?\u1086?\u1074?\u1089?\u1082?\u1080? \u1087?\u1088?\u1077?\u1092?\u1077?\u1088?\u1077?\u1085?\u1094?\u1080?\u1080? \u1079?\u1072? \u1089?\u1077?\u1083?\u1089?\u1082?\u1086?\u1089?\u1090?\u1086?\u1087?\u1072?\u1085?\u1089?\u1082?\u1080? \u1087?\u1088?\u1086?\u1076?\u1091?\u1082?\u1090?\u1080?_x000b__x000b__x000b_\u1057?\u1087?\u1086?\u1088?\u1072?\u1079?\u1091?\u1084?\u1077?\u1085?\u1080?\u1077? \u1087?\u1086?\u1076? \u1092?\u1086?\u1088?\u1084?\u1072?\u1090?\u1072? \u1085?\u1072? \u1088?\u1072?\u1079?\u1084?\u1103?\u1085?\u1072? \u1085?\u1072? \u1087?\u1080?\u1089?\u1084?\u1072? \u1084?\u1077?\u1078?\u1076?\u1091? \u1045?\u1074?\u1088?\u1086?\u1087?\u1077?\u1081?\u1089?\u1082?\u1080?\u1103? \u1089?\u1098?\u1102?\u1079? \u1080? \u1050?\u1088?\u1072?\u1083?\u1089?\u1090?\u1074?\u1086? \u1053?\u1086?\u1088?\u1074?\u1077?\u1075?\u1080?\u1103? \u1086?\u1090?\u1085?\u1086?\u1089?\u1085?\u1086? \u1076?\u1086?\u1087?\u1098?\u1083?\u1085?\u1080?\u1090?\u1077?\u1083?\u1085?\u1080? \u1090?\u1098?\u1088?\u1075?\u1086?\u1074?\u1089?\u1082?\u1080? \u1087?\u1088?\u1077?\u1092?\u1077?\u1088?\u1077?\u1085?\u1094?\u1080?\u1080? \u1079?\u1072? \u1089?\u1077?\u1083?\u1089?\u1082?\u1086?\u1089?\u1090?\u1086?\u1087?\u1072?\u1085?\u1089?\u1082?\u1080? \u1087?\u1088?\u1086?\u1076?\u1091?\u1082?\u1090?\u1080?, \u1087?\u1086?\u1089?\u1090?\u1080?\u1075?\u1085?\u1072?\u1090?\u1086? \u1085?\u1072? \u1086?\u1089?\u1085?\u1086?\u1074?\u1072?\u1085?\u1080?\u1077? \u1095?\u1083?\u1077?\u1085? 19 \u1086?\u1090? \u1057?\u1087?\u1086?\u1088?\u1072?\u1079?\u1091?\u1084?\u1077?\u1085?\u1080?\u1077?\u1090?\u1086? \u1079?\u1072? \u1045?\u1074?\u1088?\u1086?\u1087?\u1077?\u1081?\u1089?\u1082?\u1086?\u1090?\u1086? \u1080?\u1082?\u1086?\u1085?\u1086?\u1084?\u1080?\u1095?\u1077?\u1089?\u1082?\u1086? \u1087?\u1088?\u1086?\u1089?\u1090?\u1088?\u1072?\u1085?\u1089?\u1090?\u1074?\u1086?_x000b_"/>
    <w:docVar w:name="LW_PART_NBR" w:val="3"/>
    <w:docVar w:name="LW_PART_NBR_TOTAL" w:val="5"/>
    <w:docVar w:name="LW_REF.INST.NEW" w:val="COM"/>
    <w:docVar w:name="LW_REF.INST.NEW_ADOPTED" w:val="final"/>
    <w:docVar w:name="LW_REF.INST.NEW_TEXT" w:val="(2017) 595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"/>
    <w:docVar w:name="LW_TYPEACTEPRINCIPAL.CP" w:val="\u1055?\u1088?\u1077?\u1076?\u1083?\u1086?\u1078?\u1077?\u1085?\u1080?\u1077? \u1079?\u1072? _x000b_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408</Words>
  <Characters>2307</Characters>
  <Application>Microsoft Office Word</Application>
  <DocSecurity>0</DocSecurity>
  <Lines>288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REIMAN Ulle (AGRI)</dc:creator>
  <cp:lastModifiedBy>DIGIT/A3</cp:lastModifiedBy>
  <cp:revision>7</cp:revision>
  <dcterms:created xsi:type="dcterms:W3CDTF">2017-10-05T14:12:00Z</dcterms:created>
  <dcterms:modified xsi:type="dcterms:W3CDTF">2017-10-10T05:55:00Z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3</vt:lpwstr>
  </property>
  <property fmtid="{D5CDD505-2E9C-101B-9397-08002B2CF9AE}" pid="10" name="Total parts">
    <vt:lpwstr>5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